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9C7AD" w14:textId="77777777" w:rsidR="00A41855" w:rsidRDefault="00A41855">
      <w:pPr>
        <w:spacing w:after="480"/>
        <w:jc w:val="center"/>
        <w:outlineLvl w:val="1"/>
        <w:divId w:val="1973057123"/>
        <w:rPr>
          <w:rFonts w:ascii="Aptos Display" w:eastAsia="Times New Roman" w:hAnsi="Aptos Display"/>
          <w:b/>
          <w:bCs/>
          <w:color w:val="2E7D32"/>
          <w:kern w:val="36"/>
          <w:sz w:val="72"/>
          <w:szCs w:val="72"/>
          <w:lang w:val="nl-NL"/>
        </w:rPr>
      </w:pPr>
      <w:r>
        <w:rPr>
          <w:rFonts w:ascii="Aptos Display" w:eastAsia="Times New Roman" w:hAnsi="Aptos Display"/>
          <w:b/>
          <w:bCs/>
          <w:color w:val="2E7D32"/>
          <w:kern w:val="36"/>
          <w:sz w:val="72"/>
          <w:szCs w:val="72"/>
          <w:lang w:val="nl-NL"/>
        </w:rPr>
        <w:t>Systeem-Audit</w:t>
      </w:r>
    </w:p>
    <w:p w14:paraId="37DE0BEB" w14:textId="77777777" w:rsidR="00A41855" w:rsidRDefault="00A41855">
      <w:pPr>
        <w:pStyle w:val="ondertitel2"/>
        <w:divId w:val="1973057123"/>
        <w:rPr>
          <w:lang w:val="nl-NL"/>
        </w:rPr>
      </w:pPr>
      <w:r>
        <w:rPr>
          <w:lang w:val="nl-NL"/>
        </w:rPr>
        <w:t>Grensoverschrijdend bevoegdheidsvacuüm in de sociale zekerheid</w:t>
      </w:r>
    </w:p>
    <w:p w14:paraId="5C7C0891" w14:textId="77777777" w:rsidR="00A41855" w:rsidRDefault="00A41855">
      <w:pPr>
        <w:pStyle w:val="documentaanduiding2"/>
        <w:divId w:val="1973057123"/>
        <w:rPr>
          <w:lang w:val="nl-NL"/>
        </w:rPr>
      </w:pPr>
      <w:r>
        <w:rPr>
          <w:lang w:val="nl-NL"/>
        </w:rPr>
        <w:t>Document D — De synthese</w:t>
      </w:r>
    </w:p>
    <w:p w14:paraId="1D61867C" w14:textId="77777777" w:rsidR="00A41855" w:rsidRDefault="00A41855">
      <w:pPr>
        <w:pStyle w:val="auteur2"/>
        <w:divId w:val="1973057123"/>
        <w:rPr>
          <w:lang w:val="nl-NL"/>
        </w:rPr>
      </w:pPr>
      <w:r>
        <w:rPr>
          <w:lang w:val="nl-NL"/>
        </w:rPr>
        <w:t>Auteur: Eric Messa</w:t>
      </w:r>
    </w:p>
    <w:p w14:paraId="4170F46D" w14:textId="77777777" w:rsidR="00A41855" w:rsidRDefault="00A41855">
      <w:pPr>
        <w:pStyle w:val="meta-lijn2"/>
        <w:divId w:val="1973057123"/>
        <w:rPr>
          <w:lang w:val="nl-NL"/>
        </w:rPr>
      </w:pPr>
      <w:r>
        <w:rPr>
          <w:lang w:val="nl-NL"/>
        </w:rPr>
        <w:t>Versie bijgewerkt: 6 oktober 2026, 14:20</w:t>
      </w:r>
    </w:p>
    <w:p w14:paraId="549CB7CD" w14:textId="77777777" w:rsidR="00A41855" w:rsidRDefault="00A41855">
      <w:pPr>
        <w:pStyle w:val="marker"/>
        <w:ind w:left="800" w:right="800"/>
        <w:divId w:val="273101710"/>
        <w:rPr>
          <w:lang w:val="nl-NL"/>
        </w:rPr>
      </w:pPr>
      <w:r>
        <w:br w:type="page"/>
      </w:r>
    </w:p>
    <w:p w14:paraId="19CD7526" w14:textId="77777777" w:rsidR="00A41855" w:rsidRDefault="00A41855" w:rsidP="00A41855">
      <w:pPr>
        <w:pStyle w:val="Kop2"/>
        <w:pageBreakBefore/>
        <w:divId w:val="1570991818"/>
        <w:rPr>
          <w:rFonts w:eastAsia="Times New Roman"/>
          <w:lang w:val="nl-NL"/>
        </w:rPr>
      </w:pPr>
      <w:bookmarkStart w:id="0" w:name="_Toc242191428"/>
      <w:r>
        <w:rPr>
          <w:rFonts w:eastAsia="Times New Roman"/>
          <w:lang w:val="nl-NL"/>
        </w:rPr>
        <w:lastRenderedPageBreak/>
        <w:t>Inhoudsopgave</w:t>
      </w:r>
      <w:bookmarkEnd w:id="0"/>
    </w:p>
    <w:p w14:paraId="5C29A64F" w14:textId="449A1E26"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8A6D11">
        <w:rPr>
          <w:rFonts w:eastAsia="Times New Roman"/>
          <w:noProof/>
          <w:lang w:val="nl-NL"/>
        </w:rPr>
        <w:t>Inhoudsopgave</w:t>
      </w:r>
      <w:r>
        <w:rPr>
          <w:noProof/>
        </w:rPr>
        <w:tab/>
      </w:r>
      <w:r>
        <w:rPr>
          <w:noProof/>
        </w:rPr>
        <w:fldChar w:fldCharType="begin"/>
      </w:r>
      <w:r>
        <w:rPr>
          <w:noProof/>
        </w:rPr>
        <w:instrText xml:space="preserve"> PAGEREF _Toc242191428 \h </w:instrText>
      </w:r>
      <w:r>
        <w:rPr>
          <w:noProof/>
        </w:rPr>
      </w:r>
      <w:r>
        <w:rPr>
          <w:noProof/>
        </w:rPr>
        <w:fldChar w:fldCharType="separate"/>
      </w:r>
      <w:r>
        <w:rPr>
          <w:noProof/>
        </w:rPr>
        <w:t>3</w:t>
      </w:r>
      <w:r>
        <w:rPr>
          <w:noProof/>
        </w:rPr>
        <w:fldChar w:fldCharType="end"/>
      </w:r>
    </w:p>
    <w:p w14:paraId="44DE0BBA" w14:textId="0AE1A8C4"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I — De kern in één oogopslag</w:t>
      </w:r>
      <w:r>
        <w:rPr>
          <w:noProof/>
        </w:rPr>
        <w:tab/>
      </w:r>
      <w:r>
        <w:rPr>
          <w:noProof/>
        </w:rPr>
        <w:fldChar w:fldCharType="begin"/>
      </w:r>
      <w:r>
        <w:rPr>
          <w:noProof/>
        </w:rPr>
        <w:instrText xml:space="preserve"> PAGEREF _Toc242191429 \h </w:instrText>
      </w:r>
      <w:r>
        <w:rPr>
          <w:noProof/>
        </w:rPr>
      </w:r>
      <w:r>
        <w:rPr>
          <w:noProof/>
        </w:rPr>
        <w:fldChar w:fldCharType="separate"/>
      </w:r>
      <w:r>
        <w:rPr>
          <w:noProof/>
        </w:rPr>
        <w:t>5</w:t>
      </w:r>
      <w:r>
        <w:rPr>
          <w:noProof/>
        </w:rPr>
        <w:fldChar w:fldCharType="end"/>
      </w:r>
    </w:p>
    <w:p w14:paraId="1574AF0C" w14:textId="425ABA29"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II — De twee werelden en hun knopen</w:t>
      </w:r>
      <w:r>
        <w:rPr>
          <w:noProof/>
        </w:rPr>
        <w:tab/>
      </w:r>
      <w:r>
        <w:rPr>
          <w:noProof/>
        </w:rPr>
        <w:fldChar w:fldCharType="begin"/>
      </w:r>
      <w:r>
        <w:rPr>
          <w:noProof/>
        </w:rPr>
        <w:instrText xml:space="preserve"> PAGEREF _Toc242191430 \h </w:instrText>
      </w:r>
      <w:r>
        <w:rPr>
          <w:noProof/>
        </w:rPr>
      </w:r>
      <w:r>
        <w:rPr>
          <w:noProof/>
        </w:rPr>
        <w:fldChar w:fldCharType="separate"/>
      </w:r>
      <w:r>
        <w:rPr>
          <w:noProof/>
        </w:rPr>
        <w:t>6</w:t>
      </w:r>
      <w:r>
        <w:rPr>
          <w:noProof/>
        </w:rPr>
        <w:fldChar w:fldCharType="end"/>
      </w:r>
    </w:p>
    <w:p w14:paraId="386C15FC" w14:textId="39767ECC"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III — Het mechanisme van het falen</w:t>
      </w:r>
      <w:r>
        <w:rPr>
          <w:noProof/>
        </w:rPr>
        <w:tab/>
      </w:r>
      <w:r>
        <w:rPr>
          <w:noProof/>
        </w:rPr>
        <w:fldChar w:fldCharType="begin"/>
      </w:r>
      <w:r>
        <w:rPr>
          <w:noProof/>
        </w:rPr>
        <w:instrText xml:space="preserve"> PAGEREF _Toc242191431 \h </w:instrText>
      </w:r>
      <w:r>
        <w:rPr>
          <w:noProof/>
        </w:rPr>
      </w:r>
      <w:r>
        <w:rPr>
          <w:noProof/>
        </w:rPr>
        <w:fldChar w:fldCharType="separate"/>
      </w:r>
      <w:r>
        <w:rPr>
          <w:noProof/>
        </w:rPr>
        <w:t>8</w:t>
      </w:r>
      <w:r>
        <w:rPr>
          <w:noProof/>
        </w:rPr>
        <w:fldChar w:fldCharType="end"/>
      </w:r>
    </w:p>
    <w:p w14:paraId="259427FC" w14:textId="498D9A30"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IV — De asymmetrie tussen fysieke en administratieve grenzen</w:t>
      </w:r>
      <w:r>
        <w:rPr>
          <w:noProof/>
        </w:rPr>
        <w:tab/>
      </w:r>
      <w:r>
        <w:rPr>
          <w:noProof/>
        </w:rPr>
        <w:fldChar w:fldCharType="begin"/>
      </w:r>
      <w:r>
        <w:rPr>
          <w:noProof/>
        </w:rPr>
        <w:instrText xml:space="preserve"> PAGEREF _Toc242191432 \h </w:instrText>
      </w:r>
      <w:r>
        <w:rPr>
          <w:noProof/>
        </w:rPr>
      </w:r>
      <w:r>
        <w:rPr>
          <w:noProof/>
        </w:rPr>
        <w:fldChar w:fldCharType="separate"/>
      </w:r>
      <w:r>
        <w:rPr>
          <w:noProof/>
        </w:rPr>
        <w:t>10</w:t>
      </w:r>
      <w:r>
        <w:rPr>
          <w:noProof/>
        </w:rPr>
        <w:fldChar w:fldCharType="end"/>
      </w:r>
    </w:p>
    <w:p w14:paraId="3FCEB44E" w14:textId="04E31826"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V — De cijfers en de schaal</w:t>
      </w:r>
      <w:r>
        <w:rPr>
          <w:noProof/>
        </w:rPr>
        <w:tab/>
      </w:r>
      <w:r>
        <w:rPr>
          <w:noProof/>
        </w:rPr>
        <w:fldChar w:fldCharType="begin"/>
      </w:r>
      <w:r>
        <w:rPr>
          <w:noProof/>
        </w:rPr>
        <w:instrText xml:space="preserve"> PAGEREF _Toc242191433 \h </w:instrText>
      </w:r>
      <w:r>
        <w:rPr>
          <w:noProof/>
        </w:rPr>
      </w:r>
      <w:r>
        <w:rPr>
          <w:noProof/>
        </w:rPr>
        <w:fldChar w:fldCharType="separate"/>
      </w:r>
      <w:r>
        <w:rPr>
          <w:noProof/>
        </w:rPr>
        <w:t>12</w:t>
      </w:r>
      <w:r>
        <w:rPr>
          <w:noProof/>
        </w:rPr>
        <w:fldChar w:fldCharType="end"/>
      </w:r>
    </w:p>
    <w:p w14:paraId="77E7F24B" w14:textId="6DAF7705"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VI — De Europese dimensie</w:t>
      </w:r>
      <w:r>
        <w:rPr>
          <w:noProof/>
        </w:rPr>
        <w:tab/>
      </w:r>
      <w:r>
        <w:rPr>
          <w:noProof/>
        </w:rPr>
        <w:fldChar w:fldCharType="begin"/>
      </w:r>
      <w:r>
        <w:rPr>
          <w:noProof/>
        </w:rPr>
        <w:instrText xml:space="preserve"> PAGEREF _Toc242191434 \h </w:instrText>
      </w:r>
      <w:r>
        <w:rPr>
          <w:noProof/>
        </w:rPr>
      </w:r>
      <w:r>
        <w:rPr>
          <w:noProof/>
        </w:rPr>
        <w:fldChar w:fldCharType="separate"/>
      </w:r>
      <w:r>
        <w:rPr>
          <w:noProof/>
        </w:rPr>
        <w:t>13</w:t>
      </w:r>
      <w:r>
        <w:rPr>
          <w:noProof/>
        </w:rPr>
        <w:fldChar w:fldCharType="end"/>
      </w:r>
    </w:p>
    <w:p w14:paraId="18471EE9" w14:textId="7BE85EBA"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VII — De architectuurfout in de Europese regelgeving</w:t>
      </w:r>
      <w:r>
        <w:rPr>
          <w:noProof/>
        </w:rPr>
        <w:tab/>
      </w:r>
      <w:r>
        <w:rPr>
          <w:noProof/>
        </w:rPr>
        <w:fldChar w:fldCharType="begin"/>
      </w:r>
      <w:r>
        <w:rPr>
          <w:noProof/>
        </w:rPr>
        <w:instrText xml:space="preserve"> PAGEREF _Toc242191435 \h </w:instrText>
      </w:r>
      <w:r>
        <w:rPr>
          <w:noProof/>
        </w:rPr>
      </w:r>
      <w:r>
        <w:rPr>
          <w:noProof/>
        </w:rPr>
        <w:fldChar w:fldCharType="separate"/>
      </w:r>
      <w:r>
        <w:rPr>
          <w:noProof/>
        </w:rPr>
        <w:t>15</w:t>
      </w:r>
      <w:r>
        <w:rPr>
          <w:noProof/>
        </w:rPr>
        <w:fldChar w:fldCharType="end"/>
      </w:r>
    </w:p>
    <w:p w14:paraId="7B798744" w14:textId="54E18FDF"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VIII — De twee oplossingsroutes</w:t>
      </w:r>
      <w:r>
        <w:rPr>
          <w:noProof/>
        </w:rPr>
        <w:tab/>
      </w:r>
      <w:r>
        <w:rPr>
          <w:noProof/>
        </w:rPr>
        <w:fldChar w:fldCharType="begin"/>
      </w:r>
      <w:r>
        <w:rPr>
          <w:noProof/>
        </w:rPr>
        <w:instrText xml:space="preserve"> PAGEREF _Toc242191436 \h </w:instrText>
      </w:r>
      <w:r>
        <w:rPr>
          <w:noProof/>
        </w:rPr>
      </w:r>
      <w:r>
        <w:rPr>
          <w:noProof/>
        </w:rPr>
        <w:fldChar w:fldCharType="separate"/>
      </w:r>
      <w:r>
        <w:rPr>
          <w:noProof/>
        </w:rPr>
        <w:t>16</w:t>
      </w:r>
      <w:r>
        <w:rPr>
          <w:noProof/>
        </w:rPr>
        <w:fldChar w:fldCharType="end"/>
      </w:r>
    </w:p>
    <w:p w14:paraId="00472582" w14:textId="4E46BC64"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IX — De drie infrastructurele oplossingen</w:t>
      </w:r>
      <w:r>
        <w:rPr>
          <w:noProof/>
        </w:rPr>
        <w:tab/>
      </w:r>
      <w:r>
        <w:rPr>
          <w:noProof/>
        </w:rPr>
        <w:fldChar w:fldCharType="begin"/>
      </w:r>
      <w:r>
        <w:rPr>
          <w:noProof/>
        </w:rPr>
        <w:instrText xml:space="preserve"> PAGEREF _Toc242191437 \h </w:instrText>
      </w:r>
      <w:r>
        <w:rPr>
          <w:noProof/>
        </w:rPr>
      </w:r>
      <w:r>
        <w:rPr>
          <w:noProof/>
        </w:rPr>
        <w:fldChar w:fldCharType="separate"/>
      </w:r>
      <w:r>
        <w:rPr>
          <w:noProof/>
        </w:rPr>
        <w:t>18</w:t>
      </w:r>
      <w:r>
        <w:rPr>
          <w:noProof/>
        </w:rPr>
        <w:fldChar w:fldCharType="end"/>
      </w:r>
    </w:p>
    <w:p w14:paraId="44768B9F" w14:textId="5FF6460E"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X — De profiteursvraag</w:t>
      </w:r>
      <w:r>
        <w:rPr>
          <w:noProof/>
        </w:rPr>
        <w:tab/>
      </w:r>
      <w:r>
        <w:rPr>
          <w:noProof/>
        </w:rPr>
        <w:fldChar w:fldCharType="begin"/>
      </w:r>
      <w:r>
        <w:rPr>
          <w:noProof/>
        </w:rPr>
        <w:instrText xml:space="preserve"> PAGEREF _Toc242191438 \h </w:instrText>
      </w:r>
      <w:r>
        <w:rPr>
          <w:noProof/>
        </w:rPr>
      </w:r>
      <w:r>
        <w:rPr>
          <w:noProof/>
        </w:rPr>
        <w:fldChar w:fldCharType="separate"/>
      </w:r>
      <w:r>
        <w:rPr>
          <w:noProof/>
        </w:rPr>
        <w:t>19</w:t>
      </w:r>
      <w:r>
        <w:rPr>
          <w:noProof/>
        </w:rPr>
        <w:fldChar w:fldCharType="end"/>
      </w:r>
    </w:p>
    <w:p w14:paraId="12D730BA" w14:textId="66890B04"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XI — De twee wegen: snelheid en reikwijdte</w:t>
      </w:r>
      <w:r>
        <w:rPr>
          <w:noProof/>
        </w:rPr>
        <w:tab/>
      </w:r>
      <w:r>
        <w:rPr>
          <w:noProof/>
        </w:rPr>
        <w:fldChar w:fldCharType="begin"/>
      </w:r>
      <w:r>
        <w:rPr>
          <w:noProof/>
        </w:rPr>
        <w:instrText xml:space="preserve"> PAGEREF _Toc242191439 \h </w:instrText>
      </w:r>
      <w:r>
        <w:rPr>
          <w:noProof/>
        </w:rPr>
      </w:r>
      <w:r>
        <w:rPr>
          <w:noProof/>
        </w:rPr>
        <w:fldChar w:fldCharType="separate"/>
      </w:r>
      <w:r>
        <w:rPr>
          <w:noProof/>
        </w:rPr>
        <w:t>20</w:t>
      </w:r>
      <w:r>
        <w:rPr>
          <w:noProof/>
        </w:rPr>
        <w:fldChar w:fldCharType="end"/>
      </w:r>
    </w:p>
    <w:p w14:paraId="647508E3" w14:textId="196C6B0A" w:rsidR="00A41855" w:rsidRDefault="00A41855" w:rsidP="00A41855">
      <w:pPr>
        <w:pStyle w:val="Inhopg2"/>
        <w:tabs>
          <w:tab w:val="right" w:leader="dot" w:pos="9062"/>
        </w:tabs>
        <w:divId w:val="1570991818"/>
        <w:rPr>
          <w:rFonts w:asciiTheme="minorHAnsi" w:hAnsiTheme="minorHAnsi" w:cstheme="minorBidi"/>
          <w:noProof/>
          <w:kern w:val="2"/>
          <w:sz w:val="24"/>
          <w14:ligatures w14:val="standardContextual"/>
        </w:rPr>
      </w:pPr>
      <w:r w:rsidRPr="008A6D11">
        <w:rPr>
          <w:rFonts w:eastAsia="Times New Roman"/>
          <w:noProof/>
          <w:lang w:val="nl-NL"/>
        </w:rPr>
        <w:t>Deel XII — De persoonlijke slotverklaring</w:t>
      </w:r>
      <w:r>
        <w:rPr>
          <w:noProof/>
        </w:rPr>
        <w:tab/>
      </w:r>
      <w:r>
        <w:rPr>
          <w:noProof/>
        </w:rPr>
        <w:fldChar w:fldCharType="begin"/>
      </w:r>
      <w:r>
        <w:rPr>
          <w:noProof/>
        </w:rPr>
        <w:instrText xml:space="preserve"> PAGEREF _Toc242191440 \h </w:instrText>
      </w:r>
      <w:r>
        <w:rPr>
          <w:noProof/>
        </w:rPr>
      </w:r>
      <w:r>
        <w:rPr>
          <w:noProof/>
        </w:rPr>
        <w:fldChar w:fldCharType="separate"/>
      </w:r>
      <w:r>
        <w:rPr>
          <w:noProof/>
        </w:rPr>
        <w:t>21</w:t>
      </w:r>
      <w:r>
        <w:rPr>
          <w:noProof/>
        </w:rPr>
        <w:fldChar w:fldCharType="end"/>
      </w:r>
    </w:p>
    <w:p w14:paraId="7A13F689" w14:textId="78E2EAF1" w:rsidR="00A41855" w:rsidRDefault="00A41855" w:rsidP="00A41855">
      <w:pPr>
        <w:pStyle w:val="marker"/>
        <w:divId w:val="1570991818"/>
        <w:rPr>
          <w:lang w:val="nl-NL"/>
        </w:rPr>
      </w:pPr>
      <w:r>
        <w:rPr>
          <w:lang w:val="nl-NL"/>
        </w:rPr>
        <w:fldChar w:fldCharType="end"/>
      </w:r>
    </w:p>
    <w:p w14:paraId="1EED2EA6" w14:textId="77777777" w:rsidR="00A41855" w:rsidRDefault="00A41855">
      <w:pPr>
        <w:pStyle w:val="marker"/>
        <w:ind w:left="800" w:right="800"/>
        <w:divId w:val="273101710"/>
        <w:rPr>
          <w:lang w:val="nl-NL"/>
        </w:rPr>
      </w:pPr>
      <w:r>
        <w:br w:type="page"/>
      </w:r>
    </w:p>
    <w:p w14:paraId="11DF45C2" w14:textId="77777777" w:rsidR="00A41855" w:rsidRDefault="00A41855">
      <w:pPr>
        <w:divId w:val="1858276079"/>
        <w:rPr>
          <w:i/>
          <w:iCs/>
          <w:color w:val="333333"/>
          <w:lang w:val="nl-NL"/>
        </w:rPr>
      </w:pPr>
      <w:r>
        <w:rPr>
          <w:i/>
          <w:iCs/>
          <w:color w:val="333333"/>
          <w:lang w:val="nl-NL"/>
        </w:rPr>
        <w:t xml:space="preserve">Dit is Document D — </w:t>
      </w:r>
      <w:r>
        <w:rPr>
          <w:i/>
          <w:iCs/>
          <w:color w:val="333333"/>
          <w:lang w:val="nl-NL"/>
        </w:rPr>
        <w:t>De synthese van het Systeem-Audit-project. Het brengt de patronen samen die uit het materiaal naar voren komen: de paradoxen, de breuklijnen, de rol van de Europese Unie.</w:t>
      </w:r>
    </w:p>
    <w:p w14:paraId="3D83D6F4" w14:textId="77777777" w:rsidR="00A41855" w:rsidRDefault="00A41855">
      <w:pPr>
        <w:divId w:val="1858276079"/>
        <w:rPr>
          <w:i/>
          <w:iCs/>
          <w:color w:val="333333"/>
          <w:lang w:val="nl-NL"/>
        </w:rPr>
      </w:pPr>
      <w:r>
        <w:rPr>
          <w:i/>
          <w:iCs/>
          <w:color w:val="333333"/>
          <w:lang w:val="nl-NL"/>
        </w:rPr>
        <w:t>Lees het als de conclusie, niet als een samenvatting.</w:t>
      </w:r>
    </w:p>
    <w:p w14:paraId="41ACC580" w14:textId="77777777" w:rsidR="00A41855" w:rsidRDefault="00A41855">
      <w:pPr>
        <w:pStyle w:val="marker"/>
        <w:ind w:left="800" w:right="800"/>
        <w:divId w:val="273101710"/>
        <w:rPr>
          <w:lang w:val="nl-NL"/>
        </w:rPr>
      </w:pPr>
      <w:r>
        <w:br w:type="page"/>
      </w:r>
    </w:p>
    <w:p w14:paraId="1C167674" w14:textId="77777777" w:rsidR="00A41855" w:rsidRDefault="00A41855">
      <w:pPr>
        <w:pStyle w:val="Kop2"/>
        <w:divId w:val="273101710"/>
        <w:rPr>
          <w:rFonts w:eastAsia="Times New Roman"/>
          <w:lang w:val="nl-NL"/>
        </w:rPr>
      </w:pPr>
      <w:bookmarkStart w:id="1" w:name="_Toc242191429"/>
      <w:r>
        <w:rPr>
          <w:rFonts w:eastAsia="Times New Roman"/>
          <w:lang w:val="nl-NL"/>
        </w:rPr>
        <w:t>Deel I — De kern in één oogopslag</w:t>
      </w:r>
      <w:bookmarkEnd w:id="1"/>
    </w:p>
    <w:p w14:paraId="24CB0E5E" w14:textId="77777777" w:rsidR="00A41855" w:rsidRDefault="00A41855">
      <w:pPr>
        <w:pStyle w:val="Normaalweb"/>
        <w:divId w:val="273101710"/>
        <w:rPr>
          <w:lang w:val="nl-NL"/>
        </w:rPr>
      </w:pPr>
      <w:r>
        <w:rPr>
          <w:lang w:val="nl-NL"/>
        </w:rPr>
        <w:t>Het systeem is niet kapot. Het werkt precies zoals het is ontworpen. Het is ontworpen voor mensen die in één vakje passen: wonen, werken en verzekerd zijn in hetzelfde land. Wie in twee landen tegelijk leeft, past in geen van beide. En het systeem heeft geen derde vakje. Het systeem heeft niet eens een derde vakje overwogen.</w:t>
      </w:r>
    </w:p>
    <w:p w14:paraId="1CF2F7E7" w14:textId="77777777" w:rsidR="00A41855" w:rsidRDefault="00A41855">
      <w:pPr>
        <w:pStyle w:val="Normaalweb"/>
        <w:divId w:val="273101710"/>
        <w:rPr>
          <w:lang w:val="nl-NL"/>
        </w:rPr>
      </w:pPr>
      <w:r>
        <w:rPr>
          <w:lang w:val="nl-NL"/>
        </w:rPr>
        <w:t>De kern van dit dossier is niet dat er veel instanties zijn. De kern is dat er één mechanisme is dat zich herhaalt. Dat mechanisme heeft zes vragen, en op elke vraag geeft het systeem hetzelfde antwoord.</w:t>
      </w:r>
    </w:p>
    <w:p w14:paraId="301D24E6" w14:textId="77777777" w:rsidR="00A41855" w:rsidRDefault="00A41855">
      <w:pPr>
        <w:pStyle w:val="Normaalweb"/>
        <w:divId w:val="273101710"/>
        <w:rPr>
          <w:lang w:val="nl-NL"/>
        </w:rPr>
      </w:pPr>
      <w:r>
        <w:rPr>
          <w:rStyle w:val="Zwaar"/>
          <w:lang w:val="nl-NL"/>
        </w:rPr>
        <w:t>Waar speelt dit?</w:t>
      </w:r>
      <w:r>
        <w:rPr>
          <w:lang w:val="nl-NL"/>
        </w:rPr>
        <w:t xml:space="preserve"> Overal waar een nationale regel op een grensoverschrijdende situatie wordt toegepast. De regel gaat ervan uit dat iemand in één land woont, in één land werkt, en in één land verzekerd is. Wie in twee landen tegelijk bestaat, past niet in die aanname. Het systeem ziet hem niet als een uitzondering die om een oplossing vraagt. Het ziet hem als een fout die om een afwijzing vraagt.</w:t>
      </w:r>
    </w:p>
    <w:p w14:paraId="691D4612" w14:textId="77777777" w:rsidR="00A41855" w:rsidRDefault="00A41855">
      <w:pPr>
        <w:pStyle w:val="Normaalweb"/>
        <w:divId w:val="273101710"/>
        <w:rPr>
          <w:lang w:val="nl-NL"/>
        </w:rPr>
      </w:pPr>
      <w:r>
        <w:rPr>
          <w:rStyle w:val="Zwaar"/>
          <w:lang w:val="nl-NL"/>
        </w:rPr>
        <w:t>Wat is het probleem?</w:t>
      </w:r>
      <w:r>
        <w:rPr>
          <w:lang w:val="nl-NL"/>
        </w:rPr>
        <w:t xml:space="preserve"> Het probleem is niet dat de burger niet voldoet aan de voorwaarden. Het probleem is dat de voorwaarden niet zijn gebouwd voor iemand die in twee landen tegelijk voldoet. Elk land eist dat je aan zijn kant voldoet. De burger voldoet aan beide kanten, maar niet in hetzelfde land. En dus voldoet hij aan geen van beide.</w:t>
      </w:r>
    </w:p>
    <w:p w14:paraId="23161B6C" w14:textId="77777777" w:rsidR="00A41855" w:rsidRDefault="00A41855">
      <w:pPr>
        <w:pStyle w:val="Normaalweb"/>
        <w:divId w:val="273101710"/>
        <w:rPr>
          <w:lang w:val="nl-NL"/>
        </w:rPr>
      </w:pPr>
      <w:r>
        <w:rPr>
          <w:rStyle w:val="Zwaar"/>
          <w:lang w:val="nl-NL"/>
        </w:rPr>
        <w:t>Wie is verantwoordelijk?</w:t>
      </w:r>
      <w:r>
        <w:rPr>
          <w:lang w:val="nl-NL"/>
        </w:rPr>
        <w:t xml:space="preserve"> Niemand, en dus iedereen. Elke instantie is alleen bevoegd voor haar eigen stukje. Elke instantie wijst naar de andere. En geen enkele instantie heeft de bevoegdheid om de andere te dwingen.</w:t>
      </w:r>
    </w:p>
    <w:p w14:paraId="2226D3E1" w14:textId="77777777" w:rsidR="00A41855" w:rsidRDefault="00A41855">
      <w:pPr>
        <w:pStyle w:val="Normaalweb"/>
        <w:divId w:val="273101710"/>
        <w:rPr>
          <w:lang w:val="nl-NL"/>
        </w:rPr>
      </w:pPr>
      <w:r>
        <w:rPr>
          <w:rStyle w:val="Zwaar"/>
          <w:lang w:val="nl-NL"/>
        </w:rPr>
        <w:t>Wanneer lost het zich op?</w:t>
      </w:r>
      <w:r>
        <w:rPr>
          <w:lang w:val="nl-NL"/>
        </w:rPr>
        <w:t xml:space="preserve"> Na de lopende procedure. Maar de lopende procedure loopt juist vast omdat elke instantie wacht op een andere. De cirkel is gesloten, en de burger zit erin.</w:t>
      </w:r>
    </w:p>
    <w:p w14:paraId="469B29D1" w14:textId="77777777" w:rsidR="00A41855" w:rsidRDefault="00A41855">
      <w:pPr>
        <w:pStyle w:val="Normaalweb"/>
        <w:divId w:val="273101710"/>
        <w:rPr>
          <w:lang w:val="nl-NL"/>
        </w:rPr>
      </w:pPr>
      <w:r>
        <w:rPr>
          <w:rStyle w:val="Zwaar"/>
          <w:lang w:val="nl-NL"/>
        </w:rPr>
        <w:t>Waarom duurt het zo lang?</w:t>
      </w:r>
      <w:r>
        <w:rPr>
          <w:lang w:val="nl-NL"/>
        </w:rPr>
        <w:t xml:space="preserve"> Omdat elke laag in het systeem een goede reden heeft om niet in te grijpen. Geen bevoegdheid, geen tijd, geen capaciteit, geen politieke prioriteit. Elke laag heeft een eigen logica, en die logica's versterken elkaar in plaats van elkaar te corrigeren.</w:t>
      </w:r>
    </w:p>
    <w:p w14:paraId="49A010EA" w14:textId="77777777" w:rsidR="00A41855" w:rsidRDefault="00A41855">
      <w:pPr>
        <w:pStyle w:val="Normaalweb"/>
        <w:divId w:val="273101710"/>
        <w:rPr>
          <w:lang w:val="nl-NL"/>
        </w:rPr>
      </w:pPr>
      <w:r>
        <w:rPr>
          <w:rStyle w:val="Zwaar"/>
          <w:lang w:val="nl-NL"/>
        </w:rPr>
        <w:t>Hoe komt het goed?</w:t>
      </w:r>
      <w:r>
        <w:rPr>
          <w:lang w:val="nl-NL"/>
        </w:rPr>
        <w:t xml:space="preserve"> Via de rechter. Maar de rechter lost één dossier op, niet het hele systeem. En de rechter is alleen toegankelijk voor wie het zich kan veroorloven.</w:t>
      </w:r>
    </w:p>
    <w:p w14:paraId="1CB5C09E" w14:textId="77777777" w:rsidR="00A41855" w:rsidRDefault="00A41855">
      <w:pPr>
        <w:pStyle w:val="Normaalweb"/>
        <w:divId w:val="273101710"/>
        <w:rPr>
          <w:lang w:val="nl-NL"/>
        </w:rPr>
      </w:pPr>
      <w:r>
        <w:rPr>
          <w:lang w:val="nl-NL"/>
        </w:rPr>
        <w:t>De feiten die deze zes antwoorden onderbouwen, staan in Document A en Document B. De architectuur die eraan ten grondslag ligt, staat in Document C. Wie de feiten leest, ziet de weigeringen. Wie het mechanisme begrijpt, ziet waarom de weigeringen onvermijdelijk zijn.</w:t>
      </w:r>
    </w:p>
    <w:p w14:paraId="4F01BBEB" w14:textId="77777777" w:rsidR="00A41855" w:rsidRDefault="00A41855">
      <w:pPr>
        <w:pStyle w:val="marker"/>
        <w:ind w:left="800" w:right="800"/>
        <w:divId w:val="273101710"/>
        <w:rPr>
          <w:lang w:val="nl-NL"/>
        </w:rPr>
      </w:pPr>
      <w:r>
        <w:br w:type="page"/>
      </w:r>
    </w:p>
    <w:p w14:paraId="5B8B4FD5" w14:textId="77777777" w:rsidR="00A41855" w:rsidRDefault="00A41855">
      <w:pPr>
        <w:pStyle w:val="Kop2"/>
        <w:divId w:val="273101710"/>
        <w:rPr>
          <w:rFonts w:eastAsia="Times New Roman"/>
          <w:lang w:val="nl-NL"/>
        </w:rPr>
      </w:pPr>
      <w:bookmarkStart w:id="2" w:name="_Toc242191430"/>
      <w:r>
        <w:rPr>
          <w:rFonts w:eastAsia="Times New Roman"/>
          <w:lang w:val="nl-NL"/>
        </w:rPr>
        <w:t>Deel II — De twee werelden en hun knopen</w:t>
      </w:r>
      <w:bookmarkEnd w:id="2"/>
    </w:p>
    <w:p w14:paraId="0A828974" w14:textId="77777777" w:rsidR="00A41855" w:rsidRDefault="00A41855">
      <w:pPr>
        <w:pStyle w:val="Normaalweb"/>
        <w:divId w:val="273101710"/>
        <w:rPr>
          <w:lang w:val="nl-NL"/>
        </w:rPr>
      </w:pPr>
      <w:r>
        <w:rPr>
          <w:lang w:val="nl-NL"/>
        </w:rPr>
        <w:t>Er zijn twee werelden die elkaar nooit ontmoeten: de wereld van het lichaam en de wereld van het papier.</w:t>
      </w:r>
    </w:p>
    <w:p w14:paraId="4CDFF045" w14:textId="77777777" w:rsidR="00A41855" w:rsidRDefault="00A41855">
      <w:pPr>
        <w:pStyle w:val="Normaalweb"/>
        <w:divId w:val="273101710"/>
        <w:rPr>
          <w:lang w:val="nl-NL"/>
        </w:rPr>
      </w:pPr>
      <w:r>
        <w:rPr>
          <w:lang w:val="nl-NL"/>
        </w:rPr>
        <w:t>De wereld van het lichaam kan niet wachten. Een infectie wacht niet. Een amputatie wacht niet. Een visusverlies wacht niet. Het lichaam heeft geen wachtlijst die door een systeem kan worden verlengd. De wereld van het lichaam kent één maat: vandaag, gisteren, morgen. En de klok stopt nooit.</w:t>
      </w:r>
    </w:p>
    <w:p w14:paraId="46116BB2" w14:textId="77777777" w:rsidR="00A41855" w:rsidRDefault="00A41855">
      <w:pPr>
        <w:pStyle w:val="Normaalweb"/>
        <w:divId w:val="273101710"/>
        <w:rPr>
          <w:lang w:val="nl-NL"/>
        </w:rPr>
      </w:pPr>
      <w:r>
        <w:rPr>
          <w:lang w:val="nl-NL"/>
        </w:rPr>
        <w:t>De wereld van het papier werkt anders. Daar telt een termijn van dertig dagen. Daar telt een periode van twaalf maanden waarover iemand moet kunnen terugkijken. Daar telt een bezwaartermijn van drie maanden. Daar telt een wachttijd van honderdtachtig dagen. Daar telt een wachttijd van honderdvier weken. De wereld van het papier kent één maat: het systeem zelf. En het systeem stopt nooit.</w:t>
      </w:r>
    </w:p>
    <w:p w14:paraId="255D6355" w14:textId="77777777" w:rsidR="00A41855" w:rsidRDefault="00A41855">
      <w:pPr>
        <w:pStyle w:val="Normaalweb"/>
        <w:divId w:val="273101710"/>
        <w:rPr>
          <w:lang w:val="nl-NL"/>
        </w:rPr>
      </w:pPr>
      <w:r>
        <w:rPr>
          <w:lang w:val="nl-NL"/>
        </w:rPr>
        <w:t>Tussen die twee werelden zit geen brug. Er is een loket. Een loket kan worden gesloten. Een loket kan worden verplaatst. Een loket kan worden bezet door iemand die niet bevoegd is. Een loket heeft geen haast. Een loket heeft geen lichaam.</w:t>
      </w:r>
    </w:p>
    <w:p w14:paraId="0AB87B4A" w14:textId="77777777" w:rsidR="00A41855" w:rsidRDefault="00A41855">
      <w:pPr>
        <w:pStyle w:val="Normaalweb"/>
        <w:divId w:val="273101710"/>
        <w:rPr>
          <w:lang w:val="nl-NL"/>
        </w:rPr>
      </w:pPr>
      <w:r>
        <w:rPr>
          <w:lang w:val="nl-NL"/>
        </w:rPr>
        <w:t>Uit die botsing ontstaan vijf knopen die niet kunnen worden ontward. De feiten van die knopen staan in Document A en Document B. Hier staan de mechanismen.</w:t>
      </w:r>
    </w:p>
    <w:p w14:paraId="625E7D54" w14:textId="77777777" w:rsidR="00A41855" w:rsidRDefault="00A41855">
      <w:pPr>
        <w:pStyle w:val="Normaalweb"/>
        <w:divId w:val="273101710"/>
        <w:rPr>
          <w:lang w:val="nl-NL"/>
        </w:rPr>
      </w:pPr>
      <w:r>
        <w:rPr>
          <w:rStyle w:val="Zwaar"/>
          <w:lang w:val="nl-NL"/>
        </w:rPr>
        <w:t>De eerste knoop: de foutieve registratie.</w:t>
      </w:r>
      <w:r>
        <w:rPr>
          <w:lang w:val="nl-NL"/>
        </w:rPr>
        <w:t xml:space="preserve"> De instantie die als eerste een definitie vastlegt — wie de burger is, welk recht hij aanvraagt, welk statuut hij heeft — schrijft die definitie weg in een gedeelde databank. Alle andere instanties lezen die databank. Een foutieve definitie plant zich automatisch voort door het hele systeem. En geen enkele instantie die later in de keten komt, heeft de bevoegdheid om de bron te dwingen zijn fout te corrigeren. De fout begint bij één loket, en hij eindigt nooit.</w:t>
      </w:r>
    </w:p>
    <w:p w14:paraId="5DFAE93D" w14:textId="77777777" w:rsidR="00A41855" w:rsidRDefault="00A41855">
      <w:pPr>
        <w:pStyle w:val="Normaalweb"/>
        <w:divId w:val="273101710"/>
        <w:rPr>
          <w:lang w:val="nl-NL"/>
        </w:rPr>
      </w:pPr>
      <w:r>
        <w:rPr>
          <w:rStyle w:val="Zwaar"/>
          <w:lang w:val="nl-NL"/>
        </w:rPr>
        <w:t>De tweede knoop: het bewijs dat niet kan worden geleverd.</w:t>
      </w:r>
      <w:r>
        <w:rPr>
          <w:lang w:val="nl-NL"/>
        </w:rPr>
        <w:t xml:space="preserve"> Het systeem eist een bewijsstuk. Het bewijsstuk moet worden geleverd door een instantie die niet bevoegd is om het te leveren, of door een instantie die weigert het te leveren, of door een instantie die niet weet dat ze het moet leveren. De burger kan het bewijs niet zelf maken. De instantie die het kan maken, is de instantie die het niet maakt. En de instantie die het nodig heeft, blijft wachten.</w:t>
      </w:r>
    </w:p>
    <w:p w14:paraId="7DD2AE4F" w14:textId="77777777" w:rsidR="00A41855" w:rsidRDefault="00A41855">
      <w:pPr>
        <w:pStyle w:val="Normaalweb"/>
        <w:divId w:val="273101710"/>
        <w:rPr>
          <w:lang w:val="nl-NL"/>
        </w:rPr>
      </w:pPr>
      <w:r>
        <w:rPr>
          <w:rStyle w:val="Zwaar"/>
          <w:lang w:val="nl-NL"/>
        </w:rPr>
        <w:t>De derde knoop: de drempel die verschuift.</w:t>
      </w:r>
      <w:r>
        <w:rPr>
          <w:lang w:val="nl-NL"/>
        </w:rPr>
        <w:t xml:space="preserve"> De burger levert het bewijs dat wordt gevraagd. Zodra het bewijs is geleverd, verschuift de drempel. Er wordt een nieuwe voorwaarde toegevoegd. De oude voorwaarde was niet de echte voorwaarde; de nieuwe voorwaarde is de echte voorwaarde. De burger levert het nieuwe bewijs. De drempel verschuift opnieuw. De burger is nooit klaar, want "klaar" is geen categorie in het systeem.</w:t>
      </w:r>
    </w:p>
    <w:p w14:paraId="16761526" w14:textId="77777777" w:rsidR="00A41855" w:rsidRDefault="00A41855">
      <w:pPr>
        <w:pStyle w:val="Normaalweb"/>
        <w:divId w:val="273101710"/>
        <w:rPr>
          <w:lang w:val="nl-NL"/>
        </w:rPr>
      </w:pPr>
      <w:r>
        <w:rPr>
          <w:rStyle w:val="Zwaar"/>
          <w:lang w:val="nl-NL"/>
        </w:rPr>
        <w:t>De vierde knoop: het systeem dat zichzelf blokkeert.</w:t>
      </w:r>
      <w:r>
        <w:rPr>
          <w:lang w:val="nl-NL"/>
        </w:rPr>
        <w:t xml:space="preserve"> De instantie die de fout moet corrigeren, is dezelfde instantie die de fout heeft gemaakt. En die instantie heeft geen interne procedure om haar eigen fouten te corrigeren. Als je vraagt om correctie, vraagt de instantie om het formulier dat de instantie zelf moet afleveren. En de instantie weigert het formulier af te leveren, omdat er </w:t>
      </w:r>
      <w:r>
        <w:rPr>
          <w:lang w:val="nl-NL"/>
        </w:rPr>
        <w:lastRenderedPageBreak/>
        <w:t>nog geen beslissing is over het recht. De cirkel is gesloten. De instantie is de poort en de portier tegelijk.</w:t>
      </w:r>
    </w:p>
    <w:p w14:paraId="4B15FD70" w14:textId="77777777" w:rsidR="00A41855" w:rsidRDefault="00A41855">
      <w:pPr>
        <w:pStyle w:val="Normaalweb"/>
        <w:divId w:val="273101710"/>
        <w:rPr>
          <w:lang w:val="nl-NL"/>
        </w:rPr>
      </w:pPr>
      <w:r>
        <w:rPr>
          <w:rStyle w:val="Zwaar"/>
          <w:lang w:val="nl-NL"/>
        </w:rPr>
        <w:t>De vijfde knoop: het systeem dat de schade meet maar niet de oorzaak.</w:t>
      </w:r>
      <w:r>
        <w:rPr>
          <w:lang w:val="nl-NL"/>
        </w:rPr>
        <w:t xml:space="preserve"> Het systeem meet wat iemand vroeger verdiende. Het meet wat iemand volgens zijn fiscale geschiedenis zou moeten kunnen verdienen. Maar het meet niet wat iemand vandaag werkelijk ontvangt. Wanneer een uitkering wordt geblokkeerd, daalt het werkelijke inkomen tot nul. Het systeem registreert die daling niet. Het systeem blijft rekenen met het oude inkomen. Het gezin leeft onder de armoedegrens, maar wordt door het systeem als niet-arm geregistreerd. De armoede wordt door de administratie gecreëerd en door de</w:t>
      </w:r>
      <w:r>
        <w:rPr>
          <w:lang w:val="nl-NL"/>
        </w:rPr>
        <w:t>zelfde administratie ontkend.</w:t>
      </w:r>
    </w:p>
    <w:p w14:paraId="25A89917" w14:textId="77777777" w:rsidR="00A41855" w:rsidRDefault="00A41855">
      <w:pPr>
        <w:pStyle w:val="Normaalweb"/>
        <w:divId w:val="273101710"/>
        <w:rPr>
          <w:lang w:val="nl-NL"/>
        </w:rPr>
      </w:pPr>
      <w:r>
        <w:rPr>
          <w:rStyle w:val="Zwaar"/>
          <w:lang w:val="nl-NL"/>
        </w:rPr>
        <w:t>De blinde vlek.</w:t>
      </w:r>
      <w:r>
        <w:rPr>
          <w:lang w:val="nl-NL"/>
        </w:rPr>
        <w:t xml:space="preserve"> De meeste mensen zien dit niet. Wie nooit de grens oversteekt, merkt niet dat de deuren dicht zijn. Wie in het midden van het land woont, heeft nooit bij een van beide deuren geklopt. Het systeem werkt voor hem. Het systeem is onzichtbaar en comfortabel. Dat is geen bewijs dat het systeem werkt. Dat is bewijs dat het systeem werkt voor een bepaald profiel.</w:t>
      </w:r>
    </w:p>
    <w:p w14:paraId="5005D44E" w14:textId="77777777" w:rsidR="00A41855" w:rsidRDefault="00A41855">
      <w:pPr>
        <w:pStyle w:val="Normaalweb"/>
        <w:divId w:val="273101710"/>
        <w:rPr>
          <w:lang w:val="nl-NL"/>
        </w:rPr>
      </w:pPr>
      <w:r>
        <w:rPr>
          <w:lang w:val="nl-NL"/>
        </w:rPr>
        <w:t>De blinde vlek is niet alleen een nationaal probleem. Ze bestaat ook tussen regio's binnen één land. Dezelfde mechanismen die tussen twee landen spelen, spelen ook tussen twee gewesten, tussen twee kantons, tussen twee deelstaten. Het falen wordt zichtbaar zodra je een grens oversteekt — of dat nu een landsgrens of een gewestgrens is. En wie de grens niet oversteekt, ziet het niet. Dat is geen excuus, maar een structureel gegeven.</w:t>
      </w:r>
    </w:p>
    <w:p w14:paraId="0AAEA315" w14:textId="77777777" w:rsidR="00A41855" w:rsidRDefault="00A41855">
      <w:pPr>
        <w:pStyle w:val="Normaalweb"/>
        <w:divId w:val="273101710"/>
        <w:rPr>
          <w:lang w:val="nl-NL"/>
        </w:rPr>
      </w:pPr>
      <w:r>
        <w:rPr>
          <w:rStyle w:val="Zwaar"/>
          <w:lang w:val="nl-NL"/>
        </w:rPr>
        <w:t>De verwarring tussen reisvrijheid en lidmaatschap.</w:t>
      </w:r>
      <w:r>
        <w:rPr>
          <w:lang w:val="nl-NL"/>
        </w:rPr>
        <w:t xml:space="preserve"> Er is nog een dimensie aan de blinde vlek: de verwarring tussen twee verschillende dingen die mensen door elkaar halen. Het recht om vrij te reizen tussen landen is iets anders dan het recht om in een land te werken en er sociale rechten op te bouwen. Een land kan lid zijn van de Europese Unie zonder dat je er vrij kunt reizen. Een land kan de euro gebruiken zonder lid te zijn van de Europese Unie. De categorieën die politici gebruiken — lid van de Europese Unie, lid van de reisvrijheid, lid van de euro — </w:t>
      </w:r>
      <w:r>
        <w:rPr>
          <w:lang w:val="nl-NL"/>
        </w:rPr>
        <w:t>vallen niet samen met de geleefde werkelijkheid van iemand die de grens oversteekt.</w:t>
      </w:r>
    </w:p>
    <w:p w14:paraId="7082000C" w14:textId="77777777" w:rsidR="00A41855" w:rsidRDefault="00A41855">
      <w:pPr>
        <w:pStyle w:val="marker"/>
        <w:ind w:left="800" w:right="800"/>
        <w:divId w:val="273101710"/>
        <w:rPr>
          <w:lang w:val="nl-NL"/>
        </w:rPr>
      </w:pPr>
      <w:r>
        <w:br w:type="page"/>
      </w:r>
    </w:p>
    <w:p w14:paraId="3B29CEB4" w14:textId="77777777" w:rsidR="00A41855" w:rsidRDefault="00A41855">
      <w:pPr>
        <w:pStyle w:val="Kop2"/>
        <w:divId w:val="273101710"/>
        <w:rPr>
          <w:rFonts w:eastAsia="Times New Roman"/>
          <w:lang w:val="nl-NL"/>
        </w:rPr>
      </w:pPr>
      <w:bookmarkStart w:id="3" w:name="_Toc242191431"/>
      <w:r>
        <w:rPr>
          <w:rFonts w:eastAsia="Times New Roman"/>
          <w:lang w:val="nl-NL"/>
        </w:rPr>
        <w:t>Deel III — Het mechanisme van het falen</w:t>
      </w:r>
      <w:bookmarkEnd w:id="3"/>
    </w:p>
    <w:p w14:paraId="4DEB930D" w14:textId="77777777" w:rsidR="00A41855" w:rsidRDefault="00A41855">
      <w:pPr>
        <w:pStyle w:val="Normaalweb"/>
        <w:divId w:val="273101710"/>
        <w:rPr>
          <w:lang w:val="nl-NL"/>
        </w:rPr>
      </w:pPr>
      <w:r>
        <w:rPr>
          <w:lang w:val="nl-NL"/>
        </w:rPr>
        <w:t>Het systeem heeft vier lagen. Elke laag heeft een eigen logica. En die logica's versterken elkaar in plaats van elkaar te corrigeren.</w:t>
      </w:r>
    </w:p>
    <w:p w14:paraId="61753462" w14:textId="77777777" w:rsidR="00A41855" w:rsidRDefault="00A41855">
      <w:pPr>
        <w:pStyle w:val="Normaalweb"/>
        <w:divId w:val="273101710"/>
        <w:rPr>
          <w:lang w:val="nl-NL"/>
        </w:rPr>
      </w:pPr>
      <w:r>
        <w:rPr>
          <w:rStyle w:val="Zwaar"/>
          <w:lang w:val="nl-NL"/>
        </w:rPr>
        <w:t>De uitvoerende laag: de logica van de regel.</w:t>
      </w:r>
      <w:r>
        <w:rPr>
          <w:lang w:val="nl-NL"/>
        </w:rPr>
        <w:t xml:space="preserve"> Dit zijn de loketten, de ziekenfondsen, de uitkeringsinstanties. Zij passen de regels toe. De regels zijn nationaal. De regels gaan ervan uit dat iemand in één land woont, in één land werkt, en in één land verzekerd is. Wie niet in die aanname past, veroorzaakt een fout. De fout wordt niet gezien als een signaal dat de regel moet worden aangepast. De fout wordt gezien als een bewijs dat de burger niet voldoet. De uitvoerende laag heeft geen bevoegdheid om de regel te veranderen. Ze heeft alleen de bevoegdh</w:t>
      </w:r>
      <w:r>
        <w:rPr>
          <w:lang w:val="nl-NL"/>
        </w:rPr>
        <w:t>eid om de regel toe te passen. En de regel is wat hij is.</w:t>
      </w:r>
    </w:p>
    <w:p w14:paraId="68678B8F" w14:textId="77777777" w:rsidR="00A41855" w:rsidRDefault="00A41855">
      <w:pPr>
        <w:pStyle w:val="Normaalweb"/>
        <w:divId w:val="273101710"/>
        <w:rPr>
          <w:lang w:val="nl-NL"/>
        </w:rPr>
      </w:pPr>
      <w:r>
        <w:rPr>
          <w:rStyle w:val="Zwaar"/>
          <w:lang w:val="nl-NL"/>
        </w:rPr>
        <w:t>De toezichthoudende laag: de logica van de zelfbeperking.</w:t>
      </w:r>
      <w:r>
        <w:rPr>
          <w:lang w:val="nl-NL"/>
        </w:rPr>
        <w:t xml:space="preserve"> Dit zijn de controleurs, de inspecties, de ombudsdiensten. Zij zien de fout. Maar ze hebben een goede reden om niet in te grijpen. Een toezichthouder die zijn bevoegdheid oprekt, riskeert dat zijn beslissing wordt aangevochten. De veiligste positie is altijd de smalste interpretatie van de eigen bevoegdheid. De toezichthouder grijpt dus niet in. Niet omdat hij niet wil. Omdat hij niet durft. En zijn angst is rationeel: het systeem beloont zelfbeperking en bestraft durf.</w:t>
      </w:r>
    </w:p>
    <w:p w14:paraId="6761E5BB" w14:textId="77777777" w:rsidR="00A41855" w:rsidRDefault="00A41855">
      <w:pPr>
        <w:pStyle w:val="Normaalweb"/>
        <w:divId w:val="273101710"/>
        <w:rPr>
          <w:lang w:val="nl-NL"/>
        </w:rPr>
      </w:pPr>
      <w:r>
        <w:rPr>
          <w:rStyle w:val="Zwaar"/>
          <w:lang w:val="nl-NL"/>
        </w:rPr>
        <w:t>De democratische laag: de logica van de tijdschaal.</w:t>
      </w:r>
      <w:r>
        <w:rPr>
          <w:lang w:val="nl-NL"/>
        </w:rPr>
        <w:t xml:space="preserve"> Dit is het parlement, de ombudsman, de commissies. Zij ontvangen de klacht. Maar ze bewegen op een tijdschaal die niet compatibel is met de urgentie van de crisis. Een commissiedebat duurt maanden. Een wetswijziging duurt jaren. Een medische crisis duurt dagen. De democratische laag kan de wet veranderen, maar ze doet het niet zolang er geen politieke druk is. En er is geen politieke druk voor een probleem dat alleen grensarbeiders treft. De tijdschaal van de democratie en de tijdschaal van het lichaam zij</w:t>
      </w:r>
      <w:r>
        <w:rPr>
          <w:lang w:val="nl-NL"/>
        </w:rPr>
        <w:t>n fundamenteel onverenigbaar.</w:t>
      </w:r>
    </w:p>
    <w:p w14:paraId="31B72FA5" w14:textId="77777777" w:rsidR="00A41855" w:rsidRDefault="00A41855">
      <w:pPr>
        <w:pStyle w:val="Normaalweb"/>
        <w:divId w:val="273101710"/>
        <w:rPr>
          <w:lang w:val="nl-NL"/>
        </w:rPr>
      </w:pPr>
      <w:r>
        <w:rPr>
          <w:rStyle w:val="Zwaar"/>
          <w:lang w:val="nl-NL"/>
        </w:rPr>
        <w:t>De symbolische laag: de logica van de onmacht.</w:t>
      </w:r>
      <w:r>
        <w:rPr>
          <w:lang w:val="nl-NL"/>
        </w:rPr>
        <w:t xml:space="preserve"> Dit is het staatshoofd. Hij ontvangt het verzoekschrift. Hij bevestigt de ontvangst. Hij stuurt het door naar de bevoegde minister. Daarmee stopt de interventie. De symbolische laag heeft geen uitvoerende macht. Hij is een eindhalte.</w:t>
      </w:r>
    </w:p>
    <w:p w14:paraId="5BAB9851" w14:textId="77777777" w:rsidR="00A41855" w:rsidRDefault="00A41855">
      <w:pPr>
        <w:pStyle w:val="Normaalweb"/>
        <w:divId w:val="273101710"/>
        <w:rPr>
          <w:lang w:val="nl-NL"/>
        </w:rPr>
      </w:pPr>
      <w:r>
        <w:rPr>
          <w:rStyle w:val="Zwaar"/>
          <w:lang w:val="nl-NL"/>
        </w:rPr>
        <w:t>De cirkel.</w:t>
      </w:r>
      <w:r>
        <w:rPr>
          <w:lang w:val="nl-NL"/>
        </w:rPr>
        <w:t xml:space="preserve"> Elke laag heeft een reden om niet in te grijpen. De uitvoerende laag past de regels toe, maar de regels zijn niet gebouwd voor deze situatie. De toezichthoudende laag ziet de fout, maar mag niet ingrijpen. De democratische laag kan de wet veranderen, maar doet het niet zolang er geen politieke druk is. De symbolische laag heeft geen macht. En de enige die overblijft is de rechter. Maar de rechter lost één dossier op, niet het hele systeem. En de rechter is alleen toegankelijk voor wie het zich kan veroorlo</w:t>
      </w:r>
      <w:r>
        <w:rPr>
          <w:lang w:val="nl-NL"/>
        </w:rPr>
        <w:t>ven.</w:t>
      </w:r>
    </w:p>
    <w:p w14:paraId="60FF5149" w14:textId="77777777" w:rsidR="00A41855" w:rsidRDefault="00A41855">
      <w:pPr>
        <w:pStyle w:val="Normaalweb"/>
        <w:divId w:val="273101710"/>
        <w:rPr>
          <w:lang w:val="nl-NL"/>
        </w:rPr>
      </w:pPr>
      <w:r>
        <w:rPr>
          <w:lang w:val="nl-NL"/>
        </w:rPr>
        <w:t>Het systeem is niet kapot. Het werkt zoals het is ontworpen. Het is ontworpen voor mensen die binnen de lijnen passen. Wie buiten de lijnen valt, valt tussen de lijnen. En tussen de lijnen is geen vangnet. Dat is geen fout. Dat is het ontwerp.</w:t>
      </w:r>
    </w:p>
    <w:p w14:paraId="3DDE5302" w14:textId="77777777" w:rsidR="00A41855" w:rsidRDefault="00A41855">
      <w:pPr>
        <w:pStyle w:val="Normaalweb"/>
        <w:divId w:val="273101710"/>
        <w:rPr>
          <w:lang w:val="nl-NL"/>
        </w:rPr>
      </w:pPr>
      <w:r>
        <w:rPr>
          <w:rStyle w:val="Zwaar"/>
          <w:lang w:val="nl-NL"/>
        </w:rPr>
        <w:t>De rode draad door alle lagen.</w:t>
      </w:r>
      <w:r>
        <w:rPr>
          <w:lang w:val="nl-NL"/>
        </w:rPr>
        <w:t xml:space="preserve"> In elke laag gebeurt hetzelfde. Een instantie ziet een probleem. De instantie stelt vast dat het probleem niet binnen haar bevoegdheid valt. De instantie verwijst naar een andere instantie. De andere </w:t>
      </w:r>
      <w:r>
        <w:rPr>
          <w:lang w:val="nl-NL"/>
        </w:rPr>
        <w:lastRenderedPageBreak/>
        <w:t>instantie doet hetzelfde. En de burger wordt geacht de verbinding te zijn tussen al die instanties. De burger is de enige actor in het systeem die geen bevoegdheid heeft om iets te beslissen, maar die wel de enige actor is die het hele systeem moet laten werken.</w:t>
      </w:r>
    </w:p>
    <w:p w14:paraId="15234660" w14:textId="77777777" w:rsidR="00A41855" w:rsidRDefault="00A41855">
      <w:pPr>
        <w:pStyle w:val="Normaalweb"/>
        <w:divId w:val="273101710"/>
        <w:rPr>
          <w:lang w:val="nl-NL"/>
        </w:rPr>
      </w:pPr>
      <w:r>
        <w:rPr>
          <w:lang w:val="nl-NL"/>
        </w:rPr>
        <w:t>De feiten van dit mechanisme staan in Document A en Document B. Daar staat welke instantie welke fout maakte, welke brief wanneer werd verstuurd, welke beslissing wanneer werd genomen. Hier staat alleen het patroon.</w:t>
      </w:r>
    </w:p>
    <w:p w14:paraId="7141490A" w14:textId="77777777" w:rsidR="00A41855" w:rsidRDefault="00A41855">
      <w:pPr>
        <w:pStyle w:val="marker"/>
        <w:ind w:left="800" w:right="800"/>
        <w:divId w:val="273101710"/>
        <w:rPr>
          <w:lang w:val="nl-NL"/>
        </w:rPr>
      </w:pPr>
      <w:r>
        <w:br w:type="page"/>
      </w:r>
    </w:p>
    <w:p w14:paraId="5897CB37" w14:textId="77777777" w:rsidR="00A41855" w:rsidRDefault="00A41855">
      <w:pPr>
        <w:pStyle w:val="Kop2"/>
        <w:divId w:val="273101710"/>
        <w:rPr>
          <w:rFonts w:eastAsia="Times New Roman"/>
          <w:lang w:val="nl-NL"/>
        </w:rPr>
      </w:pPr>
      <w:bookmarkStart w:id="4" w:name="_Toc242191432"/>
      <w:r>
        <w:rPr>
          <w:rFonts w:eastAsia="Times New Roman"/>
          <w:lang w:val="nl-NL"/>
        </w:rPr>
        <w:t>Deel IV — De asymmetrie tussen fysieke en administratieve grenzen</w:t>
      </w:r>
      <w:bookmarkEnd w:id="4"/>
    </w:p>
    <w:p w14:paraId="525BF3F7" w14:textId="77777777" w:rsidR="00A41855" w:rsidRDefault="00A41855">
      <w:pPr>
        <w:pStyle w:val="Normaalweb"/>
        <w:divId w:val="273101710"/>
        <w:rPr>
          <w:lang w:val="nl-NL"/>
        </w:rPr>
      </w:pPr>
      <w:r>
        <w:rPr>
          <w:lang w:val="nl-NL"/>
        </w:rPr>
        <w:t>De Europese integratie is gebouwd op de opheffing van fysieke grenzen. In 1944 ondertekenden België, Nederland en Luxemburg een douane-unie. In 1951 werd de Europese Gemeenschap voor Kolen en Staal opgericht. In 1957 volgde de Europese Economische Gemeenschap. In 1985 werd het Akkoord van Schengen ondertekend, dat de afschaffing van de binnengrenzen regelde. Het doel was de vrije verplaatsing van personen, goederen, diensten en kapitaal.</w:t>
      </w:r>
    </w:p>
    <w:p w14:paraId="2CAB35A8" w14:textId="77777777" w:rsidR="00A41855" w:rsidRDefault="00A41855">
      <w:pPr>
        <w:pStyle w:val="Normaalweb"/>
        <w:divId w:val="273101710"/>
        <w:rPr>
          <w:lang w:val="nl-NL"/>
        </w:rPr>
      </w:pPr>
      <w:r>
        <w:rPr>
          <w:lang w:val="nl-NL"/>
        </w:rPr>
        <w:t>In de fysieke realiteit is die doelstelling gerealiseerd. De grensposten zijn ontmanteld. De verplaatsing over de landsgrenzen verloopt zonder controle. Een burger rijdt met de auto van Nederland naar België, van België naar Frankrijk, van Frankrijk naar Duitsland, zonder te stoppen. Die openstelling heeft veertig jaar gekost, van 1944 tot 1985. Daarna was ze een feit.</w:t>
      </w:r>
    </w:p>
    <w:p w14:paraId="3F36293A" w14:textId="77777777" w:rsidR="00A41855" w:rsidRDefault="00A41855">
      <w:pPr>
        <w:pStyle w:val="Normaalweb"/>
        <w:divId w:val="273101710"/>
        <w:rPr>
          <w:lang w:val="nl-NL"/>
        </w:rPr>
      </w:pPr>
      <w:r>
        <w:rPr>
          <w:lang w:val="nl-NL"/>
        </w:rPr>
        <w:t>De administratieve realiteit is asymmetrisch gebleven. Terwijl de grens voor het menselijk lichaam is verdwenen, zijn de nationale uitvoeringssystemen nooit gefuseerd of gestandaardiseerd. Elk land behoudt zijn eigen ziekenfonds, zijn eigen belastingdienst, zijn eigen uitkeringsinstantie en zijn eigen handicapregistratie.</w:t>
      </w:r>
    </w:p>
    <w:p w14:paraId="1BD85C95" w14:textId="77777777" w:rsidR="00A41855" w:rsidRDefault="00A41855">
      <w:pPr>
        <w:pStyle w:val="Normaalweb"/>
        <w:divId w:val="273101710"/>
        <w:rPr>
          <w:lang w:val="nl-NL"/>
        </w:rPr>
      </w:pPr>
      <w:r>
        <w:rPr>
          <w:lang w:val="nl-NL"/>
        </w:rPr>
        <w:t>Hier ligt de fundamentele weeffout. De Europese wetgever heeft de fysieke ruimte geopend, maar de nationale uitvoerende macht heeft de achterliggende computersystemen uitsluitend nationaal geprogrammeerd. De infrastructuur — de snelweg — is transnationaal. Het administratieve beslispunt — het loket — is strikt nationaal gebleven.</w:t>
      </w:r>
    </w:p>
    <w:p w14:paraId="566470AE" w14:textId="77777777" w:rsidR="00A41855" w:rsidRDefault="00A41855">
      <w:pPr>
        <w:pStyle w:val="Normaalweb"/>
        <w:divId w:val="273101710"/>
        <w:rPr>
          <w:lang w:val="nl-NL"/>
        </w:rPr>
      </w:pPr>
      <w:r>
        <w:rPr>
          <w:lang w:val="nl-NL"/>
        </w:rPr>
        <w:t>De wetgevende correctie voor deze ontkoppeling vertoont een structurele vertraging. In april 2026 is via een triloog een voorlopig politiek akkoord bereikt over de herziening van Verordening 883/2004, de wet die de sociale zekerheid tussen lidstaten coördineert. In juli 2026 werd de herziene tekst formeel aangenomen. De daadwerkelijke operationele implementatie — waaronder de verschuiving van de werkloosheidsbevoegdheid naar het werkland na een aaneengesloten periode van 22 weken — is echter pas gepland voo</w:t>
      </w:r>
      <w:r>
        <w:rPr>
          <w:lang w:val="nl-NL"/>
        </w:rPr>
        <w:t>r 2030 of 2031 wegens vereiste IT-aanpassingen.</w:t>
      </w:r>
    </w:p>
    <w:p w14:paraId="6643B806" w14:textId="77777777" w:rsidR="00A41855" w:rsidRDefault="00A41855">
      <w:pPr>
        <w:pStyle w:val="Normaalweb"/>
        <w:divId w:val="273101710"/>
        <w:rPr>
          <w:lang w:val="nl-NL"/>
        </w:rPr>
      </w:pPr>
      <w:r>
        <w:rPr>
          <w:lang w:val="nl-NL"/>
        </w:rPr>
        <w:t>De volledige wetgevingscyclus, van eerste voorstel tot inwerkingtreding, beslaat hiermee meer dan tien jaar onderhandelen en vier jaar wachten op de uitvoering. Veertien jaar voor een software-update.</w:t>
      </w:r>
    </w:p>
    <w:p w14:paraId="4EF79ED6" w14:textId="77777777" w:rsidR="00A41855" w:rsidRDefault="00A41855">
      <w:pPr>
        <w:pStyle w:val="Normaalweb"/>
        <w:divId w:val="273101710"/>
        <w:rPr>
          <w:lang w:val="nl-NL"/>
        </w:rPr>
      </w:pPr>
      <w:r>
        <w:rPr>
          <w:lang w:val="nl-NL"/>
        </w:rPr>
        <w:t>Ook de digitale oplossingen in dit hervormingspakket stagneren op de drempel van de datasilo. De introductie van de European Social Security Pass, gekoppeld aan de Europese digitale identiteitsportemonnee, digitaliseert de drager van de documenten. Het stelt overheden in staat de documenten snel te verifiëren, maar het dwingt geen automatische gegevensstroom af tussen de nationale systemen. Het haalt de gegevens niet actief op bij de bron. De voordeur wordt gedigitaliseerd, maar de achterdeur blijft geslote</w:t>
      </w:r>
      <w:r>
        <w:rPr>
          <w:lang w:val="nl-NL"/>
        </w:rPr>
        <w:t>n.</w:t>
      </w:r>
    </w:p>
    <w:p w14:paraId="0C955DB9" w14:textId="77777777" w:rsidR="00A41855" w:rsidRDefault="00A41855">
      <w:pPr>
        <w:pStyle w:val="Normaalweb"/>
        <w:divId w:val="273101710"/>
        <w:rPr>
          <w:lang w:val="nl-NL"/>
        </w:rPr>
      </w:pPr>
      <w:r>
        <w:rPr>
          <w:lang w:val="nl-NL"/>
        </w:rPr>
        <w:lastRenderedPageBreak/>
        <w:t>De macro-economische projecties van de Europese Commissie voorspellen tegen 2040 zes miljard euro aan besparingen en fraudepreventie. Deze berekening negeert de micro-economische realiteit van de tussenliggende veertien jaar. Gedurende deze latentietijd worden de kosten van het systeemfalen volledig afgewenteld op de burger: de private bank die schulden parkeert tegen zware sancties, de energieleverancier die incassobureaus inschakelt en onuitvoerbare medische keuringen eist, en de private keuringsmarkt die</w:t>
      </w:r>
      <w:r>
        <w:rPr>
          <w:lang w:val="nl-NL"/>
        </w:rPr>
        <w:t xml:space="preserve"> onhaalbare tarieven hanteert voor consulten op afstand. Al deze kosten slaan neer bij het individu, terwijl de oorzaak van de systeemstilstand bij de overheid ligt.</w:t>
      </w:r>
    </w:p>
    <w:p w14:paraId="59393DD9" w14:textId="77777777" w:rsidR="00A41855" w:rsidRDefault="00A41855">
      <w:pPr>
        <w:pStyle w:val="Normaalweb"/>
        <w:divId w:val="273101710"/>
        <w:rPr>
          <w:lang w:val="nl-NL"/>
        </w:rPr>
      </w:pPr>
      <w:r>
        <w:rPr>
          <w:lang w:val="nl-NL"/>
        </w:rPr>
        <w:t>De Benelux was ooit de proeftuin van de Europese integratie. In 1944 werd hier het experiment gestart dat later op Europese schaal zou worden herhaald. De drie landen hebben aangetoond dat open wegen mogelijk zijn. Ze hebben niet aangetoond dat open systemen mogelijk zijn.</w:t>
      </w:r>
    </w:p>
    <w:p w14:paraId="04069E27" w14:textId="77777777" w:rsidR="00A41855" w:rsidRDefault="00A41855">
      <w:pPr>
        <w:pStyle w:val="Normaalweb"/>
        <w:divId w:val="273101710"/>
        <w:rPr>
          <w:lang w:val="nl-NL"/>
        </w:rPr>
      </w:pPr>
      <w:r>
        <w:rPr>
          <w:lang w:val="nl-NL"/>
        </w:rPr>
        <w:t>De grensarbeider is de foutmelding van een half afgewerkt ontwerp. De fysieke architectuur is voltooid. De administratieve architectuur niet.</w:t>
      </w:r>
    </w:p>
    <w:p w14:paraId="2C47395B" w14:textId="77777777" w:rsidR="00A41855" w:rsidRDefault="00A41855">
      <w:pPr>
        <w:pStyle w:val="marker"/>
        <w:ind w:left="800" w:right="800"/>
        <w:divId w:val="273101710"/>
        <w:rPr>
          <w:lang w:val="nl-NL"/>
        </w:rPr>
      </w:pPr>
      <w:r>
        <w:br w:type="page"/>
      </w:r>
    </w:p>
    <w:p w14:paraId="20F7261F" w14:textId="77777777" w:rsidR="00A41855" w:rsidRDefault="00A41855">
      <w:pPr>
        <w:pStyle w:val="Kop2"/>
        <w:divId w:val="273101710"/>
        <w:rPr>
          <w:rFonts w:eastAsia="Times New Roman"/>
          <w:lang w:val="nl-NL"/>
        </w:rPr>
      </w:pPr>
      <w:bookmarkStart w:id="5" w:name="_Toc242191433"/>
      <w:r>
        <w:rPr>
          <w:rFonts w:eastAsia="Times New Roman"/>
          <w:lang w:val="nl-NL"/>
        </w:rPr>
        <w:t>Deel V — De cijfers en de schaal</w:t>
      </w:r>
      <w:bookmarkEnd w:id="5"/>
    </w:p>
    <w:p w14:paraId="447E3ECA" w14:textId="77777777" w:rsidR="00A41855" w:rsidRDefault="00A41855">
      <w:pPr>
        <w:pStyle w:val="Normaalweb"/>
        <w:divId w:val="273101710"/>
        <w:rPr>
          <w:lang w:val="nl-NL"/>
        </w:rPr>
      </w:pPr>
      <w:r>
        <w:rPr>
          <w:lang w:val="nl-NL"/>
        </w:rPr>
        <w:t>Het probleem is niet uniek voor deze casus. Hier volgt een overzicht van de schaal op Europees niveau.</w:t>
      </w:r>
    </w:p>
    <w:p w14:paraId="3A3BA8D2" w14:textId="77777777" w:rsidR="00A41855" w:rsidRDefault="00A41855">
      <w:pPr>
        <w:pStyle w:val="Normaalweb"/>
        <w:divId w:val="273101710"/>
        <w:rPr>
          <w:lang w:val="nl-NL"/>
        </w:rPr>
      </w:pPr>
      <w:r>
        <w:rPr>
          <w:lang w:val="nl-NL"/>
        </w:rPr>
        <w:t>In de Europese Unie leven miljoenen mensen in een ander land dan waar ze werken of waar ze vandaan komen. Het aantal groeit structureel door het beleid van de Europese Unie voor arbeidsmobiliteit, de uitbreiding van telewerk en de bevolkingsontwikkeling in grensregio's.</w:t>
      </w:r>
    </w:p>
    <w:p w14:paraId="1DC8472C" w14:textId="77777777" w:rsidR="00A41855" w:rsidRDefault="00A41855">
      <w:pPr>
        <w:pStyle w:val="Normaalweb"/>
        <w:divId w:val="273101710"/>
        <w:rPr>
          <w:lang w:val="nl-NL"/>
        </w:rPr>
      </w:pPr>
      <w:r>
        <w:rPr>
          <w:lang w:val="nl-NL"/>
        </w:rPr>
        <w:t>De instroom van klachten bij het informele Europese bemiddelingsnetwerk groeit met tientallen procenten per jaar. Het probleem wordt groter, niet kleiner.</w:t>
      </w:r>
    </w:p>
    <w:p w14:paraId="3FECB09C" w14:textId="77777777" w:rsidR="00A41855" w:rsidRDefault="00A41855">
      <w:pPr>
        <w:pStyle w:val="marker"/>
        <w:ind w:left="800" w:right="800"/>
        <w:divId w:val="273101710"/>
        <w:rPr>
          <w:lang w:val="nl-NL"/>
        </w:rPr>
      </w:pPr>
      <w:r>
        <w:br w:type="page"/>
      </w:r>
    </w:p>
    <w:p w14:paraId="0AB60773" w14:textId="77777777" w:rsidR="00A41855" w:rsidRDefault="00A41855">
      <w:pPr>
        <w:pStyle w:val="Kop2"/>
        <w:divId w:val="273101710"/>
        <w:rPr>
          <w:rFonts w:eastAsia="Times New Roman"/>
          <w:lang w:val="nl-NL"/>
        </w:rPr>
      </w:pPr>
      <w:bookmarkStart w:id="6" w:name="_Toc242191434"/>
      <w:r>
        <w:rPr>
          <w:rFonts w:eastAsia="Times New Roman"/>
          <w:lang w:val="nl-NL"/>
        </w:rPr>
        <w:t>Deel VI — De Europese dimensie</w:t>
      </w:r>
      <w:bookmarkEnd w:id="6"/>
    </w:p>
    <w:p w14:paraId="044882F3" w14:textId="77777777" w:rsidR="00A41855" w:rsidRDefault="00A41855">
      <w:pPr>
        <w:pStyle w:val="Normaalweb"/>
        <w:divId w:val="273101710"/>
        <w:rPr>
          <w:lang w:val="nl-NL"/>
        </w:rPr>
      </w:pPr>
      <w:r>
        <w:rPr>
          <w:lang w:val="nl-NL"/>
        </w:rPr>
        <w:t>Het probleem is niet Belgisch-Nederlands. Het is Europees. Vier casussen tonen dat aan. Deze casussen zijn ontleend aan openbare Europese beleidsliteratuur en academisch onderzoek. Ze staan niet in Document A of Document B, want die documenten beschrijven één individuele casus. Ze staan hier omdat ze aantonen dat het mechanisme dat in die ene casus zichtbaar wordt, zich in elke Europese grensregio herhaalt.</w:t>
      </w:r>
    </w:p>
    <w:p w14:paraId="6CD45248" w14:textId="77777777" w:rsidR="00A41855" w:rsidRDefault="00A41855">
      <w:pPr>
        <w:pStyle w:val="Normaalweb"/>
        <w:divId w:val="273101710"/>
        <w:rPr>
          <w:lang w:val="nl-NL"/>
        </w:rPr>
      </w:pPr>
      <w:r>
        <w:rPr>
          <w:rStyle w:val="Zwaar"/>
          <w:lang w:val="nl-NL"/>
        </w:rPr>
        <w:t>Luxemburg.</w:t>
      </w:r>
      <w:r>
        <w:rPr>
          <w:lang w:val="nl-NL"/>
        </w:rPr>
        <w:t xml:space="preserve"> Luxemburg heeft de hoogste ratio grensoverschrijdende werknemers van de EU. De coördinatie van hun sociale zekerheid verloopt via de Europese verordening, maar de belasting- en sociale zekerheidsdrempels voor telewerk zijn fundamenteel niet op elkaar afgestemd. Een werknemer die tussen twee drempels thuiswerkt, bevindt zich in een juridisch niemandsland. Twee landen innen op dezelfde grondslag op basis van onverenigbare drempelberekeningen. Dit heeft jaren van bilaterale noodakkoorden vereist voordat er en</w:t>
      </w:r>
      <w:r>
        <w:rPr>
          <w:lang w:val="nl-NL"/>
        </w:rPr>
        <w:t>ige stabilisering optrad — en uitsluitend voor de belastingdimensie, niet voor de sociale zekerheidsdimensie.</w:t>
      </w:r>
    </w:p>
    <w:p w14:paraId="2865823A" w14:textId="77777777" w:rsidR="00A41855" w:rsidRDefault="00A41855">
      <w:pPr>
        <w:pStyle w:val="Normaalweb"/>
        <w:divId w:val="273101710"/>
        <w:rPr>
          <w:lang w:val="nl-NL"/>
        </w:rPr>
      </w:pPr>
      <w:r>
        <w:rPr>
          <w:rStyle w:val="Zwaar"/>
          <w:lang w:val="nl-NL"/>
        </w:rPr>
        <w:t>De Øresundregio.</w:t>
      </w:r>
      <w:r>
        <w:rPr>
          <w:lang w:val="nl-NL"/>
        </w:rPr>
        <w:t xml:space="preserve"> In de regio rond de Sont pendelen dagelijks duizenden grensoverschrijdende werknemers over de grens. Zij zijn sociaal verzekerd in het werkland maar ontvangen bij werkloosheid de uitkering vanuit het woonland. De coördinatie vereist dat de werkgever een ontslagdocument levert dat het buitenlandse werkloosheidsfonds als invoerbaar erkent. In de praktijk verloopt die uitwisseling traag, zijn de documenten niet altijd in een automatisch verwerkbaar formaat, en wacht de burger in de tussentijd zonder uitkering</w:t>
      </w:r>
      <w:r>
        <w:rPr>
          <w:lang w:val="nl-NL"/>
        </w:rPr>
        <w:t>. De regio heeft een gezamenlijk comité dat de informatiedoorstroming monitort, maar dit comité heeft geen bevoegdheid over de uitvoeringsinstanties van beide landen.</w:t>
      </w:r>
    </w:p>
    <w:p w14:paraId="5941BE77" w14:textId="77777777" w:rsidR="00A41855" w:rsidRDefault="00A41855">
      <w:pPr>
        <w:pStyle w:val="Normaalweb"/>
        <w:divId w:val="273101710"/>
        <w:rPr>
          <w:lang w:val="nl-NL"/>
        </w:rPr>
      </w:pPr>
      <w:r>
        <w:rPr>
          <w:rStyle w:val="Zwaar"/>
          <w:lang w:val="nl-NL"/>
        </w:rPr>
        <w:t>Zwitserland/Frankrijk.</w:t>
      </w:r>
      <w:r>
        <w:rPr>
          <w:lang w:val="nl-NL"/>
        </w:rPr>
        <w:t xml:space="preserve"> Zwitserland telt naar schatting honderdduizenden grensoverschrijdende werknemers uit Frankrijk. Telewerken deed een fundamentele spanning ontstaan: de belastingdrempel voor telewerk en de sociale zekerheidsdrempel voor telewerk lopen uit elkaar. Wie tussen beide drempels thuiswerkt, betaalt belastingen in het ene land maar valt voor sociale zekerheid potentieel onder het andere. Dit vereist gelijktijdige aansluiting bij twee stelsels, wat de Europese verordening expliciet verbiedt. De oplossing heeft een t</w:t>
      </w:r>
      <w:r>
        <w:rPr>
          <w:lang w:val="nl-NL"/>
        </w:rPr>
        <w:t>ransitieakkoord, een verlenging en een formele verdragswijziging gevergd, met dagelijkse rapportageverplichtingen voor werkgevers. De administratieve last is van de staat naar de werkgever verschoven; de structurele onverenigbaarheid is niet opgelost.</w:t>
      </w:r>
    </w:p>
    <w:p w14:paraId="4A34BB70" w14:textId="77777777" w:rsidR="00A41855" w:rsidRDefault="00A41855">
      <w:pPr>
        <w:pStyle w:val="Normaalweb"/>
        <w:divId w:val="273101710"/>
        <w:rPr>
          <w:lang w:val="nl-NL"/>
        </w:rPr>
      </w:pPr>
      <w:r>
        <w:rPr>
          <w:rStyle w:val="Zwaar"/>
          <w:lang w:val="nl-NL"/>
        </w:rPr>
        <w:t>De Oostenrijks-Oost-Europese corridor.</w:t>
      </w:r>
      <w:r>
        <w:rPr>
          <w:lang w:val="nl-NL"/>
        </w:rPr>
        <w:t xml:space="preserve"> In de corridor tussen Oostenrijk en Oost-Europese lidstaten is massale detachering van werknemers een gevestigde economische realiteit. Certificaten die bevestigen in welk land een gedetacheerde werknemer sociaal verzekerd is, worden op grote schaal frauduleus gebruikt om lage sociale bijdragen in het detacherende land te handhaven, terwijl de werknemer feitelijk permanent in het ontvangende land werkt. Het Hof van Justitie heeft bepaald dat zelfs wanneer een certificaat kennelijk frauduleus is verkregen, </w:t>
      </w:r>
      <w:r>
        <w:rPr>
          <w:lang w:val="nl-NL"/>
        </w:rPr>
        <w:t>de ontvangende lidstaat zijn eigen wetgeving niet unilateraal mag toepassen voordat hij een dialoog heeft gevoerd met de afgevende lidstaat. Dit dialoogvereiste, bedoeld als bescherming van de werknemer, wordt in de praktijk door frauduleuze werkgevers gebruikt om de toepassing van de ontvangende wetgeving maandenlang te vertragen terwijl de werknemer formeel onbeschermd is.</w:t>
      </w:r>
    </w:p>
    <w:p w14:paraId="64079A37" w14:textId="77777777" w:rsidR="00A41855" w:rsidRDefault="00A41855">
      <w:pPr>
        <w:pStyle w:val="Normaalweb"/>
        <w:divId w:val="273101710"/>
        <w:rPr>
          <w:lang w:val="nl-NL"/>
        </w:rPr>
      </w:pPr>
      <w:r>
        <w:rPr>
          <w:lang w:val="nl-NL"/>
        </w:rPr>
        <w:t>De conclusie uit alle vier de casussen is dezelfde: zelfs in de meest geconcentreerde grensarbeidersregio's van Europa bestaat geen geïntegreerde oplossing. Nationale noodakkoorden zijn de enige uitkomst, zonder structurele correctie.</w:t>
      </w:r>
    </w:p>
    <w:p w14:paraId="161BFBBB" w14:textId="77777777" w:rsidR="00A41855" w:rsidRDefault="00A41855">
      <w:pPr>
        <w:pStyle w:val="marker"/>
        <w:ind w:left="800" w:right="800"/>
        <w:divId w:val="273101710"/>
        <w:rPr>
          <w:lang w:val="nl-NL"/>
        </w:rPr>
      </w:pPr>
      <w:r>
        <w:br w:type="page"/>
      </w:r>
    </w:p>
    <w:p w14:paraId="24D77630" w14:textId="77777777" w:rsidR="00A41855" w:rsidRDefault="00A41855">
      <w:pPr>
        <w:pStyle w:val="Kop2"/>
        <w:divId w:val="273101710"/>
        <w:rPr>
          <w:rFonts w:eastAsia="Times New Roman"/>
          <w:lang w:val="nl-NL"/>
        </w:rPr>
      </w:pPr>
      <w:bookmarkStart w:id="7" w:name="_Toc242191435"/>
      <w:r>
        <w:rPr>
          <w:rFonts w:eastAsia="Times New Roman"/>
          <w:lang w:val="nl-NL"/>
        </w:rPr>
        <w:t>Deel VII — De architectuurfout in de Europese regelgeving</w:t>
      </w:r>
      <w:bookmarkEnd w:id="7"/>
    </w:p>
    <w:p w14:paraId="78DDE2C1" w14:textId="77777777" w:rsidR="00A41855" w:rsidRDefault="00A41855">
      <w:pPr>
        <w:pStyle w:val="Normaalweb"/>
        <w:divId w:val="273101710"/>
        <w:rPr>
          <w:lang w:val="nl-NL"/>
        </w:rPr>
      </w:pPr>
      <w:r>
        <w:rPr>
          <w:lang w:val="nl-NL"/>
        </w:rPr>
        <w:t>De Europese verordening die de sociale zekerheid tussen lidstaten coördineert, bepaalt welk land de bevoegde lidstaat is. De verordening wijst één land aan als verantwoordelijk — doorgaans het werkland — maar voorziet geen automatisch vangnet voor de periodes waarin de toewijzing omstreden is, tijdelijk verandert, of beide landen weigeren de primaire verantwoordelijkheid te aanvaarden.</w:t>
      </w:r>
    </w:p>
    <w:p w14:paraId="735105B7" w14:textId="77777777" w:rsidR="00A41855" w:rsidRDefault="00A41855">
      <w:pPr>
        <w:pStyle w:val="Normaalweb"/>
        <w:divId w:val="273101710"/>
        <w:rPr>
          <w:lang w:val="nl-NL"/>
        </w:rPr>
      </w:pPr>
      <w:r>
        <w:rPr>
          <w:lang w:val="nl-NL"/>
        </w:rPr>
        <w:t>De En/En-paradox — waarbij de burger formeel in het systeem van twee landen zit maar door beide als de verantwoordelijkheid van het andere wordt beschouwd — wordt door de verordening niet opgelost maar slechts omschreven.</w:t>
      </w:r>
    </w:p>
    <w:p w14:paraId="06552436" w14:textId="77777777" w:rsidR="00A41855" w:rsidRDefault="00A41855">
      <w:pPr>
        <w:pStyle w:val="Normaalweb"/>
        <w:divId w:val="273101710"/>
        <w:rPr>
          <w:lang w:val="nl-NL"/>
        </w:rPr>
      </w:pPr>
      <w:r>
        <w:rPr>
          <w:lang w:val="nl-NL"/>
        </w:rPr>
        <w:t>Het bemiddelingsnetwerk fungeert als niet-bindend controlemechanisme. Het registreert een deel van de klachten en produceert een uitkomst, maar de uitkomst heeft geen juridische consequentie voor de instantie die weigert. Een aanbeveling is een aanbeveling. De uitvoeringsinstantie die haar naast zich neerlegt, ondervindt geen gevolg. Het Europese uitwisselingssysteem voor sociale zekerheid bestaat voor elektronische informatie-uitwisseling, maar reactietermijnen voor buitenlandse verzoeken zijn niet afdwing</w:t>
      </w:r>
      <w:r>
        <w:rPr>
          <w:lang w:val="nl-NL"/>
        </w:rPr>
        <w:t>baar. Beide instrumenten zijn procedurele voorzieningen voor een probleem dat structureel had moeten worden opgelost.</w:t>
      </w:r>
    </w:p>
    <w:p w14:paraId="0B5AE04C" w14:textId="77777777" w:rsidR="00A41855" w:rsidRDefault="00A41855">
      <w:pPr>
        <w:pStyle w:val="Normaalweb"/>
        <w:divId w:val="273101710"/>
        <w:rPr>
          <w:lang w:val="nl-NL"/>
        </w:rPr>
      </w:pPr>
      <w:r>
        <w:rPr>
          <w:lang w:val="nl-NL"/>
        </w:rPr>
        <w:t>De feiten van deze architectuurfout staan in Document B. Daar staat welke verordening welke bepaling bevat, welke arresten welke interpretatie geven, welke instanties welke bevoegdheid hebben. Hier staat alleen het patroon.</w:t>
      </w:r>
    </w:p>
    <w:p w14:paraId="4FB5BE05" w14:textId="77777777" w:rsidR="00A41855" w:rsidRDefault="00A41855">
      <w:pPr>
        <w:pStyle w:val="marker"/>
        <w:ind w:left="800" w:right="800"/>
        <w:divId w:val="273101710"/>
        <w:rPr>
          <w:lang w:val="nl-NL"/>
        </w:rPr>
      </w:pPr>
      <w:r>
        <w:br w:type="page"/>
      </w:r>
    </w:p>
    <w:p w14:paraId="26310CF8" w14:textId="77777777" w:rsidR="00A41855" w:rsidRDefault="00A41855">
      <w:pPr>
        <w:pStyle w:val="Kop2"/>
        <w:divId w:val="273101710"/>
        <w:rPr>
          <w:rFonts w:eastAsia="Times New Roman"/>
          <w:lang w:val="nl-NL"/>
        </w:rPr>
      </w:pPr>
      <w:bookmarkStart w:id="8" w:name="_Toc242191436"/>
      <w:r>
        <w:rPr>
          <w:rFonts w:eastAsia="Times New Roman"/>
          <w:lang w:val="nl-NL"/>
        </w:rPr>
        <w:t>Deel VIII — De twee oplossingsroutes</w:t>
      </w:r>
      <w:bookmarkEnd w:id="8"/>
    </w:p>
    <w:p w14:paraId="42CB5A50" w14:textId="77777777" w:rsidR="00A41855" w:rsidRDefault="00A41855">
      <w:pPr>
        <w:pStyle w:val="Normaalweb"/>
        <w:divId w:val="273101710"/>
        <w:rPr>
          <w:lang w:val="nl-NL"/>
        </w:rPr>
      </w:pPr>
      <w:r>
        <w:rPr>
          <w:lang w:val="nl-NL"/>
        </w:rPr>
        <w:t>De grensoverschrijdende burger met een chronische aandoening of erkende beperking heeft in principe twee routes om financieel te functioneren.</w:t>
      </w:r>
    </w:p>
    <w:p w14:paraId="0E548F33" w14:textId="77777777" w:rsidR="00A41855" w:rsidRDefault="00A41855">
      <w:pPr>
        <w:pStyle w:val="Normaalweb"/>
        <w:divId w:val="273101710"/>
        <w:rPr>
          <w:lang w:val="nl-NL"/>
        </w:rPr>
      </w:pPr>
      <w:r>
        <w:rPr>
          <w:rStyle w:val="Zwaar"/>
          <w:lang w:val="nl-NL"/>
        </w:rPr>
        <w:t>De uitkeringsroute.</w:t>
      </w:r>
      <w:r>
        <w:rPr>
          <w:lang w:val="nl-NL"/>
        </w:rPr>
        <w:t xml:space="preserve"> </w:t>
      </w:r>
      <w:r>
        <w:rPr>
          <w:lang w:val="nl-NL"/>
        </w:rPr>
        <w:t>Arbeidsongeschiktheidsuitkering via het bevoegde land. Deze route creëert staatsafhankelijkheid en is onderhevig aan nationale politieke goodwill. De gemiddelde invaliditeitsuitkering in de EU varieert van 800 tot 1.800 euro per maand, levenslang bij permanente arbeidsongeschiktheid. De toegangsbarrière: wachttijden worden niet erkend over grenzen; procedures vereisen nationale beoordelingshistorie; het Europese uitwisselingssysteem werkt traag.</w:t>
      </w:r>
    </w:p>
    <w:p w14:paraId="5D064CBA" w14:textId="77777777" w:rsidR="00A41855" w:rsidRDefault="00A41855">
      <w:pPr>
        <w:pStyle w:val="Normaalweb"/>
        <w:divId w:val="273101710"/>
        <w:rPr>
          <w:lang w:val="nl-NL"/>
        </w:rPr>
      </w:pPr>
      <w:r>
        <w:rPr>
          <w:rStyle w:val="Zwaar"/>
          <w:lang w:val="nl-NL"/>
        </w:rPr>
        <w:t>De fiscale autonomieroute.</w:t>
      </w:r>
      <w:r>
        <w:rPr>
          <w:lang w:val="nl-NL"/>
        </w:rPr>
        <w:t xml:space="preserve"> Toeslagen, verhoogde tegemoetkomingen en fiscale reducties in het woonland op basis van erkende beperking. Deze route kost de staat minder, bevordert economische participatie en behoudt de autonomie van de burger. De toegangsbarrière is identiek: de medische status wordt niet erkend over grenzen, de administratieve categorie van het ene land vertaalt niet naar het andere, en de systemen die de rechten zouden moeten activeren communiceren niet met elkaar.</w:t>
      </w:r>
    </w:p>
    <w:p w14:paraId="55BA540F" w14:textId="77777777" w:rsidR="00A41855" w:rsidRDefault="00A41855">
      <w:pPr>
        <w:pStyle w:val="Normaalweb"/>
        <w:divId w:val="273101710"/>
        <w:rPr>
          <w:lang w:val="nl-NL"/>
        </w:rPr>
      </w:pPr>
      <w:r>
        <w:rPr>
          <w:lang w:val="nl-NL"/>
        </w:rPr>
        <w:t>De fiscale autonomieroute is op de meeste beleidsassen gunstiger dan de uitkeringsroute: ze kost de staat minder, bevordert economische participatie, behoudt burgerautonomie en sluit aan bij de arbeidsmobiliteitsdoelstellingen van de EU. Ze is desondanks even ontoegankelijk als de uitkeringsroute, zolang de medische statusvertaling en de administratieve statuserkenning over grenzen ontbreken. De barrière is niet financieel maar architecturaal.</w:t>
      </w:r>
    </w:p>
    <w:p w14:paraId="6837B124" w14:textId="77777777" w:rsidR="00A41855" w:rsidRDefault="00A41855">
      <w:pPr>
        <w:pStyle w:val="Normaalweb"/>
        <w:divId w:val="273101710"/>
        <w:rPr>
          <w:lang w:val="nl-NL"/>
        </w:rPr>
      </w:pPr>
      <w:r>
        <w:rPr>
          <w:lang w:val="nl-NL"/>
        </w:rPr>
        <w:t>Er is evenwel een dimensie die de eerdere analyse relativeert: in dit dossier is de fiscale autonomieroute in België via een handmatige bypass wél haalbaar gebleken. Een rechtstreeks medisch attest van de huisarts bij de BNI-aangifte, buiten de KSZ en buiten DG HAN om, activeert de verhoogde belastingvrije som en resulteert bij indiening van de aangifte in een berekend saldo van € 2.669,97 in het voordeel van het gezin (in afwachting van het definitieve aanslagbiljet). Dezelfde route bleef via de geautomati</w:t>
      </w:r>
      <w:r>
        <w:rPr>
          <w:lang w:val="nl-NL"/>
        </w:rPr>
        <w:t>seerde overheidsketens (8 versus 9 punten bij DG HAN, RIV-blokkade in Nederland) volledig potdicht. Het onderscheid is leerzaam: de fiscale route is niet onmogelijk, maar de burger en zijn eerstelijnsarts moeten de digitale overheidsketen handmatig omzeilen om hem te laten werken. En dat heeft een paradoxaal neveneffect: een hoger netto gezinsinkomen kan de inkomensafhankelijke toeslagen bij Parentia en SVB juist bedreigen, doordat de automatische herberekening op het fictieve verdienvermogen terugslaat.</w:t>
      </w:r>
    </w:p>
    <w:p w14:paraId="3B93AF49" w14:textId="77777777" w:rsidR="00A41855" w:rsidRDefault="00A41855">
      <w:pPr>
        <w:pStyle w:val="Normaalweb"/>
        <w:divId w:val="273101710"/>
        <w:rPr>
          <w:lang w:val="nl-NL"/>
        </w:rPr>
      </w:pPr>
      <w:r>
        <w:rPr>
          <w:lang w:val="nl-NL"/>
        </w:rPr>
        <w:t>Daarnaast speelt een factor die in de vergelijking tussen beide routes vaak over het hoofd wordt gezien: de politieke economie van de financiering. De Europese Unie heeft geen eigen socialezekerheidsstelsel. Sociale zekerheid is een nationale bevoegdheid. Wat de EU wel doet, is via het Europees Sociaal Fonds Plus programma's co-financieren die gericht zijn op arbeidsmarktintegratie en sociale inclusie. Deze middelen gaan niet naar de uitkering zelf, maar naar de ondersteuning eromheen: opleidingen, begeleid</w:t>
      </w:r>
      <w:r>
        <w:rPr>
          <w:lang w:val="nl-NL"/>
        </w:rPr>
        <w:t>ing naar werk, en projecten die maatschappelijke participatie vergroten.</w:t>
      </w:r>
    </w:p>
    <w:p w14:paraId="2BB84B01" w14:textId="77777777" w:rsidR="00A41855" w:rsidRDefault="00A41855">
      <w:pPr>
        <w:pStyle w:val="Normaalweb"/>
        <w:divId w:val="273101710"/>
        <w:rPr>
          <w:lang w:val="nl-NL"/>
        </w:rPr>
      </w:pPr>
      <w:r>
        <w:rPr>
          <w:lang w:val="nl-NL"/>
        </w:rPr>
        <w:t>Uitkeringen zijn in de Europese Unie grotendeels contributioneel gefinancierd: gemiddeld 64 procent van de werkloosheidsuitkeringen komt uit sociale premies, niet uit belastingen. Fiscale voordelen, zoals belastingverminderingen voor personen met een handicap, komen daarentegen vrijwel volledig uit de nationale algemene middelen. De EU heeft geen instrument om fiscale uitgaven van lidstaten te co-financieren.</w:t>
      </w:r>
    </w:p>
    <w:p w14:paraId="582223C7" w14:textId="77777777" w:rsidR="00A41855" w:rsidRDefault="00A41855">
      <w:pPr>
        <w:pStyle w:val="Normaalweb"/>
        <w:divId w:val="273101710"/>
        <w:rPr>
          <w:lang w:val="nl-NL"/>
        </w:rPr>
      </w:pPr>
      <w:r>
        <w:rPr>
          <w:lang w:val="nl-NL"/>
        </w:rPr>
        <w:t>Dit creëert een financieringsasymmetrie. Voor uitkeringsgerelateerde programma's kan een lidstaat medefinanciering van de EU aanvragen. Voor fiscale voordelen niet. Lidstaten hebben daardoor een grotere financiële prikkel om de uitkeringsroute te versterken dan de fiscale route, ongeacht welke route voor de burger gunstiger is.</w:t>
      </w:r>
    </w:p>
    <w:p w14:paraId="30C36EE6" w14:textId="77777777" w:rsidR="00A41855" w:rsidRDefault="00A41855">
      <w:pPr>
        <w:pStyle w:val="Normaalweb"/>
        <w:divId w:val="273101710"/>
        <w:rPr>
          <w:lang w:val="nl-NL"/>
        </w:rPr>
      </w:pPr>
      <w:r>
        <w:rPr>
          <w:lang w:val="nl-NL"/>
        </w:rPr>
        <w:t>De fiscale route kost de staat minder, maar de staat ontvangt er geen Europese co-financiering voor. De uitkeringsroute kost de staat meer, maar een deel van de ondersteunende kosten kan worden afgedekt met Europese middelen. De politieke economie van de financiering beïnvloedt daarmee de beleidskeuze, los van de vraag welke route voor de burger het meest effectief is.</w:t>
      </w:r>
    </w:p>
    <w:p w14:paraId="7A0C72F5" w14:textId="77777777" w:rsidR="00A41855" w:rsidRDefault="00A41855">
      <w:pPr>
        <w:pStyle w:val="marker"/>
        <w:ind w:left="800" w:right="800"/>
        <w:divId w:val="273101710"/>
        <w:rPr>
          <w:lang w:val="nl-NL"/>
        </w:rPr>
      </w:pPr>
      <w:r>
        <w:br w:type="page"/>
      </w:r>
    </w:p>
    <w:p w14:paraId="20FA6D68" w14:textId="77777777" w:rsidR="00A41855" w:rsidRDefault="00A41855">
      <w:pPr>
        <w:pStyle w:val="Kop2"/>
        <w:divId w:val="273101710"/>
        <w:rPr>
          <w:rFonts w:eastAsia="Times New Roman"/>
          <w:lang w:val="nl-NL"/>
        </w:rPr>
      </w:pPr>
      <w:bookmarkStart w:id="9" w:name="_Toc242191437"/>
      <w:r>
        <w:rPr>
          <w:rFonts w:eastAsia="Times New Roman"/>
          <w:lang w:val="nl-NL"/>
        </w:rPr>
        <w:t>Deel IX — De drie infrastructurele oplossingen</w:t>
      </w:r>
      <w:bookmarkEnd w:id="9"/>
    </w:p>
    <w:p w14:paraId="4243EB19" w14:textId="77777777" w:rsidR="00A41855" w:rsidRDefault="00A41855">
      <w:pPr>
        <w:pStyle w:val="Normaalweb"/>
        <w:divId w:val="273101710"/>
        <w:rPr>
          <w:lang w:val="nl-NL"/>
        </w:rPr>
      </w:pPr>
      <w:r>
        <w:rPr>
          <w:lang w:val="nl-NL"/>
        </w:rPr>
        <w:t>Drie concrete bouwstenen corrigeren de architectuurfouten direct. Ze kunnen afzonderlijk worden ingevoerd, maar bereiken hun volle effect in combinatie.</w:t>
      </w:r>
    </w:p>
    <w:p w14:paraId="429F0063" w14:textId="77777777" w:rsidR="00A41855" w:rsidRDefault="00A41855">
      <w:pPr>
        <w:pStyle w:val="Normaalweb"/>
        <w:divId w:val="273101710"/>
        <w:rPr>
          <w:lang w:val="nl-NL"/>
        </w:rPr>
      </w:pPr>
      <w:r>
        <w:rPr>
          <w:rStyle w:val="Zwaar"/>
          <w:lang w:val="nl-NL"/>
        </w:rPr>
        <w:t>Bouwsteen 1 — Het inschrijvingsmoment als synchronisatiepunt.</w:t>
      </w:r>
      <w:r>
        <w:rPr>
          <w:lang w:val="nl-NL"/>
        </w:rPr>
        <w:t xml:space="preserve"> Wanneer een EU-burger zich officieel uitschrijft in land A en inschrijft in land B, activeert dat één geautoriseerde digitale import van de relevante administratieve data: loopbaanhistoriek, erkende medische statussen, lopende rechten en gezinssituatie. De technische infrastructuur bestaat: het Europese systeem voor digitale identificatie biedt de grondslag, de nationale bevolkingsregisters zijn de triggerpunten, en het Europese uitwisselingssysteem voor sociale zekerheid biedt de capaciteit. Wat ontbreekt</w:t>
      </w:r>
      <w:r>
        <w:rPr>
          <w:lang w:val="nl-NL"/>
        </w:rPr>
        <w:t xml:space="preserve"> is het politieke besluit dat de inschrijvingshandeling de juridische trigger is voor die synchronisatie, en de verplichting voor het uitzendende land om de data te leveren binnen een vastgestelde termijn.</w:t>
      </w:r>
    </w:p>
    <w:p w14:paraId="68DEBBCA" w14:textId="77777777" w:rsidR="00A41855" w:rsidRDefault="00A41855">
      <w:pPr>
        <w:pStyle w:val="Normaalweb"/>
        <w:divId w:val="273101710"/>
        <w:rPr>
          <w:lang w:val="nl-NL"/>
        </w:rPr>
      </w:pPr>
      <w:r>
        <w:rPr>
          <w:rStyle w:val="Zwaar"/>
          <w:lang w:val="nl-NL"/>
        </w:rPr>
        <w:t>Bouwsteen 2 — Het Europees Medisch Statusdocument.</w:t>
      </w:r>
      <w:r>
        <w:rPr>
          <w:lang w:val="nl-NL"/>
        </w:rPr>
        <w:t xml:space="preserve"> Een gestandaardiseerd digitaal document dat de functionele status van een burger over grenzen leesbaar maakt. Het registreert niet de diagnose — de ziekte — maar de functionele beperking: wat kan de persoon wel en niet, welk percentage arbeidsbeperking is erkend, welk land heeft de erkenning formeel vastgesteld en op welke datum. De grondslag is de International Classification of Functioning, Disability and Health van de Wereldgezondheidsorganisatie, die een universeel taalraamwerk biedt dat door 29 Europe</w:t>
      </w:r>
      <w:r>
        <w:rPr>
          <w:lang w:val="nl-NL"/>
        </w:rPr>
        <w:t>se landen al wordt gebruikt in de revalidatiegeneeskunde en de gezondheidszorgstatistiek. Elke nationale instantie publiceert een vertaalsleutel: een gepubliceerde mapping van internationale scores naar haar eigen administratieve categorieën. Wanneer een burger met een statusdocument een aanvraag doet bij een buitenlandse instantie, vertaalt het systeem automatisch zijn score naar de nationale categorie. De burger wordt één keer beoordeeld. De vertaling is automatisch. Geen herkeuring nodig tenzij de medisc</w:t>
      </w:r>
      <w:r>
        <w:rPr>
          <w:lang w:val="nl-NL"/>
        </w:rPr>
        <w:t>he status wijzigt.</w:t>
      </w:r>
    </w:p>
    <w:p w14:paraId="43D72ED1" w14:textId="77777777" w:rsidR="00A41855" w:rsidRDefault="00A41855">
      <w:pPr>
        <w:pStyle w:val="Normaalweb"/>
        <w:divId w:val="273101710"/>
        <w:rPr>
          <w:lang w:val="nl-NL"/>
        </w:rPr>
      </w:pPr>
      <w:r>
        <w:rPr>
          <w:rStyle w:val="Zwaar"/>
          <w:lang w:val="nl-NL"/>
        </w:rPr>
        <w:t>Bouwsteen 3 — De automatische fiscale route-activering.</w:t>
      </w:r>
      <w:r>
        <w:rPr>
          <w:lang w:val="nl-NL"/>
        </w:rPr>
        <w:t xml:space="preserve"> Wanneer het statusdocument een erkende beperking registreert én het inschrijvingsdocument de grensoverschrijdende situatie van de burger bevestigt, activeert het systeem automatisch de fiscale instrumenten die beschikbaar zijn in het woonland. Niet via een handmatige aanvraag, maar via een automatische beslissingsregel gebaseerd op leesbare statusdata. De beslissingslogica werkt als volgt: de score plus de inschrijvingsstatus worden vergeleken met een nationaal gepubliceerde activeringstabel. In Nederland </w:t>
      </w:r>
      <w:r>
        <w:rPr>
          <w:lang w:val="nl-NL"/>
        </w:rPr>
        <w:t>activeert dit automatisch: aanpassing toetsingsinkomen voor toeslagberekening, verhoogde tegemoetkoming voor erkende handicap, en een berekening van het recht op zorgtoeslag, huurtoeslag en kindgebonden budget op basis van het gecorrigeerde inkomen inclusief buitenlandse componenten. In België activeert dit automatisch: de fiscale aftrek voor personen met een handicap, het verhoogde bestaansminimum bij erkende arbeidsongeschiktheid, en een kennisgeving aan de bevoegde dienst dat de burger recht kan hebben o</w:t>
      </w:r>
      <w:r>
        <w:rPr>
          <w:lang w:val="nl-NL"/>
        </w:rPr>
        <w:t>p aanvullende tegemoetkomingen.</w:t>
      </w:r>
    </w:p>
    <w:p w14:paraId="6DC25112" w14:textId="77777777" w:rsidR="00A41855" w:rsidRDefault="00A41855">
      <w:pPr>
        <w:pStyle w:val="marker"/>
        <w:ind w:left="800" w:right="800"/>
        <w:divId w:val="273101710"/>
        <w:rPr>
          <w:lang w:val="nl-NL"/>
        </w:rPr>
      </w:pPr>
      <w:r>
        <w:br w:type="page"/>
      </w:r>
    </w:p>
    <w:p w14:paraId="7A5BBB10" w14:textId="77777777" w:rsidR="00A41855" w:rsidRDefault="00A41855">
      <w:pPr>
        <w:pStyle w:val="Kop2"/>
        <w:divId w:val="273101710"/>
        <w:rPr>
          <w:rFonts w:eastAsia="Times New Roman"/>
          <w:lang w:val="nl-NL"/>
        </w:rPr>
      </w:pPr>
      <w:bookmarkStart w:id="10" w:name="_Toc242191438"/>
      <w:r>
        <w:rPr>
          <w:rFonts w:eastAsia="Times New Roman"/>
          <w:lang w:val="nl-NL"/>
        </w:rPr>
        <w:t>Deel X — De profiteursvraag</w:t>
      </w:r>
      <w:bookmarkEnd w:id="10"/>
    </w:p>
    <w:p w14:paraId="2C2452EB" w14:textId="77777777" w:rsidR="00A41855" w:rsidRDefault="00A41855">
      <w:pPr>
        <w:pStyle w:val="Normaalweb"/>
        <w:divId w:val="273101710"/>
        <w:rPr>
          <w:lang w:val="nl-NL"/>
        </w:rPr>
      </w:pPr>
      <w:r>
        <w:rPr>
          <w:lang w:val="nl-NL"/>
        </w:rPr>
        <w:t>De implementatie van een verbonden systeem roept vragen op omtrent frauderesistentie. Een analyse toont dat het huidige systeem van onverbonden silo's misbruik niet voorkomt, maar uitsluitend de detectie ervan bemoeilijkt. Dubbele uitkeringen in twee landen zijn vandaag technisch mogelijk omdat land A niet weet wat land B toekent, en vice versa. Het Europese uitwisselingssysteem is bedoeld om dit te ondervangen, maar wordt niet afdwingbaar gebruikt. Een verbonden systeem met leesbare statusdata is moeilijke</w:t>
      </w:r>
      <w:r>
        <w:rPr>
          <w:lang w:val="nl-NL"/>
        </w:rPr>
        <w:t>r te misbruiken dan een systeem van silo's, om drie concrete redenen.</w:t>
      </w:r>
    </w:p>
    <w:p w14:paraId="088DCFD3" w14:textId="77777777" w:rsidR="00A41855" w:rsidRDefault="00A41855">
      <w:pPr>
        <w:pStyle w:val="Normaalweb"/>
        <w:divId w:val="273101710"/>
        <w:rPr>
          <w:lang w:val="nl-NL"/>
        </w:rPr>
      </w:pPr>
      <w:r>
        <w:rPr>
          <w:lang w:val="nl-NL"/>
        </w:rPr>
        <w:t>Ten eerste: een internationaal statusdocument is gebaseerd op scores die zijn afgeleid van gevalideerde medische beoordelingen door erkende instanties. Simuleren van een score vereist actieve medewerking van een beoordelend orgaan, wat fraude verschuift van de burger naar de instelling — en daarmee detecteerbaar en sanctioneerbaar maakt.</w:t>
      </w:r>
    </w:p>
    <w:p w14:paraId="436A8BF2" w14:textId="77777777" w:rsidR="00A41855" w:rsidRDefault="00A41855">
      <w:pPr>
        <w:pStyle w:val="Normaalweb"/>
        <w:divId w:val="273101710"/>
        <w:rPr>
          <w:lang w:val="nl-NL"/>
        </w:rPr>
      </w:pPr>
      <w:r>
        <w:rPr>
          <w:lang w:val="nl-NL"/>
        </w:rPr>
        <w:t>Ten tweede: de inschrijvingsdata zijn gekoppeld aan officiële bevolkingsregisters en zijn niet manipuleerbaar door de burger zelf; een valse inschrijving vereist actieve medewerking van de registrerende gemeente.</w:t>
      </w:r>
    </w:p>
    <w:p w14:paraId="6987A8E4" w14:textId="77777777" w:rsidR="00A41855" w:rsidRDefault="00A41855">
      <w:pPr>
        <w:pStyle w:val="Normaalweb"/>
        <w:divId w:val="273101710"/>
        <w:rPr>
          <w:lang w:val="nl-NL"/>
        </w:rPr>
      </w:pPr>
      <w:r>
        <w:rPr>
          <w:lang w:val="nl-NL"/>
        </w:rPr>
        <w:t>Ten derde: de automatische fiscale activering vergelijkt statusdata met de activeringstabel van het woonland; elke activering is gelogd en is voor beide landen raadpleegbaar, waardoor dubbele activering onmiddellijk detecteerbaar is.</w:t>
      </w:r>
    </w:p>
    <w:p w14:paraId="146714D6" w14:textId="77777777" w:rsidR="00A41855" w:rsidRDefault="00A41855">
      <w:pPr>
        <w:pStyle w:val="Normaalweb"/>
        <w:divId w:val="273101710"/>
        <w:rPr>
          <w:lang w:val="nl-NL"/>
        </w:rPr>
      </w:pPr>
      <w:r>
        <w:rPr>
          <w:lang w:val="nl-NL"/>
        </w:rPr>
        <w:t>Een transparant, verbonden systeem is structureel frauderesistenter dan een systeem van onverbonden nationale silo's. Vereenvoudiging voor de burger en bescherming tegen misbruik sluiten elkaar niet uit — zij versterken elkaar.</w:t>
      </w:r>
    </w:p>
    <w:p w14:paraId="52EA58E9" w14:textId="77777777" w:rsidR="00A41855" w:rsidRDefault="00A41855">
      <w:pPr>
        <w:pStyle w:val="marker"/>
        <w:ind w:left="800" w:right="800"/>
        <w:divId w:val="273101710"/>
        <w:rPr>
          <w:lang w:val="nl-NL"/>
        </w:rPr>
      </w:pPr>
      <w:r>
        <w:br w:type="page"/>
      </w:r>
    </w:p>
    <w:p w14:paraId="2DA7D438" w14:textId="77777777" w:rsidR="00A41855" w:rsidRDefault="00A41855">
      <w:pPr>
        <w:pStyle w:val="Kop2"/>
        <w:divId w:val="273101710"/>
        <w:rPr>
          <w:rFonts w:eastAsia="Times New Roman"/>
          <w:lang w:val="nl-NL"/>
        </w:rPr>
      </w:pPr>
      <w:bookmarkStart w:id="11" w:name="_Toc242191439"/>
      <w:r>
        <w:rPr>
          <w:rFonts w:eastAsia="Times New Roman"/>
          <w:lang w:val="nl-NL"/>
        </w:rPr>
        <w:t>Deel XI — De twee wegen: snelheid en reikwijdte</w:t>
      </w:r>
      <w:bookmarkEnd w:id="11"/>
    </w:p>
    <w:p w14:paraId="1A85390B" w14:textId="77777777" w:rsidR="00A41855" w:rsidRDefault="00A41855">
      <w:pPr>
        <w:pStyle w:val="Normaalweb"/>
        <w:divId w:val="273101710"/>
        <w:rPr>
          <w:lang w:val="nl-NL"/>
        </w:rPr>
      </w:pPr>
      <w:r>
        <w:rPr>
          <w:lang w:val="nl-NL"/>
        </w:rPr>
        <w:t>Grensoverschrijdende burgers die problemen ondervinden met de coördinatie van sociale zekerheid hebben in de praktijk twee wegen: de juridische weg en de structurele weg.</w:t>
      </w:r>
    </w:p>
    <w:p w14:paraId="03EA2687" w14:textId="77777777" w:rsidR="00A41855" w:rsidRDefault="00A41855">
      <w:pPr>
        <w:pStyle w:val="Normaalweb"/>
        <w:divId w:val="273101710"/>
        <w:rPr>
          <w:lang w:val="nl-NL"/>
        </w:rPr>
      </w:pPr>
      <w:r>
        <w:rPr>
          <w:rStyle w:val="Zwaar"/>
          <w:lang w:val="nl-NL"/>
        </w:rPr>
        <w:t>De juridische weg — individueel, traag, zonder systeemeffect.</w:t>
      </w:r>
      <w:r>
        <w:rPr>
          <w:lang w:val="nl-NL"/>
        </w:rPr>
        <w:t xml:space="preserve"> Het informele bemiddelingsnetwerk bereikt per jaar enkele duizenden burgers. Een nationale rechtbankprocedure duurt 12 tot 36 maanden. Een prejudiciële procedure bij het Hof van Justitie duurt 16 tot 22 maanden. Elk arrest geldt voor één individuele burger. Het systeem verandert niet voor de overige miljoenen grensoverschrijdende burgers die hetzelfde probleem hebben maar geen procedure starten.</w:t>
      </w:r>
    </w:p>
    <w:p w14:paraId="48D4C01D" w14:textId="77777777" w:rsidR="00A41855" w:rsidRDefault="00A41855">
      <w:pPr>
        <w:pStyle w:val="Normaalweb"/>
        <w:divId w:val="273101710"/>
        <w:rPr>
          <w:lang w:val="nl-NL"/>
        </w:rPr>
      </w:pPr>
      <w:r>
        <w:rPr>
          <w:rStyle w:val="Zwaar"/>
          <w:lang w:val="nl-NL"/>
        </w:rPr>
        <w:t>De structurele weg — collectief, eenmalig, universeel.</w:t>
      </w:r>
      <w:r>
        <w:rPr>
          <w:lang w:val="nl-NL"/>
        </w:rPr>
        <w:t xml:space="preserve"> Een gerichte aanpassing van de Europese coördinatieverordening is van kracht voor alle grensoverschrijdende werknemers op de dag van inwerkingtreding. Een internationaal statusdocument, eenmaal ingevoerd, elimineert de herkeuring voor elke nieuwe burger die grensoverschrijdend gaat, permanent en automatisch. De automatische fiscale route-activering werkt voor elke burger die een statusdocument heeft en in een woonland ingeschreven staat, zonder dat hij zijn recht hoeft te kennen, te claimen of te documente</w:t>
      </w:r>
      <w:r>
        <w:rPr>
          <w:lang w:val="nl-NL"/>
        </w:rPr>
        <w:t>ren.</w:t>
      </w:r>
    </w:p>
    <w:p w14:paraId="24DB05C8" w14:textId="77777777" w:rsidR="00A41855" w:rsidRDefault="00A41855">
      <w:pPr>
        <w:pStyle w:val="Normaalweb"/>
        <w:divId w:val="273101710"/>
        <w:rPr>
          <w:lang w:val="nl-NL"/>
        </w:rPr>
      </w:pPr>
      <w:r>
        <w:rPr>
          <w:lang w:val="nl-NL"/>
        </w:rPr>
        <w:t>Een Europees wetgevingstraject voor aanpassing van de coördinatieverordening duurt gemiddeld vier tot zes jaar. Als een hervormingspakket in 2030 in werking treedt, bereikt het in zijn eerste volledige jaar meer burgers dan de juridische weg in dertig jaar. En elk jaar daarna opnieuw, automatisch, voor elke nieuwe burger die de grens oversteekt.</w:t>
      </w:r>
    </w:p>
    <w:p w14:paraId="01799D0E" w14:textId="77777777" w:rsidR="00A41855" w:rsidRDefault="00A41855">
      <w:pPr>
        <w:pStyle w:val="Normaalweb"/>
        <w:divId w:val="273101710"/>
        <w:rPr>
          <w:lang w:val="nl-NL"/>
        </w:rPr>
      </w:pPr>
      <w:r>
        <w:rPr>
          <w:lang w:val="nl-NL"/>
        </w:rPr>
        <w:t>De juridische weg lost individueel op en verandert structureel niets. De structurele weg verandert het systeem voor iedereen tegelijk. Elk jaar vertraging in de structurele weg kost tienduizenden burgers toegang tot rechten die zij wettelijk al hebben.</w:t>
      </w:r>
    </w:p>
    <w:p w14:paraId="583DCA92" w14:textId="77777777" w:rsidR="00A41855" w:rsidRDefault="00A41855">
      <w:pPr>
        <w:pStyle w:val="marker"/>
        <w:ind w:left="800" w:right="800"/>
        <w:divId w:val="273101710"/>
        <w:rPr>
          <w:lang w:val="nl-NL"/>
        </w:rPr>
      </w:pPr>
      <w:r>
        <w:br w:type="page"/>
      </w:r>
    </w:p>
    <w:p w14:paraId="37241BFE" w14:textId="77777777" w:rsidR="00A41855" w:rsidRDefault="00A41855">
      <w:pPr>
        <w:pStyle w:val="Kop2"/>
        <w:divId w:val="273101710"/>
        <w:rPr>
          <w:rFonts w:eastAsia="Times New Roman"/>
          <w:lang w:val="nl-NL"/>
        </w:rPr>
      </w:pPr>
      <w:bookmarkStart w:id="12" w:name="_Toc242191440"/>
      <w:r>
        <w:rPr>
          <w:rFonts w:eastAsia="Times New Roman"/>
          <w:lang w:val="nl-NL"/>
        </w:rPr>
        <w:t>Deel XII — De persoonlijke slotverklaring</w:t>
      </w:r>
      <w:bookmarkEnd w:id="12"/>
    </w:p>
    <w:p w14:paraId="7F52BF24" w14:textId="77777777" w:rsidR="00A41855" w:rsidRDefault="00A41855">
      <w:pPr>
        <w:pStyle w:val="Normaalweb"/>
        <w:divId w:val="273101710"/>
        <w:rPr>
          <w:lang w:val="nl-NL"/>
        </w:rPr>
      </w:pPr>
      <w:r>
        <w:rPr>
          <w:lang w:val="nl-NL"/>
        </w:rPr>
        <w:t>Het is een objectief gegeven dat een medisch hersteltraject niet compatibel is met het voeren van een meervoudige institutionele procedure. Dat een burger in fysiek herstel deze bewijslast moet verzamelen, toont de prioritering van het huidige systeem aan. Velen staken deze procedures voortijdig, geconfronteerd met de omvang van de administratieve weerstand.</w:t>
      </w:r>
    </w:p>
    <w:p w14:paraId="247BC4C3" w14:textId="77777777" w:rsidR="00A41855" w:rsidRDefault="00A41855">
      <w:pPr>
        <w:pStyle w:val="Normaalweb"/>
        <w:divId w:val="273101710"/>
        <w:rPr>
          <w:lang w:val="nl-NL"/>
        </w:rPr>
      </w:pPr>
      <w:r>
        <w:rPr>
          <w:lang w:val="nl-NL"/>
        </w:rPr>
        <w:t>De initiële reflex is altijd het oplossen van het eigen, individuele probleem. Echter, bij het systematisch loggen van de tijdlijnen werd een structureel patroon zichtbaar dat de individuele casus overstijgt. Dit mechanisme raakt iedereen die buiten de standaardnorm valt. Voor wie binnen de norm leeft, functioneert het systeem onzichtbaar en frictieloos. Dat bewijst niet dat het systeem universeel werkt; het bewijst dat het is geoptimaliseerd voor een specifiek, nationaal profiel.</w:t>
      </w:r>
    </w:p>
    <w:p w14:paraId="3B3829E8" w14:textId="77777777" w:rsidR="00A41855" w:rsidRDefault="00A41855">
      <w:pPr>
        <w:pStyle w:val="Normaalweb"/>
        <w:divId w:val="273101710"/>
        <w:rPr>
          <w:lang w:val="nl-NL"/>
        </w:rPr>
      </w:pPr>
      <w:r>
        <w:rPr>
          <w:lang w:val="nl-NL"/>
        </w:rPr>
        <w:t>De demontage van deze procedures legt de architectuur bloot. De instituties en netwerken die zijn opgericht ter bescherming, hanteren procedures die ontkoppeld zijn van de materiële gevolgen. Controlemechanismen redeneren vanuit de parameters van het systeem, niet vanuit de curatieve realiteit. Men beheert abstracte voorwaarden. Tegelijkertijd groeit het aantal situaties dat de binaire categorieën van de wetgeving overschrijdt. De norm is statisch, terwijl de maatschappelijke realiteit dynamisch is.</w:t>
      </w:r>
    </w:p>
    <w:p w14:paraId="74AC848B" w14:textId="77777777" w:rsidR="00A41855" w:rsidRDefault="00A41855">
      <w:pPr>
        <w:pStyle w:val="Normaalweb"/>
        <w:divId w:val="273101710"/>
        <w:rPr>
          <w:lang w:val="nl-NL"/>
        </w:rPr>
      </w:pPr>
      <w:r>
        <w:rPr>
          <w:lang w:val="nl-NL"/>
        </w:rPr>
        <w:t>Dit dossier is samengesteld als een concrete dataset van wat er structureel stagneert. Als Franco-Italiaan van origine, geboren in België, wonend in Nederland, is de theorie van een geünificeerde Europese ruimte altijd een uitgangspunt geweest. De praktijk toont aan dat deze theorie voorwaardelijk is en voornamelijk geldt voor wie exact in de nationale mal past. Wie daarbuiten valt, stuit op de grenzen van dat ontwerp.</w:t>
      </w:r>
    </w:p>
    <w:p w14:paraId="1965AB7B" w14:textId="77777777" w:rsidR="00A41855" w:rsidRDefault="00A41855">
      <w:pPr>
        <w:pStyle w:val="Normaalweb"/>
        <w:divId w:val="273101710"/>
        <w:rPr>
          <w:lang w:val="nl-NL"/>
        </w:rPr>
      </w:pPr>
      <w:r>
        <w:rPr>
          <w:lang w:val="nl-NL"/>
        </w:rPr>
        <w:t>Dit dossier dient als objectieve registratie voor wie in een vergelijkbare situatie terechtkomt, en als feitelijke onderbouwing voor de instanties die de bevoegdheid hebben de systeemarchitectuur te herzien.</w:t>
      </w:r>
    </w:p>
    <w:p w14:paraId="6C703F35" w14:textId="77777777" w:rsidR="00A41855" w:rsidRDefault="00A41855">
      <w:pPr>
        <w:pStyle w:val="Normaalweb"/>
        <w:divId w:val="273101710"/>
        <w:rPr>
          <w:lang w:val="nl-NL"/>
        </w:rPr>
      </w:pPr>
      <w:r>
        <w:rPr>
          <w:lang w:val="nl-NL"/>
        </w:rPr>
        <w:t>De norm beweegt niet. Ik wel.</w:t>
      </w:r>
    </w:p>
    <w:sectPr w:rsidR="00000000" w:rsidSect="00A4185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B13D8" w14:textId="77777777" w:rsidR="00A41855" w:rsidRDefault="00A41855" w:rsidP="00A41855">
      <w:pPr>
        <w:spacing w:after="0"/>
      </w:pPr>
      <w:r>
        <w:separator/>
      </w:r>
    </w:p>
  </w:endnote>
  <w:endnote w:type="continuationSeparator" w:id="0">
    <w:p w14:paraId="3873098B" w14:textId="77777777" w:rsidR="00A41855" w:rsidRDefault="00A41855" w:rsidP="00A418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EC7BD" w14:textId="77777777" w:rsidR="00A41855" w:rsidRDefault="00A4185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0B762" w14:textId="60A592AB" w:rsidR="00A41855" w:rsidRPr="00A41855" w:rsidRDefault="00A41855" w:rsidP="00A41855">
    <w:pPr>
      <w:pStyle w:val="Voettekst"/>
      <w:pBdr>
        <w:top w:val="single" w:sz="4" w:space="0" w:color="C0C0C0"/>
      </w:pBdr>
      <w:jc w:val="center"/>
      <w:rPr>
        <w:color w:val="808080"/>
        <w:sz w:val="18"/>
      </w:rPr>
    </w:pPr>
    <w:r w:rsidRPr="00A41855">
      <w:rPr>
        <w:color w:val="808080"/>
        <w:sz w:val="18"/>
      </w:rPr>
      <w:t xml:space="preserve">Pagina </w:t>
    </w:r>
    <w:r w:rsidRPr="00A41855">
      <w:rPr>
        <w:color w:val="808080"/>
        <w:sz w:val="18"/>
      </w:rPr>
      <w:fldChar w:fldCharType="begin"/>
    </w:r>
    <w:r w:rsidRPr="00A41855">
      <w:rPr>
        <w:color w:val="808080"/>
        <w:sz w:val="18"/>
      </w:rPr>
      <w:instrText xml:space="preserve"> PAGE  \* MERGEFORMAT </w:instrText>
    </w:r>
    <w:r w:rsidRPr="00A41855">
      <w:rPr>
        <w:color w:val="808080"/>
        <w:sz w:val="18"/>
      </w:rPr>
      <w:fldChar w:fldCharType="separate"/>
    </w:r>
    <w:r w:rsidRPr="00A41855">
      <w:rPr>
        <w:noProof/>
        <w:color w:val="808080"/>
        <w:sz w:val="18"/>
      </w:rPr>
      <w:t>1</w:t>
    </w:r>
    <w:r w:rsidRPr="00A41855">
      <w:rPr>
        <w:color w:val="808080"/>
        <w:sz w:val="18"/>
      </w:rPr>
      <w:fldChar w:fldCharType="end"/>
    </w:r>
    <w:r w:rsidRPr="00A41855">
      <w:rPr>
        <w:color w:val="808080"/>
        <w:sz w:val="18"/>
      </w:rPr>
      <w:t xml:space="preserve"> van </w:t>
    </w:r>
    <w:r w:rsidRPr="00A41855">
      <w:rPr>
        <w:color w:val="808080"/>
        <w:sz w:val="18"/>
      </w:rPr>
      <w:fldChar w:fldCharType="begin"/>
    </w:r>
    <w:r w:rsidRPr="00A41855">
      <w:rPr>
        <w:color w:val="808080"/>
        <w:sz w:val="18"/>
      </w:rPr>
      <w:instrText xml:space="preserve"> NUMPAGES  \* MERGEFORMAT </w:instrText>
    </w:r>
    <w:r w:rsidRPr="00A41855">
      <w:rPr>
        <w:color w:val="808080"/>
        <w:sz w:val="18"/>
      </w:rPr>
      <w:fldChar w:fldCharType="separate"/>
    </w:r>
    <w:r w:rsidRPr="00A41855">
      <w:rPr>
        <w:noProof/>
        <w:color w:val="808080"/>
        <w:sz w:val="18"/>
      </w:rPr>
      <w:t>3</w:t>
    </w:r>
    <w:r w:rsidRPr="00A41855">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D6C89" w14:textId="77777777" w:rsidR="00A41855" w:rsidRDefault="00A4185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9DAAE" w14:textId="77777777" w:rsidR="00A41855" w:rsidRDefault="00A41855" w:rsidP="00A41855">
      <w:pPr>
        <w:spacing w:after="0"/>
      </w:pPr>
      <w:r>
        <w:separator/>
      </w:r>
    </w:p>
  </w:footnote>
  <w:footnote w:type="continuationSeparator" w:id="0">
    <w:p w14:paraId="1818DCAE" w14:textId="77777777" w:rsidR="00A41855" w:rsidRDefault="00A41855" w:rsidP="00A4185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B67B" w14:textId="77777777" w:rsidR="00A41855" w:rsidRDefault="00A418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54DE" w14:textId="4209ABC5" w:rsidR="00A41855" w:rsidRPr="00A41855" w:rsidRDefault="00A41855" w:rsidP="00A41855">
    <w:pPr>
      <w:pStyle w:val="Koptekst"/>
      <w:pBdr>
        <w:bottom w:val="single" w:sz="4" w:space="0" w:color="C0C0C0"/>
      </w:pBdr>
      <w:rPr>
        <w:color w:val="808080"/>
        <w:sz w:val="18"/>
      </w:rPr>
    </w:pPr>
    <w:r w:rsidRPr="00A41855">
      <w:rPr>
        <w:color w:val="808080"/>
        <w:sz w:val="18"/>
      </w:rPr>
      <w:t>Eric Messa - Systeem-Audit</w:t>
    </w:r>
    <w:r w:rsidRPr="00A41855">
      <w:rPr>
        <w:color w:val="808080"/>
        <w:sz w:val="18"/>
      </w:rPr>
      <w:tab/>
      <w:t>Document D — De synthese</w:t>
    </w:r>
    <w:r w:rsidRPr="00A41855">
      <w:rPr>
        <w:color w:val="808080"/>
        <w:sz w:val="18"/>
      </w:rPr>
      <w:tab/>
      <w:t>Laatst gewijzigd: 6 oktober 2026, 14:20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7A8D2" w14:textId="77777777" w:rsidR="00A41855" w:rsidRDefault="00A4185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41855"/>
    <w:rsid w:val="00A41855"/>
    <w:rsid w:val="00C146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7006A8"/>
  <w15:chartTrackingRefBased/>
  <w15:docId w15:val="{B04C2564-834A-49B6-A733-A85039231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2E7D32"/>
      </w:pBdr>
      <w:outlineLvl w:val="0"/>
    </w:pPr>
    <w:rPr>
      <w:rFonts w:ascii="Aptos Display" w:hAnsi="Aptos Display"/>
      <w:b/>
      <w:bCs/>
      <w:color w:val="2E7D32"/>
      <w:kern w:val="36"/>
      <w:sz w:val="56"/>
      <w:szCs w:val="56"/>
    </w:rPr>
  </w:style>
  <w:style w:type="paragraph" w:styleId="Kop2">
    <w:name w:val="heading 2"/>
    <w:basedOn w:val="Standaard"/>
    <w:link w:val="Kop2Char"/>
    <w:uiPriority w:val="9"/>
    <w:qFormat/>
    <w:pPr>
      <w:pBdr>
        <w:bottom w:val="single" w:sz="12" w:space="4" w:color="2E7D32"/>
      </w:pBdr>
      <w:spacing w:after="100"/>
      <w:outlineLvl w:val="1"/>
    </w:pPr>
    <w:rPr>
      <w:rFonts w:ascii="Aptos Display" w:hAnsi="Aptos Display"/>
      <w:b/>
      <w:bCs/>
      <w:color w:val="2E7D32"/>
      <w:sz w:val="40"/>
      <w:szCs w:val="40"/>
    </w:rPr>
  </w:style>
  <w:style w:type="paragraph" w:styleId="Kop3">
    <w:name w:val="heading 3"/>
    <w:basedOn w:val="Standaard"/>
    <w:link w:val="Kop3Char"/>
    <w:uiPriority w:val="9"/>
    <w:qFormat/>
    <w:pPr>
      <w:spacing w:after="80"/>
      <w:outlineLvl w:val="2"/>
    </w:pPr>
    <w:rPr>
      <w:rFonts w:ascii="Aptos Display" w:hAnsi="Aptos Display"/>
      <w:b/>
      <w:bCs/>
      <w:color w:val="2E7D32"/>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2E7D32"/>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pPr>
      <w:spacing w:after="160"/>
    </w:pPr>
  </w:style>
  <w:style w:type="paragraph" w:styleId="Normaalweb">
    <w:name w:val="Normal (Web)"/>
    <w:basedOn w:val="Standaard"/>
    <w:uiPriority w:val="99"/>
    <w:semiHidden/>
    <w:unhideWhenUsed/>
    <w:pPr>
      <w:spacing w:after="160"/>
    </w:pPr>
  </w:style>
  <w:style w:type="paragraph" w:customStyle="1" w:styleId="subtitel">
    <w:name w:val="subtitel"/>
    <w:basedOn w:val="Standaard"/>
    <w:pPr>
      <w:spacing w:after="200"/>
    </w:pPr>
    <w:rPr>
      <w:i/>
      <w:iCs/>
      <w:color w:val="555555"/>
      <w:szCs w:val="22"/>
    </w:rPr>
  </w:style>
  <w:style w:type="paragraph" w:customStyle="1" w:styleId="lead">
    <w:name w:val="lead"/>
    <w:basedOn w:val="Standaard"/>
    <w:pPr>
      <w:spacing w:after="240"/>
    </w:pPr>
    <w:rPr>
      <w:i/>
      <w:iCs/>
      <w:color w:val="444444"/>
    </w:rPr>
  </w:style>
  <w:style w:type="paragraph" w:customStyle="1" w:styleId="tijd">
    <w:name w:val="tijd"/>
    <w:basedOn w:val="Standaard"/>
    <w:pPr>
      <w:spacing w:after="80"/>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2E7D32"/>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2E7D32"/>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2E7D32"/>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2E7D32"/>
      </w:pBdr>
      <w:shd w:val="clear" w:color="auto" w:fill="FFFFFF"/>
      <w:spacing w:before="600" w:after="100" w:afterAutospacing="1"/>
    </w:pPr>
  </w:style>
  <w:style w:type="paragraph" w:customStyle="1" w:styleId="recht-kop">
    <w:name w:val="recht-kop"/>
    <w:basedOn w:val="Standaard"/>
    <w:pPr>
      <w:spacing w:before="100" w:beforeAutospacing="1" w:after="80"/>
    </w:pPr>
  </w:style>
  <w:style w:type="paragraph" w:customStyle="1" w:styleId="recht-status">
    <w:name w:val="recht-status"/>
    <w:basedOn w:val="Standaard"/>
    <w:pPr>
      <w:spacing w:before="100" w:beforeAutospacing="1" w:after="100" w:afterAutospacing="1"/>
    </w:pPr>
    <w:rPr>
      <w:b/>
      <w:bCs/>
      <w:caps/>
      <w:color w:val="FFFFFF"/>
      <w:spacing w:val="8"/>
      <w:sz w:val="18"/>
      <w:szCs w:val="18"/>
    </w:rPr>
  </w:style>
  <w:style w:type="paragraph" w:customStyle="1" w:styleId="recht-kop-wrapper">
    <w:name w:val="recht-kop-wrapper"/>
    <w:basedOn w:val="Standaard"/>
    <w:pPr>
      <w:pBdr>
        <w:bottom w:val="single" w:sz="12" w:space="6" w:color="2E7D32"/>
      </w:pBdr>
      <w:spacing w:before="100" w:beforeAutospacing="1" w:after="240"/>
    </w:pPr>
  </w:style>
  <w:style w:type="paragraph" w:customStyle="1" w:styleId="sector-titel">
    <w:name w:val="sector-titel"/>
    <w:basedOn w:val="Standaard"/>
    <w:pPr>
      <w:spacing w:before="400" w:after="160"/>
    </w:pPr>
    <w:rPr>
      <w:rFonts w:ascii="Aptos Display" w:hAnsi="Aptos Display"/>
      <w:color w:val="2E7D32"/>
      <w:sz w:val="32"/>
      <w:szCs w:val="32"/>
    </w:rPr>
  </w:style>
  <w:style w:type="paragraph" w:customStyle="1" w:styleId="intro-rechten">
    <w:name w:val="intro-rechten"/>
    <w:basedOn w:val="Standaard"/>
    <w:pPr>
      <w:pBdr>
        <w:left w:val="single" w:sz="24" w:space="14" w:color="2E7D32"/>
      </w:pBdr>
      <w:shd w:val="clear" w:color="auto" w:fill="F7F5F1"/>
      <w:spacing w:before="100" w:beforeAutospacing="1" w:after="480"/>
    </w:pPr>
    <w:rPr>
      <w:i/>
      <w:iCs/>
      <w:color w:val="444444"/>
    </w:r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pPr>
    <w:rPr>
      <w:rFonts w:ascii="Aptos Display" w:hAnsi="Aptos Display"/>
      <w:color w:val="333333"/>
      <w:sz w:val="36"/>
      <w:szCs w:val="36"/>
    </w:rPr>
  </w:style>
  <w:style w:type="paragraph" w:customStyle="1" w:styleId="documentaanduiding1">
    <w:name w:val="documentaanduiding1"/>
    <w:basedOn w:val="Standaard"/>
    <w:pPr>
      <w:spacing w:after="1600"/>
    </w:pPr>
    <w:rPr>
      <w:rFonts w:ascii="Aptos Display" w:hAnsi="Aptos Display"/>
      <w:b/>
      <w:bCs/>
      <w:color w:val="2E7D32"/>
      <w:sz w:val="44"/>
      <w:szCs w:val="44"/>
    </w:rPr>
  </w:style>
  <w:style w:type="paragraph" w:customStyle="1" w:styleId="auteur1">
    <w:name w:val="auteur1"/>
    <w:basedOn w:val="Standaard"/>
    <w:pPr>
      <w:spacing w:after="80"/>
    </w:pPr>
    <w:rPr>
      <w:color w:val="333333"/>
      <w:sz w:val="28"/>
      <w:szCs w:val="28"/>
    </w:rPr>
  </w:style>
  <w:style w:type="paragraph" w:customStyle="1" w:styleId="meta-lijn1">
    <w:name w:val="meta-lijn1"/>
    <w:basedOn w:val="Standaard"/>
    <w:pPr>
      <w:spacing w:after="80"/>
    </w:pPr>
    <w:rPr>
      <w:color w:val="555555"/>
    </w:rPr>
  </w:style>
  <w:style w:type="paragraph" w:customStyle="1" w:styleId="ondertitel2">
    <w:name w:val="ondertitel2"/>
    <w:basedOn w:val="Standaard"/>
    <w:pPr>
      <w:spacing w:after="1200"/>
    </w:pPr>
    <w:rPr>
      <w:rFonts w:ascii="Aptos Display" w:hAnsi="Aptos Display"/>
      <w:color w:val="333333"/>
      <w:sz w:val="36"/>
      <w:szCs w:val="36"/>
    </w:rPr>
  </w:style>
  <w:style w:type="paragraph" w:customStyle="1" w:styleId="documentaanduiding2">
    <w:name w:val="documentaanduiding2"/>
    <w:basedOn w:val="Standaard"/>
    <w:pPr>
      <w:spacing w:after="1600"/>
    </w:pPr>
    <w:rPr>
      <w:rFonts w:ascii="Aptos Display" w:hAnsi="Aptos Display"/>
      <w:b/>
      <w:bCs/>
      <w:color w:val="2E7D32"/>
      <w:sz w:val="44"/>
      <w:szCs w:val="44"/>
    </w:rPr>
  </w:style>
  <w:style w:type="paragraph" w:customStyle="1" w:styleId="auteur2">
    <w:name w:val="auteur2"/>
    <w:basedOn w:val="Standaard"/>
    <w:pPr>
      <w:spacing w:after="80"/>
    </w:pPr>
    <w:rPr>
      <w:color w:val="333333"/>
      <w:sz w:val="28"/>
      <w:szCs w:val="28"/>
    </w:rPr>
  </w:style>
  <w:style w:type="paragraph" w:customStyle="1" w:styleId="meta-lijn2">
    <w:name w:val="meta-lijn2"/>
    <w:basedOn w:val="Standaard"/>
    <w:pPr>
      <w:spacing w:after="80"/>
    </w:pPr>
    <w:rPr>
      <w:color w:val="555555"/>
    </w:rPr>
  </w:style>
  <w:style w:type="paragraph" w:customStyle="1" w:styleId="marker">
    <w:name w:val="marker"/>
    <w:basedOn w:val="Standaard"/>
    <w:pPr>
      <w:spacing w:after="160"/>
    </w:pPr>
  </w:style>
  <w:style w:type="paragraph" w:styleId="Koptekst">
    <w:name w:val="header"/>
    <w:basedOn w:val="Standaard"/>
    <w:link w:val="KoptekstChar"/>
    <w:uiPriority w:val="99"/>
    <w:unhideWhenUsed/>
    <w:rsid w:val="00A41855"/>
    <w:pPr>
      <w:tabs>
        <w:tab w:val="center" w:pos="4536"/>
        <w:tab w:val="right" w:pos="9072"/>
      </w:tabs>
    </w:pPr>
  </w:style>
  <w:style w:type="character" w:customStyle="1" w:styleId="KoptekstChar">
    <w:name w:val="Koptekst Char"/>
    <w:basedOn w:val="Standaardalinea-lettertype"/>
    <w:link w:val="Koptekst"/>
    <w:uiPriority w:val="99"/>
    <w:rsid w:val="00A41855"/>
    <w:rPr>
      <w:rFonts w:eastAsiaTheme="minorEastAsia"/>
      <w:sz w:val="24"/>
      <w:szCs w:val="24"/>
    </w:rPr>
  </w:style>
  <w:style w:type="paragraph" w:styleId="Voettekst">
    <w:name w:val="footer"/>
    <w:basedOn w:val="Standaard"/>
    <w:link w:val="VoettekstChar"/>
    <w:uiPriority w:val="99"/>
    <w:unhideWhenUsed/>
    <w:rsid w:val="00A41855"/>
    <w:pPr>
      <w:tabs>
        <w:tab w:val="center" w:pos="4536"/>
        <w:tab w:val="right" w:pos="9072"/>
      </w:tabs>
    </w:pPr>
  </w:style>
  <w:style w:type="character" w:customStyle="1" w:styleId="VoettekstChar">
    <w:name w:val="Voettekst Char"/>
    <w:basedOn w:val="Standaardalinea-lettertype"/>
    <w:link w:val="Voettekst"/>
    <w:uiPriority w:val="99"/>
    <w:rsid w:val="00A41855"/>
    <w:rPr>
      <w:rFonts w:eastAsiaTheme="minorEastAsia"/>
      <w:sz w:val="24"/>
      <w:szCs w:val="24"/>
    </w:rPr>
  </w:style>
  <w:style w:type="paragraph" w:styleId="Inhopg2">
    <w:name w:val="toc 2"/>
    <w:basedOn w:val="Standaard"/>
    <w:next w:val="Standaard"/>
    <w:autoRedefine/>
    <w:uiPriority w:val="39"/>
    <w:unhideWhenUsed/>
    <w:rsid w:val="00A4185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101710">
      <w:bodyDiv w:val="1"/>
      <w:marLeft w:val="800"/>
      <w:marRight w:val="800"/>
      <w:marTop w:val="800"/>
      <w:marBottom w:val="800"/>
      <w:divBdr>
        <w:top w:val="none" w:sz="0" w:space="0" w:color="auto"/>
        <w:left w:val="none" w:sz="0" w:space="0" w:color="auto"/>
        <w:bottom w:val="none" w:sz="0" w:space="0" w:color="auto"/>
        <w:right w:val="none" w:sz="0" w:space="0" w:color="auto"/>
      </w:divBdr>
      <w:divsChild>
        <w:div w:id="1973057123">
          <w:marLeft w:val="0"/>
          <w:marRight w:val="0"/>
          <w:marTop w:val="4000"/>
          <w:marBottom w:val="0"/>
          <w:divBdr>
            <w:top w:val="none" w:sz="0" w:space="0" w:color="auto"/>
            <w:left w:val="none" w:sz="0" w:space="0" w:color="auto"/>
            <w:bottom w:val="none" w:sz="0" w:space="0" w:color="auto"/>
            <w:right w:val="none" w:sz="0" w:space="0" w:color="auto"/>
          </w:divBdr>
        </w:div>
        <w:div w:id="1570991818">
          <w:marLeft w:val="0"/>
          <w:marRight w:val="0"/>
          <w:marTop w:val="0"/>
          <w:marBottom w:val="0"/>
          <w:divBdr>
            <w:top w:val="none" w:sz="0" w:space="0" w:color="auto"/>
            <w:left w:val="none" w:sz="0" w:space="0" w:color="auto"/>
            <w:bottom w:val="none" w:sz="0" w:space="0" w:color="auto"/>
            <w:right w:val="none" w:sz="0" w:space="0" w:color="auto"/>
          </w:divBdr>
        </w:div>
        <w:div w:id="1858276079">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5448</Words>
  <Characters>29965</Characters>
  <Application>Microsoft Office Word</Application>
  <DocSecurity>0</DocSecurity>
  <Lines>249</Lines>
  <Paragraphs>70</Paragraphs>
  <ScaleCrop>false</ScaleCrop>
  <Company/>
  <LinksUpToDate>false</LinksUpToDate>
  <CharactersWithSpaces>35343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D — De synthese</dc:title>
  <dc:subject/>
  <dc:creator>Eric Messa</dc:creator>
  <cp:keywords/>
  <dc:description/>
  <cp:lastModifiedBy>Eric Messa</cp:lastModifiedBy>
  <cp:revision>2</cp:revision>
  <dcterms:created xsi:type="dcterms:W3CDTF">2026-10-06T12:24:00Z</dcterms:created>
  <dcterms:modified xsi:type="dcterms:W3CDTF">2026-10-06T12:24:00Z</dcterms:modified>
</cp:coreProperties>
</file>