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37C39" w14:textId="77777777" w:rsidR="006B5103" w:rsidRDefault="006B5103">
      <w:pPr>
        <w:spacing w:after="480"/>
        <w:jc w:val="center"/>
        <w:outlineLvl w:val="1"/>
        <w:divId w:val="1992900044"/>
        <w:rPr>
          <w:rFonts w:ascii="Aptos Display" w:eastAsia="Times New Roman" w:hAnsi="Aptos Display"/>
          <w:b/>
          <w:bCs/>
          <w:color w:val="4A3B6B"/>
          <w:kern w:val="36"/>
          <w:sz w:val="72"/>
          <w:szCs w:val="72"/>
          <w:lang w:val="nl-NL"/>
        </w:rPr>
      </w:pPr>
      <w:r>
        <w:rPr>
          <w:rFonts w:ascii="Aptos Display" w:eastAsia="Times New Roman" w:hAnsi="Aptos Display"/>
          <w:b/>
          <w:bCs/>
          <w:color w:val="4A3B6B"/>
          <w:kern w:val="36"/>
          <w:sz w:val="72"/>
          <w:szCs w:val="72"/>
          <w:lang w:val="nl-NL"/>
        </w:rPr>
        <w:t>Systeem-Audit</w:t>
      </w:r>
    </w:p>
    <w:p w14:paraId="1EF16024" w14:textId="77777777" w:rsidR="006B5103" w:rsidRDefault="006B5103">
      <w:pPr>
        <w:pStyle w:val="ondertitel2"/>
        <w:divId w:val="1992900044"/>
        <w:rPr>
          <w:lang w:val="nl-NL"/>
        </w:rPr>
      </w:pPr>
      <w:r>
        <w:rPr>
          <w:lang w:val="nl-NL"/>
        </w:rPr>
        <w:t>Grensoverschrijdend bevoegdheidsvacuüm in de sociale zekerheid</w:t>
      </w:r>
    </w:p>
    <w:p w14:paraId="2D01F8DB" w14:textId="77777777" w:rsidR="006B5103" w:rsidRDefault="006B5103">
      <w:pPr>
        <w:pStyle w:val="documentaanduiding2"/>
        <w:divId w:val="1992900044"/>
        <w:rPr>
          <w:lang w:val="nl-NL"/>
        </w:rPr>
      </w:pPr>
      <w:r>
        <w:rPr>
          <w:lang w:val="nl-NL"/>
        </w:rPr>
        <w:t>Document C — De visuele architectuur</w:t>
      </w:r>
    </w:p>
    <w:p w14:paraId="3FB4B0BE" w14:textId="77777777" w:rsidR="006B5103" w:rsidRDefault="006B5103">
      <w:pPr>
        <w:pStyle w:val="auteur2"/>
        <w:divId w:val="1992900044"/>
        <w:rPr>
          <w:lang w:val="nl-NL"/>
        </w:rPr>
      </w:pPr>
      <w:r>
        <w:rPr>
          <w:lang w:val="nl-NL"/>
        </w:rPr>
        <w:t>Auteur: Eric Messa</w:t>
      </w:r>
    </w:p>
    <w:p w14:paraId="11ED31EF" w14:textId="77777777" w:rsidR="006B5103" w:rsidRDefault="006B5103">
      <w:pPr>
        <w:pStyle w:val="meta-lijn2"/>
        <w:divId w:val="1992900044"/>
        <w:rPr>
          <w:lang w:val="nl-NL"/>
        </w:rPr>
      </w:pPr>
      <w:r>
        <w:rPr>
          <w:lang w:val="nl-NL"/>
        </w:rPr>
        <w:t>Versie bijgewerkt: 6 oktober 2026, 14:20</w:t>
      </w:r>
    </w:p>
    <w:p w14:paraId="17945226" w14:textId="77777777" w:rsidR="006B5103" w:rsidRDefault="006B5103">
      <w:pPr>
        <w:pStyle w:val="marker"/>
        <w:ind w:left="800" w:right="800"/>
        <w:divId w:val="2114661829"/>
        <w:rPr>
          <w:lang w:val="nl-NL"/>
        </w:rPr>
      </w:pPr>
      <w:r>
        <w:br w:type="page"/>
      </w:r>
    </w:p>
    <w:p w14:paraId="6D34BA1A" w14:textId="77777777" w:rsidR="006B5103" w:rsidRDefault="006B5103" w:rsidP="006B5103">
      <w:pPr>
        <w:pStyle w:val="Kop2"/>
        <w:pageBreakBefore/>
        <w:divId w:val="1156414812"/>
        <w:rPr>
          <w:rFonts w:eastAsia="Times New Roman"/>
          <w:lang w:val="nl-NL"/>
        </w:rPr>
      </w:pPr>
      <w:bookmarkStart w:id="0" w:name="_Toc242191177"/>
      <w:r>
        <w:rPr>
          <w:rFonts w:eastAsia="Times New Roman"/>
          <w:lang w:val="nl-NL"/>
        </w:rPr>
        <w:lastRenderedPageBreak/>
        <w:t>Inhoudsopgave</w:t>
      </w:r>
      <w:bookmarkEnd w:id="0"/>
    </w:p>
    <w:p w14:paraId="582AC1D6" w14:textId="40530506"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C22CA6">
        <w:rPr>
          <w:rFonts w:eastAsia="Times New Roman"/>
          <w:noProof/>
          <w:lang w:val="nl-NL"/>
        </w:rPr>
        <w:t>Inhoudsopgave</w:t>
      </w:r>
      <w:r>
        <w:rPr>
          <w:noProof/>
        </w:rPr>
        <w:tab/>
      </w:r>
      <w:r>
        <w:rPr>
          <w:noProof/>
        </w:rPr>
        <w:fldChar w:fldCharType="begin"/>
      </w:r>
      <w:r>
        <w:rPr>
          <w:noProof/>
        </w:rPr>
        <w:instrText xml:space="preserve"> PAGEREF _Toc242191177 \h </w:instrText>
      </w:r>
      <w:r>
        <w:rPr>
          <w:noProof/>
        </w:rPr>
      </w:r>
      <w:r>
        <w:rPr>
          <w:noProof/>
        </w:rPr>
        <w:fldChar w:fldCharType="separate"/>
      </w:r>
      <w:r>
        <w:rPr>
          <w:noProof/>
        </w:rPr>
        <w:t>3</w:t>
      </w:r>
      <w:r>
        <w:rPr>
          <w:noProof/>
        </w:rPr>
        <w:fldChar w:fldCharType="end"/>
      </w:r>
    </w:p>
    <w:p w14:paraId="7B5B249A" w14:textId="6F014255"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Inleiding en leeswijzer</w:t>
      </w:r>
      <w:r>
        <w:rPr>
          <w:noProof/>
        </w:rPr>
        <w:tab/>
      </w:r>
      <w:r>
        <w:rPr>
          <w:noProof/>
        </w:rPr>
        <w:fldChar w:fldCharType="begin"/>
      </w:r>
      <w:r>
        <w:rPr>
          <w:noProof/>
        </w:rPr>
        <w:instrText xml:space="preserve"> PAGEREF _Toc242191178 \h </w:instrText>
      </w:r>
      <w:r>
        <w:rPr>
          <w:noProof/>
        </w:rPr>
      </w:r>
      <w:r>
        <w:rPr>
          <w:noProof/>
        </w:rPr>
        <w:fldChar w:fldCharType="separate"/>
      </w:r>
      <w:r>
        <w:rPr>
          <w:noProof/>
        </w:rPr>
        <w:t>8</w:t>
      </w:r>
      <w:r>
        <w:rPr>
          <w:noProof/>
        </w:rPr>
        <w:fldChar w:fldCharType="end"/>
      </w:r>
    </w:p>
    <w:p w14:paraId="72981D6E" w14:textId="60AB0622"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document is</w:t>
      </w:r>
      <w:r>
        <w:rPr>
          <w:noProof/>
        </w:rPr>
        <w:tab/>
      </w:r>
      <w:r>
        <w:rPr>
          <w:noProof/>
        </w:rPr>
        <w:fldChar w:fldCharType="begin"/>
      </w:r>
      <w:r>
        <w:rPr>
          <w:noProof/>
        </w:rPr>
        <w:instrText xml:space="preserve"> PAGEREF _Toc242191179 \h </w:instrText>
      </w:r>
      <w:r>
        <w:rPr>
          <w:noProof/>
        </w:rPr>
      </w:r>
      <w:r>
        <w:rPr>
          <w:noProof/>
        </w:rPr>
        <w:fldChar w:fldCharType="separate"/>
      </w:r>
      <w:r>
        <w:rPr>
          <w:noProof/>
        </w:rPr>
        <w:t>8</w:t>
      </w:r>
      <w:r>
        <w:rPr>
          <w:noProof/>
        </w:rPr>
        <w:fldChar w:fldCharType="end"/>
      </w:r>
    </w:p>
    <w:p w14:paraId="50ADFDF8" w14:textId="65D4A32C"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verschil met de andere documenten</w:t>
      </w:r>
      <w:r>
        <w:rPr>
          <w:noProof/>
        </w:rPr>
        <w:tab/>
      </w:r>
      <w:r>
        <w:rPr>
          <w:noProof/>
        </w:rPr>
        <w:fldChar w:fldCharType="begin"/>
      </w:r>
      <w:r>
        <w:rPr>
          <w:noProof/>
        </w:rPr>
        <w:instrText xml:space="preserve"> PAGEREF _Toc242191180 \h </w:instrText>
      </w:r>
      <w:r>
        <w:rPr>
          <w:noProof/>
        </w:rPr>
      </w:r>
      <w:r>
        <w:rPr>
          <w:noProof/>
        </w:rPr>
        <w:fldChar w:fldCharType="separate"/>
      </w:r>
      <w:r>
        <w:rPr>
          <w:noProof/>
        </w:rPr>
        <w:t>8</w:t>
      </w:r>
      <w:r>
        <w:rPr>
          <w:noProof/>
        </w:rPr>
        <w:fldChar w:fldCharType="end"/>
      </w:r>
    </w:p>
    <w:p w14:paraId="3DF4FA6C" w14:textId="54879A8F"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vaste grammatica</w:t>
      </w:r>
      <w:r>
        <w:rPr>
          <w:noProof/>
        </w:rPr>
        <w:tab/>
      </w:r>
      <w:r>
        <w:rPr>
          <w:noProof/>
        </w:rPr>
        <w:fldChar w:fldCharType="begin"/>
      </w:r>
      <w:r>
        <w:rPr>
          <w:noProof/>
        </w:rPr>
        <w:instrText xml:space="preserve"> PAGEREF _Toc242191181 \h </w:instrText>
      </w:r>
      <w:r>
        <w:rPr>
          <w:noProof/>
        </w:rPr>
      </w:r>
      <w:r>
        <w:rPr>
          <w:noProof/>
        </w:rPr>
        <w:fldChar w:fldCharType="separate"/>
      </w:r>
      <w:r>
        <w:rPr>
          <w:noProof/>
        </w:rPr>
        <w:t>8</w:t>
      </w:r>
      <w:r>
        <w:rPr>
          <w:noProof/>
        </w:rPr>
        <w:fldChar w:fldCharType="end"/>
      </w:r>
    </w:p>
    <w:p w14:paraId="7A37C737" w14:textId="17298E8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twee werelden</w:t>
      </w:r>
      <w:r>
        <w:rPr>
          <w:noProof/>
        </w:rPr>
        <w:tab/>
      </w:r>
      <w:r>
        <w:rPr>
          <w:noProof/>
        </w:rPr>
        <w:fldChar w:fldCharType="begin"/>
      </w:r>
      <w:r>
        <w:rPr>
          <w:noProof/>
        </w:rPr>
        <w:instrText xml:space="preserve"> PAGEREF _Toc242191182 \h </w:instrText>
      </w:r>
      <w:r>
        <w:rPr>
          <w:noProof/>
        </w:rPr>
      </w:r>
      <w:r>
        <w:rPr>
          <w:noProof/>
        </w:rPr>
        <w:fldChar w:fldCharType="separate"/>
      </w:r>
      <w:r>
        <w:rPr>
          <w:noProof/>
        </w:rPr>
        <w:t>8</w:t>
      </w:r>
      <w:r>
        <w:rPr>
          <w:noProof/>
        </w:rPr>
        <w:fldChar w:fldCharType="end"/>
      </w:r>
    </w:p>
    <w:p w14:paraId="48E27BD8" w14:textId="00D0773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membraan</w:t>
      </w:r>
      <w:r>
        <w:rPr>
          <w:noProof/>
        </w:rPr>
        <w:tab/>
      </w:r>
      <w:r>
        <w:rPr>
          <w:noProof/>
        </w:rPr>
        <w:fldChar w:fldCharType="begin"/>
      </w:r>
      <w:r>
        <w:rPr>
          <w:noProof/>
        </w:rPr>
        <w:instrText xml:space="preserve"> PAGEREF _Toc242191183 \h </w:instrText>
      </w:r>
      <w:r>
        <w:rPr>
          <w:noProof/>
        </w:rPr>
      </w:r>
      <w:r>
        <w:rPr>
          <w:noProof/>
        </w:rPr>
        <w:fldChar w:fldCharType="separate"/>
      </w:r>
      <w:r>
        <w:rPr>
          <w:noProof/>
        </w:rPr>
        <w:t>9</w:t>
      </w:r>
      <w:r>
        <w:rPr>
          <w:noProof/>
        </w:rPr>
        <w:fldChar w:fldCharType="end"/>
      </w:r>
    </w:p>
    <w:p w14:paraId="33B5F8D8" w14:textId="0E881D1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drie kanalen</w:t>
      </w:r>
      <w:r>
        <w:rPr>
          <w:noProof/>
        </w:rPr>
        <w:tab/>
      </w:r>
      <w:r>
        <w:rPr>
          <w:noProof/>
        </w:rPr>
        <w:fldChar w:fldCharType="begin"/>
      </w:r>
      <w:r>
        <w:rPr>
          <w:noProof/>
        </w:rPr>
        <w:instrText xml:space="preserve"> PAGEREF _Toc242191184 \h </w:instrText>
      </w:r>
      <w:r>
        <w:rPr>
          <w:noProof/>
        </w:rPr>
      </w:r>
      <w:r>
        <w:rPr>
          <w:noProof/>
        </w:rPr>
        <w:fldChar w:fldCharType="separate"/>
      </w:r>
      <w:r>
        <w:rPr>
          <w:noProof/>
        </w:rPr>
        <w:t>9</w:t>
      </w:r>
      <w:r>
        <w:rPr>
          <w:noProof/>
        </w:rPr>
        <w:fldChar w:fldCharType="end"/>
      </w:r>
    </w:p>
    <w:p w14:paraId="6718351B" w14:textId="75CDEF7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kleuren</w:t>
      </w:r>
      <w:r>
        <w:rPr>
          <w:noProof/>
        </w:rPr>
        <w:tab/>
      </w:r>
      <w:r>
        <w:rPr>
          <w:noProof/>
        </w:rPr>
        <w:fldChar w:fldCharType="begin"/>
      </w:r>
      <w:r>
        <w:rPr>
          <w:noProof/>
        </w:rPr>
        <w:instrText xml:space="preserve"> PAGEREF _Toc242191185 \h </w:instrText>
      </w:r>
      <w:r>
        <w:rPr>
          <w:noProof/>
        </w:rPr>
      </w:r>
      <w:r>
        <w:rPr>
          <w:noProof/>
        </w:rPr>
        <w:fldChar w:fldCharType="separate"/>
      </w:r>
      <w:r>
        <w:rPr>
          <w:noProof/>
        </w:rPr>
        <w:t>9</w:t>
      </w:r>
      <w:r>
        <w:rPr>
          <w:noProof/>
        </w:rPr>
        <w:fldChar w:fldCharType="end"/>
      </w:r>
    </w:p>
    <w:p w14:paraId="26BA4751" w14:textId="47461807"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volgorde van dit document</w:t>
      </w:r>
      <w:r>
        <w:rPr>
          <w:noProof/>
        </w:rPr>
        <w:tab/>
      </w:r>
      <w:r>
        <w:rPr>
          <w:noProof/>
        </w:rPr>
        <w:fldChar w:fldCharType="begin"/>
      </w:r>
      <w:r>
        <w:rPr>
          <w:noProof/>
        </w:rPr>
        <w:instrText xml:space="preserve"> PAGEREF _Toc242191186 \h </w:instrText>
      </w:r>
      <w:r>
        <w:rPr>
          <w:noProof/>
        </w:rPr>
      </w:r>
      <w:r>
        <w:rPr>
          <w:noProof/>
        </w:rPr>
        <w:fldChar w:fldCharType="separate"/>
      </w:r>
      <w:r>
        <w:rPr>
          <w:noProof/>
        </w:rPr>
        <w:t>9</w:t>
      </w:r>
      <w:r>
        <w:rPr>
          <w:noProof/>
        </w:rPr>
        <w:fldChar w:fldCharType="end"/>
      </w:r>
    </w:p>
    <w:p w14:paraId="534EC797" w14:textId="47FFC9EF"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Hoe je het leest</w:t>
      </w:r>
      <w:r>
        <w:rPr>
          <w:noProof/>
        </w:rPr>
        <w:tab/>
      </w:r>
      <w:r>
        <w:rPr>
          <w:noProof/>
        </w:rPr>
        <w:fldChar w:fldCharType="begin"/>
      </w:r>
      <w:r>
        <w:rPr>
          <w:noProof/>
        </w:rPr>
        <w:instrText xml:space="preserve"> PAGEREF _Toc242191187 \h </w:instrText>
      </w:r>
      <w:r>
        <w:rPr>
          <w:noProof/>
        </w:rPr>
      </w:r>
      <w:r>
        <w:rPr>
          <w:noProof/>
        </w:rPr>
        <w:fldChar w:fldCharType="separate"/>
      </w:r>
      <w:r>
        <w:rPr>
          <w:noProof/>
        </w:rPr>
        <w:t>10</w:t>
      </w:r>
      <w:r>
        <w:rPr>
          <w:noProof/>
        </w:rPr>
        <w:fldChar w:fldCharType="end"/>
      </w:r>
    </w:p>
    <w:p w14:paraId="104BCB8B" w14:textId="6319BED9"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de lezer kan verwachten</w:t>
      </w:r>
      <w:r>
        <w:rPr>
          <w:noProof/>
        </w:rPr>
        <w:tab/>
      </w:r>
      <w:r>
        <w:rPr>
          <w:noProof/>
        </w:rPr>
        <w:fldChar w:fldCharType="begin"/>
      </w:r>
      <w:r>
        <w:rPr>
          <w:noProof/>
        </w:rPr>
        <w:instrText xml:space="preserve"> PAGEREF _Toc242191188 \h </w:instrText>
      </w:r>
      <w:r>
        <w:rPr>
          <w:noProof/>
        </w:rPr>
      </w:r>
      <w:r>
        <w:rPr>
          <w:noProof/>
        </w:rPr>
        <w:fldChar w:fldCharType="separate"/>
      </w:r>
      <w:r>
        <w:rPr>
          <w:noProof/>
        </w:rPr>
        <w:t>10</w:t>
      </w:r>
      <w:r>
        <w:rPr>
          <w:noProof/>
        </w:rPr>
        <w:fldChar w:fldCharType="end"/>
      </w:r>
    </w:p>
    <w:p w14:paraId="46CC4540" w14:textId="2BCD1075"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positie van Document C in het geheel</w:t>
      </w:r>
      <w:r>
        <w:rPr>
          <w:noProof/>
        </w:rPr>
        <w:tab/>
      </w:r>
      <w:r>
        <w:rPr>
          <w:noProof/>
        </w:rPr>
        <w:fldChar w:fldCharType="begin"/>
      </w:r>
      <w:r>
        <w:rPr>
          <w:noProof/>
        </w:rPr>
        <w:instrText xml:space="preserve"> PAGEREF _Toc242191189 \h </w:instrText>
      </w:r>
      <w:r>
        <w:rPr>
          <w:noProof/>
        </w:rPr>
      </w:r>
      <w:r>
        <w:rPr>
          <w:noProof/>
        </w:rPr>
        <w:fldChar w:fldCharType="separate"/>
      </w:r>
      <w:r>
        <w:rPr>
          <w:noProof/>
        </w:rPr>
        <w:t>10</w:t>
      </w:r>
      <w:r>
        <w:rPr>
          <w:noProof/>
        </w:rPr>
        <w:fldChar w:fldCharType="end"/>
      </w:r>
    </w:p>
    <w:p w14:paraId="2589731B" w14:textId="64AC4515"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I. De mens</w:t>
      </w:r>
      <w:r>
        <w:rPr>
          <w:noProof/>
        </w:rPr>
        <w:tab/>
      </w:r>
      <w:r>
        <w:rPr>
          <w:noProof/>
        </w:rPr>
        <w:fldChar w:fldCharType="begin"/>
      </w:r>
      <w:r>
        <w:rPr>
          <w:noProof/>
        </w:rPr>
        <w:instrText xml:space="preserve"> PAGEREF _Toc242191190 \h </w:instrText>
      </w:r>
      <w:r>
        <w:rPr>
          <w:noProof/>
        </w:rPr>
      </w:r>
      <w:r>
        <w:rPr>
          <w:noProof/>
        </w:rPr>
        <w:fldChar w:fldCharType="separate"/>
      </w:r>
      <w:r>
        <w:rPr>
          <w:noProof/>
        </w:rPr>
        <w:t>12</w:t>
      </w:r>
      <w:r>
        <w:rPr>
          <w:noProof/>
        </w:rPr>
        <w:fldChar w:fldCharType="end"/>
      </w:r>
    </w:p>
    <w:p w14:paraId="251197E5" w14:textId="1F801B21"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presentatie</w:t>
      </w:r>
      <w:r>
        <w:rPr>
          <w:noProof/>
        </w:rPr>
        <w:tab/>
      </w:r>
      <w:r>
        <w:rPr>
          <w:noProof/>
        </w:rPr>
        <w:fldChar w:fldCharType="begin"/>
      </w:r>
      <w:r>
        <w:rPr>
          <w:noProof/>
        </w:rPr>
        <w:instrText xml:space="preserve"> PAGEREF _Toc242191191 \h </w:instrText>
      </w:r>
      <w:r>
        <w:rPr>
          <w:noProof/>
        </w:rPr>
      </w:r>
      <w:r>
        <w:rPr>
          <w:noProof/>
        </w:rPr>
        <w:fldChar w:fldCharType="separate"/>
      </w:r>
      <w:r>
        <w:rPr>
          <w:noProof/>
        </w:rPr>
        <w:t>12</w:t>
      </w:r>
      <w:r>
        <w:rPr>
          <w:noProof/>
        </w:rPr>
        <w:fldChar w:fldCharType="end"/>
      </w:r>
    </w:p>
    <w:p w14:paraId="2EFCF1CD" w14:textId="2AC7C458"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I-A — De structuur</w:t>
      </w:r>
      <w:r>
        <w:rPr>
          <w:noProof/>
        </w:rPr>
        <w:tab/>
      </w:r>
      <w:r>
        <w:rPr>
          <w:noProof/>
        </w:rPr>
        <w:fldChar w:fldCharType="begin"/>
      </w:r>
      <w:r>
        <w:rPr>
          <w:noProof/>
        </w:rPr>
        <w:instrText xml:space="preserve"> PAGEREF _Toc242191192 \h </w:instrText>
      </w:r>
      <w:r>
        <w:rPr>
          <w:noProof/>
        </w:rPr>
      </w:r>
      <w:r>
        <w:rPr>
          <w:noProof/>
        </w:rPr>
        <w:fldChar w:fldCharType="separate"/>
      </w:r>
      <w:r>
        <w:rPr>
          <w:noProof/>
        </w:rPr>
        <w:t>12</w:t>
      </w:r>
      <w:r>
        <w:rPr>
          <w:noProof/>
        </w:rPr>
        <w:fldChar w:fldCharType="end"/>
      </w:r>
    </w:p>
    <w:p w14:paraId="38D5157F" w14:textId="714B9980"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I-B — De actoren</w:t>
      </w:r>
      <w:r>
        <w:rPr>
          <w:noProof/>
        </w:rPr>
        <w:tab/>
      </w:r>
      <w:r>
        <w:rPr>
          <w:noProof/>
        </w:rPr>
        <w:fldChar w:fldCharType="begin"/>
      </w:r>
      <w:r>
        <w:rPr>
          <w:noProof/>
        </w:rPr>
        <w:instrText xml:space="preserve"> PAGEREF _Toc242191193 \h </w:instrText>
      </w:r>
      <w:r>
        <w:rPr>
          <w:noProof/>
        </w:rPr>
      </w:r>
      <w:r>
        <w:rPr>
          <w:noProof/>
        </w:rPr>
        <w:fldChar w:fldCharType="separate"/>
      </w:r>
      <w:r>
        <w:rPr>
          <w:noProof/>
        </w:rPr>
        <w:t>15</w:t>
      </w:r>
      <w:r>
        <w:rPr>
          <w:noProof/>
        </w:rPr>
        <w:fldChar w:fldCharType="end"/>
      </w:r>
    </w:p>
    <w:p w14:paraId="61A682AD" w14:textId="6F78E6A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I-C — De verhoudingen</w:t>
      </w:r>
      <w:r>
        <w:rPr>
          <w:noProof/>
        </w:rPr>
        <w:tab/>
      </w:r>
      <w:r>
        <w:rPr>
          <w:noProof/>
        </w:rPr>
        <w:fldChar w:fldCharType="begin"/>
      </w:r>
      <w:r>
        <w:rPr>
          <w:noProof/>
        </w:rPr>
        <w:instrText xml:space="preserve"> PAGEREF _Toc242191194 \h </w:instrText>
      </w:r>
      <w:r>
        <w:rPr>
          <w:noProof/>
        </w:rPr>
      </w:r>
      <w:r>
        <w:rPr>
          <w:noProof/>
        </w:rPr>
        <w:fldChar w:fldCharType="separate"/>
      </w:r>
      <w:r>
        <w:rPr>
          <w:noProof/>
        </w:rPr>
        <w:t>24</w:t>
      </w:r>
      <w:r>
        <w:rPr>
          <w:noProof/>
        </w:rPr>
        <w:fldChar w:fldCharType="end"/>
      </w:r>
    </w:p>
    <w:p w14:paraId="4BF00302" w14:textId="6C4380E0"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cascade</w:t>
      </w:r>
      <w:r>
        <w:rPr>
          <w:noProof/>
        </w:rPr>
        <w:tab/>
      </w:r>
      <w:r>
        <w:rPr>
          <w:noProof/>
        </w:rPr>
        <w:fldChar w:fldCharType="begin"/>
      </w:r>
      <w:r>
        <w:rPr>
          <w:noProof/>
        </w:rPr>
        <w:instrText xml:space="preserve"> PAGEREF _Toc242191195 \h </w:instrText>
      </w:r>
      <w:r>
        <w:rPr>
          <w:noProof/>
        </w:rPr>
      </w:r>
      <w:r>
        <w:rPr>
          <w:noProof/>
        </w:rPr>
        <w:fldChar w:fldCharType="separate"/>
      </w:r>
      <w:r>
        <w:rPr>
          <w:noProof/>
        </w:rPr>
        <w:t>27</w:t>
      </w:r>
      <w:r>
        <w:rPr>
          <w:noProof/>
        </w:rPr>
        <w:fldChar w:fldCharType="end"/>
      </w:r>
    </w:p>
    <w:p w14:paraId="51B04D99" w14:textId="7179487D"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Frame 1 — De trigger</w:t>
      </w:r>
      <w:r>
        <w:rPr>
          <w:noProof/>
        </w:rPr>
        <w:tab/>
      </w:r>
      <w:r>
        <w:rPr>
          <w:noProof/>
        </w:rPr>
        <w:fldChar w:fldCharType="begin"/>
      </w:r>
      <w:r>
        <w:rPr>
          <w:noProof/>
        </w:rPr>
        <w:instrText xml:space="preserve"> PAGEREF _Toc242191196 \h </w:instrText>
      </w:r>
      <w:r>
        <w:rPr>
          <w:noProof/>
        </w:rPr>
      </w:r>
      <w:r>
        <w:rPr>
          <w:noProof/>
        </w:rPr>
        <w:fldChar w:fldCharType="separate"/>
      </w:r>
      <w:r>
        <w:rPr>
          <w:noProof/>
        </w:rPr>
        <w:t>27</w:t>
      </w:r>
      <w:r>
        <w:rPr>
          <w:noProof/>
        </w:rPr>
        <w:fldChar w:fldCharType="end"/>
      </w:r>
    </w:p>
    <w:p w14:paraId="739DD9AB" w14:textId="2B15BB4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Frame 2 — Wat blijft stromen</w:t>
      </w:r>
      <w:r>
        <w:rPr>
          <w:noProof/>
        </w:rPr>
        <w:tab/>
      </w:r>
      <w:r>
        <w:rPr>
          <w:noProof/>
        </w:rPr>
        <w:fldChar w:fldCharType="begin"/>
      </w:r>
      <w:r>
        <w:rPr>
          <w:noProof/>
        </w:rPr>
        <w:instrText xml:space="preserve"> PAGEREF _Toc242191197 \h </w:instrText>
      </w:r>
      <w:r>
        <w:rPr>
          <w:noProof/>
        </w:rPr>
      </w:r>
      <w:r>
        <w:rPr>
          <w:noProof/>
        </w:rPr>
        <w:fldChar w:fldCharType="separate"/>
      </w:r>
      <w:r>
        <w:rPr>
          <w:noProof/>
        </w:rPr>
        <w:t>27</w:t>
      </w:r>
      <w:r>
        <w:rPr>
          <w:noProof/>
        </w:rPr>
        <w:fldChar w:fldCharType="end"/>
      </w:r>
    </w:p>
    <w:p w14:paraId="09B47554" w14:textId="65CBB0B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Frame 3 — Wat weglekt</w:t>
      </w:r>
      <w:r>
        <w:rPr>
          <w:noProof/>
        </w:rPr>
        <w:tab/>
      </w:r>
      <w:r>
        <w:rPr>
          <w:noProof/>
        </w:rPr>
        <w:fldChar w:fldCharType="begin"/>
      </w:r>
      <w:r>
        <w:rPr>
          <w:noProof/>
        </w:rPr>
        <w:instrText xml:space="preserve"> PAGEREF _Toc242191198 \h </w:instrText>
      </w:r>
      <w:r>
        <w:rPr>
          <w:noProof/>
        </w:rPr>
      </w:r>
      <w:r>
        <w:rPr>
          <w:noProof/>
        </w:rPr>
        <w:fldChar w:fldCharType="separate"/>
      </w:r>
      <w:r>
        <w:rPr>
          <w:noProof/>
        </w:rPr>
        <w:t>27</w:t>
      </w:r>
      <w:r>
        <w:rPr>
          <w:noProof/>
        </w:rPr>
        <w:fldChar w:fldCharType="end"/>
      </w:r>
    </w:p>
    <w:p w14:paraId="6B05C2E6" w14:textId="09CB31AB"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Frame 4 — Wat niet binnenkomt</w:t>
      </w:r>
      <w:r>
        <w:rPr>
          <w:noProof/>
        </w:rPr>
        <w:tab/>
      </w:r>
      <w:r>
        <w:rPr>
          <w:noProof/>
        </w:rPr>
        <w:fldChar w:fldCharType="begin"/>
      </w:r>
      <w:r>
        <w:rPr>
          <w:noProof/>
        </w:rPr>
        <w:instrText xml:space="preserve"> PAGEREF _Toc242191199 \h </w:instrText>
      </w:r>
      <w:r>
        <w:rPr>
          <w:noProof/>
        </w:rPr>
      </w:r>
      <w:r>
        <w:rPr>
          <w:noProof/>
        </w:rPr>
        <w:fldChar w:fldCharType="separate"/>
      </w:r>
      <w:r>
        <w:rPr>
          <w:noProof/>
        </w:rPr>
        <w:t>28</w:t>
      </w:r>
      <w:r>
        <w:rPr>
          <w:noProof/>
        </w:rPr>
        <w:fldChar w:fldCharType="end"/>
      </w:r>
    </w:p>
    <w:p w14:paraId="5712D1E9" w14:textId="24D8E22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Frame 5 — Het resultaat</w:t>
      </w:r>
      <w:r>
        <w:rPr>
          <w:noProof/>
        </w:rPr>
        <w:tab/>
      </w:r>
      <w:r>
        <w:rPr>
          <w:noProof/>
        </w:rPr>
        <w:fldChar w:fldCharType="begin"/>
      </w:r>
      <w:r>
        <w:rPr>
          <w:noProof/>
        </w:rPr>
        <w:instrText xml:space="preserve"> PAGEREF _Toc242191200 \h </w:instrText>
      </w:r>
      <w:r>
        <w:rPr>
          <w:noProof/>
        </w:rPr>
      </w:r>
      <w:r>
        <w:rPr>
          <w:noProof/>
        </w:rPr>
        <w:fldChar w:fldCharType="separate"/>
      </w:r>
      <w:r>
        <w:rPr>
          <w:noProof/>
        </w:rPr>
        <w:t>28</w:t>
      </w:r>
      <w:r>
        <w:rPr>
          <w:noProof/>
        </w:rPr>
        <w:fldChar w:fldCharType="end"/>
      </w:r>
    </w:p>
    <w:p w14:paraId="080BC844" w14:textId="1CEAB9CE"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II. België</w:t>
      </w:r>
      <w:r>
        <w:rPr>
          <w:noProof/>
        </w:rPr>
        <w:tab/>
      </w:r>
      <w:r>
        <w:rPr>
          <w:noProof/>
        </w:rPr>
        <w:fldChar w:fldCharType="begin"/>
      </w:r>
      <w:r>
        <w:rPr>
          <w:noProof/>
        </w:rPr>
        <w:instrText xml:space="preserve"> PAGEREF _Toc242191201 \h </w:instrText>
      </w:r>
      <w:r>
        <w:rPr>
          <w:noProof/>
        </w:rPr>
      </w:r>
      <w:r>
        <w:rPr>
          <w:noProof/>
        </w:rPr>
        <w:fldChar w:fldCharType="separate"/>
      </w:r>
      <w:r>
        <w:rPr>
          <w:noProof/>
        </w:rPr>
        <w:t>30</w:t>
      </w:r>
      <w:r>
        <w:rPr>
          <w:noProof/>
        </w:rPr>
        <w:fldChar w:fldCharType="end"/>
      </w:r>
    </w:p>
    <w:p w14:paraId="470E8C67" w14:textId="59B54112"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potjes en de koppelverkoop</w:t>
      </w:r>
      <w:r>
        <w:rPr>
          <w:noProof/>
        </w:rPr>
        <w:tab/>
      </w:r>
      <w:r>
        <w:rPr>
          <w:noProof/>
        </w:rPr>
        <w:fldChar w:fldCharType="begin"/>
      </w:r>
      <w:r>
        <w:rPr>
          <w:noProof/>
        </w:rPr>
        <w:instrText xml:space="preserve"> PAGEREF _Toc242191202 \h </w:instrText>
      </w:r>
      <w:r>
        <w:rPr>
          <w:noProof/>
        </w:rPr>
      </w:r>
      <w:r>
        <w:rPr>
          <w:noProof/>
        </w:rPr>
        <w:fldChar w:fldCharType="separate"/>
      </w:r>
      <w:r>
        <w:rPr>
          <w:noProof/>
        </w:rPr>
        <w:t>30</w:t>
      </w:r>
      <w:r>
        <w:rPr>
          <w:noProof/>
        </w:rPr>
        <w:fldChar w:fldCharType="end"/>
      </w:r>
    </w:p>
    <w:p w14:paraId="142D31FF" w14:textId="0754D334"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II-A — De potjes</w:t>
      </w:r>
      <w:r>
        <w:rPr>
          <w:noProof/>
        </w:rPr>
        <w:tab/>
      </w:r>
      <w:r>
        <w:rPr>
          <w:noProof/>
        </w:rPr>
        <w:fldChar w:fldCharType="begin"/>
      </w:r>
      <w:r>
        <w:rPr>
          <w:noProof/>
        </w:rPr>
        <w:instrText xml:space="preserve"> PAGEREF _Toc242191203 \h </w:instrText>
      </w:r>
      <w:r>
        <w:rPr>
          <w:noProof/>
        </w:rPr>
      </w:r>
      <w:r>
        <w:rPr>
          <w:noProof/>
        </w:rPr>
        <w:fldChar w:fldCharType="separate"/>
      </w:r>
      <w:r>
        <w:rPr>
          <w:noProof/>
        </w:rPr>
        <w:t>30</w:t>
      </w:r>
      <w:r>
        <w:rPr>
          <w:noProof/>
        </w:rPr>
        <w:fldChar w:fldCharType="end"/>
      </w:r>
    </w:p>
    <w:p w14:paraId="24E3D0AA" w14:textId="5686049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II-B — De koppelverkoop</w:t>
      </w:r>
      <w:r>
        <w:rPr>
          <w:noProof/>
        </w:rPr>
        <w:tab/>
      </w:r>
      <w:r>
        <w:rPr>
          <w:noProof/>
        </w:rPr>
        <w:fldChar w:fldCharType="begin"/>
      </w:r>
      <w:r>
        <w:rPr>
          <w:noProof/>
        </w:rPr>
        <w:instrText xml:space="preserve"> PAGEREF _Toc242191204 \h </w:instrText>
      </w:r>
      <w:r>
        <w:rPr>
          <w:noProof/>
        </w:rPr>
      </w:r>
      <w:r>
        <w:rPr>
          <w:noProof/>
        </w:rPr>
        <w:fldChar w:fldCharType="separate"/>
      </w:r>
      <w:r>
        <w:rPr>
          <w:noProof/>
        </w:rPr>
        <w:t>34</w:t>
      </w:r>
      <w:r>
        <w:rPr>
          <w:noProof/>
        </w:rPr>
        <w:fldChar w:fldCharType="end"/>
      </w:r>
    </w:p>
    <w:p w14:paraId="52C8D91B" w14:textId="7AC2205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II-C — De vier catch-22's</w:t>
      </w:r>
      <w:r>
        <w:rPr>
          <w:noProof/>
        </w:rPr>
        <w:tab/>
      </w:r>
      <w:r>
        <w:rPr>
          <w:noProof/>
        </w:rPr>
        <w:fldChar w:fldCharType="begin"/>
      </w:r>
      <w:r>
        <w:rPr>
          <w:noProof/>
        </w:rPr>
        <w:instrText xml:space="preserve"> PAGEREF _Toc242191205 \h </w:instrText>
      </w:r>
      <w:r>
        <w:rPr>
          <w:noProof/>
        </w:rPr>
      </w:r>
      <w:r>
        <w:rPr>
          <w:noProof/>
        </w:rPr>
        <w:fldChar w:fldCharType="separate"/>
      </w:r>
      <w:r>
        <w:rPr>
          <w:noProof/>
        </w:rPr>
        <w:t>35</w:t>
      </w:r>
      <w:r>
        <w:rPr>
          <w:noProof/>
        </w:rPr>
        <w:fldChar w:fldCharType="end"/>
      </w:r>
    </w:p>
    <w:p w14:paraId="7E3DC85B" w14:textId="34BC8E44"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hoofdstuk vaststelt</w:t>
      </w:r>
      <w:r>
        <w:rPr>
          <w:noProof/>
        </w:rPr>
        <w:tab/>
      </w:r>
      <w:r>
        <w:rPr>
          <w:noProof/>
        </w:rPr>
        <w:fldChar w:fldCharType="begin"/>
      </w:r>
      <w:r>
        <w:rPr>
          <w:noProof/>
        </w:rPr>
        <w:instrText xml:space="preserve"> PAGEREF _Toc242191206 \h </w:instrText>
      </w:r>
      <w:r>
        <w:rPr>
          <w:noProof/>
        </w:rPr>
      </w:r>
      <w:r>
        <w:rPr>
          <w:noProof/>
        </w:rPr>
        <w:fldChar w:fldCharType="separate"/>
      </w:r>
      <w:r>
        <w:rPr>
          <w:noProof/>
        </w:rPr>
        <w:t>37</w:t>
      </w:r>
      <w:r>
        <w:rPr>
          <w:noProof/>
        </w:rPr>
        <w:fldChar w:fldCharType="end"/>
      </w:r>
    </w:p>
    <w:p w14:paraId="233C4C50" w14:textId="251F2671"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Vaststelling en beslissing</w:t>
      </w:r>
      <w:r>
        <w:rPr>
          <w:noProof/>
        </w:rPr>
        <w:tab/>
      </w:r>
      <w:r>
        <w:rPr>
          <w:noProof/>
        </w:rPr>
        <w:fldChar w:fldCharType="begin"/>
      </w:r>
      <w:r>
        <w:rPr>
          <w:noProof/>
        </w:rPr>
        <w:instrText xml:space="preserve"> PAGEREF _Toc242191207 \h </w:instrText>
      </w:r>
      <w:r>
        <w:rPr>
          <w:noProof/>
        </w:rPr>
      </w:r>
      <w:r>
        <w:rPr>
          <w:noProof/>
        </w:rPr>
        <w:fldChar w:fldCharType="separate"/>
      </w:r>
      <w:r>
        <w:rPr>
          <w:noProof/>
        </w:rPr>
        <w:t>39</w:t>
      </w:r>
      <w:r>
        <w:rPr>
          <w:noProof/>
        </w:rPr>
        <w:fldChar w:fldCharType="end"/>
      </w:r>
    </w:p>
    <w:p w14:paraId="5B485946" w14:textId="04677008"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vijf stemmen</w:t>
      </w:r>
      <w:r>
        <w:rPr>
          <w:noProof/>
        </w:rPr>
        <w:tab/>
      </w:r>
      <w:r>
        <w:rPr>
          <w:noProof/>
        </w:rPr>
        <w:fldChar w:fldCharType="begin"/>
      </w:r>
      <w:r>
        <w:rPr>
          <w:noProof/>
        </w:rPr>
        <w:instrText xml:space="preserve"> PAGEREF _Toc242191208 \h </w:instrText>
      </w:r>
      <w:r>
        <w:rPr>
          <w:noProof/>
        </w:rPr>
      </w:r>
      <w:r>
        <w:rPr>
          <w:noProof/>
        </w:rPr>
        <w:fldChar w:fldCharType="separate"/>
      </w:r>
      <w:r>
        <w:rPr>
          <w:noProof/>
        </w:rPr>
        <w:t>39</w:t>
      </w:r>
      <w:r>
        <w:rPr>
          <w:noProof/>
        </w:rPr>
        <w:fldChar w:fldCharType="end"/>
      </w:r>
    </w:p>
    <w:p w14:paraId="0195C5D3" w14:textId="0F02137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Twee beslissers, één mechanisme</w:t>
      </w:r>
      <w:r>
        <w:rPr>
          <w:noProof/>
        </w:rPr>
        <w:tab/>
      </w:r>
      <w:r>
        <w:rPr>
          <w:noProof/>
        </w:rPr>
        <w:fldChar w:fldCharType="begin"/>
      </w:r>
      <w:r>
        <w:rPr>
          <w:noProof/>
        </w:rPr>
        <w:instrText xml:space="preserve"> PAGEREF _Toc242191209 \h </w:instrText>
      </w:r>
      <w:r>
        <w:rPr>
          <w:noProof/>
        </w:rPr>
      </w:r>
      <w:r>
        <w:rPr>
          <w:noProof/>
        </w:rPr>
        <w:fldChar w:fldCharType="separate"/>
      </w:r>
      <w:r>
        <w:rPr>
          <w:noProof/>
        </w:rPr>
        <w:t>39</w:t>
      </w:r>
      <w:r>
        <w:rPr>
          <w:noProof/>
        </w:rPr>
        <w:fldChar w:fldCharType="end"/>
      </w:r>
    </w:p>
    <w:p w14:paraId="69D2D8A3" w14:textId="4108664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gemeenschappelijke patroon</w:t>
      </w:r>
      <w:r>
        <w:rPr>
          <w:noProof/>
        </w:rPr>
        <w:tab/>
      </w:r>
      <w:r>
        <w:rPr>
          <w:noProof/>
        </w:rPr>
        <w:fldChar w:fldCharType="begin"/>
      </w:r>
      <w:r>
        <w:rPr>
          <w:noProof/>
        </w:rPr>
        <w:instrText xml:space="preserve"> PAGEREF _Toc242191210 \h </w:instrText>
      </w:r>
      <w:r>
        <w:rPr>
          <w:noProof/>
        </w:rPr>
      </w:r>
      <w:r>
        <w:rPr>
          <w:noProof/>
        </w:rPr>
        <w:fldChar w:fldCharType="separate"/>
      </w:r>
      <w:r>
        <w:rPr>
          <w:noProof/>
        </w:rPr>
        <w:t>40</w:t>
      </w:r>
      <w:r>
        <w:rPr>
          <w:noProof/>
        </w:rPr>
        <w:fldChar w:fldCharType="end"/>
      </w:r>
    </w:p>
    <w:p w14:paraId="58CDCCC4" w14:textId="2B654C3D"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Parentia-trap</w:t>
      </w:r>
      <w:r>
        <w:rPr>
          <w:noProof/>
        </w:rPr>
        <w:tab/>
      </w:r>
      <w:r>
        <w:rPr>
          <w:noProof/>
        </w:rPr>
        <w:fldChar w:fldCharType="begin"/>
      </w:r>
      <w:r>
        <w:rPr>
          <w:noProof/>
        </w:rPr>
        <w:instrText xml:space="preserve"> PAGEREF _Toc242191211 \h </w:instrText>
      </w:r>
      <w:r>
        <w:rPr>
          <w:noProof/>
        </w:rPr>
      </w:r>
      <w:r>
        <w:rPr>
          <w:noProof/>
        </w:rPr>
        <w:fldChar w:fldCharType="separate"/>
      </w:r>
      <w:r>
        <w:rPr>
          <w:noProof/>
        </w:rPr>
        <w:t>41</w:t>
      </w:r>
      <w:r>
        <w:rPr>
          <w:noProof/>
        </w:rPr>
        <w:fldChar w:fldCharType="end"/>
      </w:r>
    </w:p>
    <w:p w14:paraId="6A35618E" w14:textId="4816F11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Niveau 1 — De KSZ-blokkade</w:t>
      </w:r>
      <w:r>
        <w:rPr>
          <w:noProof/>
        </w:rPr>
        <w:tab/>
      </w:r>
      <w:r>
        <w:rPr>
          <w:noProof/>
        </w:rPr>
        <w:fldChar w:fldCharType="begin"/>
      </w:r>
      <w:r>
        <w:rPr>
          <w:noProof/>
        </w:rPr>
        <w:instrText xml:space="preserve"> PAGEREF _Toc242191212 \h </w:instrText>
      </w:r>
      <w:r>
        <w:rPr>
          <w:noProof/>
        </w:rPr>
      </w:r>
      <w:r>
        <w:rPr>
          <w:noProof/>
        </w:rPr>
        <w:fldChar w:fldCharType="separate"/>
      </w:r>
      <w:r>
        <w:rPr>
          <w:noProof/>
        </w:rPr>
        <w:t>41</w:t>
      </w:r>
      <w:r>
        <w:rPr>
          <w:noProof/>
        </w:rPr>
        <w:fldChar w:fldCharType="end"/>
      </w:r>
    </w:p>
    <w:p w14:paraId="1CEC6313" w14:textId="6FFE2D4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Niveau 2 — De bypass wordt aanvaard</w:t>
      </w:r>
      <w:r>
        <w:rPr>
          <w:noProof/>
        </w:rPr>
        <w:tab/>
      </w:r>
      <w:r>
        <w:rPr>
          <w:noProof/>
        </w:rPr>
        <w:fldChar w:fldCharType="begin"/>
      </w:r>
      <w:r>
        <w:rPr>
          <w:noProof/>
        </w:rPr>
        <w:instrText xml:space="preserve"> PAGEREF _Toc242191213 \h </w:instrText>
      </w:r>
      <w:r>
        <w:rPr>
          <w:noProof/>
        </w:rPr>
      </w:r>
      <w:r>
        <w:rPr>
          <w:noProof/>
        </w:rPr>
        <w:fldChar w:fldCharType="separate"/>
      </w:r>
      <w:r>
        <w:rPr>
          <w:noProof/>
        </w:rPr>
        <w:t>41</w:t>
      </w:r>
      <w:r>
        <w:rPr>
          <w:noProof/>
        </w:rPr>
        <w:fldChar w:fldCharType="end"/>
      </w:r>
    </w:p>
    <w:p w14:paraId="33A18541" w14:textId="51A38DD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Niveau 3 — De inkomensweigering</w:t>
      </w:r>
      <w:r>
        <w:rPr>
          <w:noProof/>
        </w:rPr>
        <w:tab/>
      </w:r>
      <w:r>
        <w:rPr>
          <w:noProof/>
        </w:rPr>
        <w:fldChar w:fldCharType="begin"/>
      </w:r>
      <w:r>
        <w:rPr>
          <w:noProof/>
        </w:rPr>
        <w:instrText xml:space="preserve"> PAGEREF _Toc242191214 \h </w:instrText>
      </w:r>
      <w:r>
        <w:rPr>
          <w:noProof/>
        </w:rPr>
      </w:r>
      <w:r>
        <w:rPr>
          <w:noProof/>
        </w:rPr>
        <w:fldChar w:fldCharType="separate"/>
      </w:r>
      <w:r>
        <w:rPr>
          <w:noProof/>
        </w:rPr>
        <w:t>41</w:t>
      </w:r>
      <w:r>
        <w:rPr>
          <w:noProof/>
        </w:rPr>
        <w:fldChar w:fldCharType="end"/>
      </w:r>
    </w:p>
    <w:p w14:paraId="5681CEAD" w14:textId="055311A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patroon keert terug</w:t>
      </w:r>
      <w:r>
        <w:rPr>
          <w:noProof/>
        </w:rPr>
        <w:tab/>
      </w:r>
      <w:r>
        <w:rPr>
          <w:noProof/>
        </w:rPr>
        <w:fldChar w:fldCharType="begin"/>
      </w:r>
      <w:r>
        <w:rPr>
          <w:noProof/>
        </w:rPr>
        <w:instrText xml:space="preserve"> PAGEREF _Toc242191215 \h </w:instrText>
      </w:r>
      <w:r>
        <w:rPr>
          <w:noProof/>
        </w:rPr>
      </w:r>
      <w:r>
        <w:rPr>
          <w:noProof/>
        </w:rPr>
        <w:fldChar w:fldCharType="separate"/>
      </w:r>
      <w:r>
        <w:rPr>
          <w:noProof/>
        </w:rPr>
        <w:t>42</w:t>
      </w:r>
      <w:r>
        <w:rPr>
          <w:noProof/>
        </w:rPr>
        <w:fldChar w:fldCharType="end"/>
      </w:r>
    </w:p>
    <w:p w14:paraId="4CE2A84D" w14:textId="3A10EB23"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Belgische fiscale route</w:t>
      </w:r>
      <w:r>
        <w:rPr>
          <w:noProof/>
        </w:rPr>
        <w:tab/>
      </w:r>
      <w:r>
        <w:rPr>
          <w:noProof/>
        </w:rPr>
        <w:fldChar w:fldCharType="begin"/>
      </w:r>
      <w:r>
        <w:rPr>
          <w:noProof/>
        </w:rPr>
        <w:instrText xml:space="preserve"> PAGEREF _Toc242191216 \h </w:instrText>
      </w:r>
      <w:r>
        <w:rPr>
          <w:noProof/>
        </w:rPr>
      </w:r>
      <w:r>
        <w:rPr>
          <w:noProof/>
        </w:rPr>
        <w:fldChar w:fldCharType="separate"/>
      </w:r>
      <w:r>
        <w:rPr>
          <w:noProof/>
        </w:rPr>
        <w:t>43</w:t>
      </w:r>
      <w:r>
        <w:rPr>
          <w:noProof/>
        </w:rPr>
        <w:fldChar w:fldCharType="end"/>
      </w:r>
    </w:p>
    <w:p w14:paraId="2E5F6991" w14:textId="5B852A2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Wat er werkt</w:t>
      </w:r>
      <w:r>
        <w:rPr>
          <w:noProof/>
        </w:rPr>
        <w:tab/>
      </w:r>
      <w:r>
        <w:rPr>
          <w:noProof/>
        </w:rPr>
        <w:fldChar w:fldCharType="begin"/>
      </w:r>
      <w:r>
        <w:rPr>
          <w:noProof/>
        </w:rPr>
        <w:instrText xml:space="preserve"> PAGEREF _Toc242191217 \h </w:instrText>
      </w:r>
      <w:r>
        <w:rPr>
          <w:noProof/>
        </w:rPr>
      </w:r>
      <w:r>
        <w:rPr>
          <w:noProof/>
        </w:rPr>
        <w:fldChar w:fldCharType="separate"/>
      </w:r>
      <w:r>
        <w:rPr>
          <w:noProof/>
        </w:rPr>
        <w:t>43</w:t>
      </w:r>
      <w:r>
        <w:rPr>
          <w:noProof/>
        </w:rPr>
        <w:fldChar w:fldCharType="end"/>
      </w:r>
    </w:p>
    <w:p w14:paraId="1D61A01E" w14:textId="1F69838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bypass voor de verhoogde belastingvrije som</w:t>
      </w:r>
      <w:r>
        <w:rPr>
          <w:noProof/>
        </w:rPr>
        <w:tab/>
      </w:r>
      <w:r>
        <w:rPr>
          <w:noProof/>
        </w:rPr>
        <w:fldChar w:fldCharType="begin"/>
      </w:r>
      <w:r>
        <w:rPr>
          <w:noProof/>
        </w:rPr>
        <w:instrText xml:space="preserve"> PAGEREF _Toc242191218 \h </w:instrText>
      </w:r>
      <w:r>
        <w:rPr>
          <w:noProof/>
        </w:rPr>
      </w:r>
      <w:r>
        <w:rPr>
          <w:noProof/>
        </w:rPr>
        <w:fldChar w:fldCharType="separate"/>
      </w:r>
      <w:r>
        <w:rPr>
          <w:noProof/>
        </w:rPr>
        <w:t>44</w:t>
      </w:r>
      <w:r>
        <w:rPr>
          <w:noProof/>
        </w:rPr>
        <w:fldChar w:fldCharType="end"/>
      </w:r>
    </w:p>
    <w:p w14:paraId="45485A77" w14:textId="266F796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dubbele bevestiging</w:t>
      </w:r>
      <w:r>
        <w:rPr>
          <w:noProof/>
        </w:rPr>
        <w:tab/>
      </w:r>
      <w:r>
        <w:rPr>
          <w:noProof/>
        </w:rPr>
        <w:fldChar w:fldCharType="begin"/>
      </w:r>
      <w:r>
        <w:rPr>
          <w:noProof/>
        </w:rPr>
        <w:instrText xml:space="preserve"> PAGEREF _Toc242191219 \h </w:instrText>
      </w:r>
      <w:r>
        <w:rPr>
          <w:noProof/>
        </w:rPr>
      </w:r>
      <w:r>
        <w:rPr>
          <w:noProof/>
        </w:rPr>
        <w:fldChar w:fldCharType="separate"/>
      </w:r>
      <w:r>
        <w:rPr>
          <w:noProof/>
        </w:rPr>
        <w:t>45</w:t>
      </w:r>
      <w:r>
        <w:rPr>
          <w:noProof/>
        </w:rPr>
        <w:fldChar w:fldCharType="end"/>
      </w:r>
    </w:p>
    <w:p w14:paraId="03C37095" w14:textId="7EA579B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AGODI: het bewegende doelwit en de uiteindelijke afronding</w:t>
      </w:r>
      <w:r>
        <w:rPr>
          <w:noProof/>
        </w:rPr>
        <w:tab/>
      </w:r>
      <w:r>
        <w:rPr>
          <w:noProof/>
        </w:rPr>
        <w:fldChar w:fldCharType="begin"/>
      </w:r>
      <w:r>
        <w:rPr>
          <w:noProof/>
        </w:rPr>
        <w:instrText xml:space="preserve"> PAGEREF _Toc242191220 \h </w:instrText>
      </w:r>
      <w:r>
        <w:rPr>
          <w:noProof/>
        </w:rPr>
      </w:r>
      <w:r>
        <w:rPr>
          <w:noProof/>
        </w:rPr>
        <w:fldChar w:fldCharType="separate"/>
      </w:r>
      <w:r>
        <w:rPr>
          <w:noProof/>
        </w:rPr>
        <w:t>46</w:t>
      </w:r>
      <w:r>
        <w:rPr>
          <w:noProof/>
        </w:rPr>
        <w:fldChar w:fldCharType="end"/>
      </w:r>
    </w:p>
    <w:p w14:paraId="7BC2C670" w14:textId="3292FA8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Wat dit hoofdstuk vaststelt</w:t>
      </w:r>
      <w:r>
        <w:rPr>
          <w:noProof/>
        </w:rPr>
        <w:tab/>
      </w:r>
      <w:r>
        <w:rPr>
          <w:noProof/>
        </w:rPr>
        <w:fldChar w:fldCharType="begin"/>
      </w:r>
      <w:r>
        <w:rPr>
          <w:noProof/>
        </w:rPr>
        <w:instrText xml:space="preserve"> PAGEREF _Toc242191221 \h </w:instrText>
      </w:r>
      <w:r>
        <w:rPr>
          <w:noProof/>
        </w:rPr>
      </w:r>
      <w:r>
        <w:rPr>
          <w:noProof/>
        </w:rPr>
        <w:fldChar w:fldCharType="separate"/>
      </w:r>
      <w:r>
        <w:rPr>
          <w:noProof/>
        </w:rPr>
        <w:t>47</w:t>
      </w:r>
      <w:r>
        <w:rPr>
          <w:noProof/>
        </w:rPr>
        <w:fldChar w:fldCharType="end"/>
      </w:r>
    </w:p>
    <w:p w14:paraId="7A43AD5F" w14:textId="0F0753C3"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heropening</w:t>
      </w:r>
      <w:r>
        <w:rPr>
          <w:noProof/>
        </w:rPr>
        <w:tab/>
      </w:r>
      <w:r>
        <w:rPr>
          <w:noProof/>
        </w:rPr>
        <w:fldChar w:fldCharType="begin"/>
      </w:r>
      <w:r>
        <w:rPr>
          <w:noProof/>
        </w:rPr>
        <w:instrText xml:space="preserve"> PAGEREF _Toc242191222 \h </w:instrText>
      </w:r>
      <w:r>
        <w:rPr>
          <w:noProof/>
        </w:rPr>
      </w:r>
      <w:r>
        <w:rPr>
          <w:noProof/>
        </w:rPr>
        <w:fldChar w:fldCharType="separate"/>
      </w:r>
      <w:r>
        <w:rPr>
          <w:noProof/>
        </w:rPr>
        <w:t>49</w:t>
      </w:r>
      <w:r>
        <w:rPr>
          <w:noProof/>
        </w:rPr>
        <w:fldChar w:fldCharType="end"/>
      </w:r>
    </w:p>
    <w:p w14:paraId="115F0AED" w14:textId="40A6E2C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de brief zegt</w:t>
      </w:r>
      <w:r>
        <w:rPr>
          <w:noProof/>
        </w:rPr>
        <w:tab/>
      </w:r>
      <w:r>
        <w:rPr>
          <w:noProof/>
        </w:rPr>
        <w:fldChar w:fldCharType="begin"/>
      </w:r>
      <w:r>
        <w:rPr>
          <w:noProof/>
        </w:rPr>
        <w:instrText xml:space="preserve"> PAGEREF _Toc242191223 \h </w:instrText>
      </w:r>
      <w:r>
        <w:rPr>
          <w:noProof/>
        </w:rPr>
      </w:r>
      <w:r>
        <w:rPr>
          <w:noProof/>
        </w:rPr>
        <w:fldChar w:fldCharType="separate"/>
      </w:r>
      <w:r>
        <w:rPr>
          <w:noProof/>
        </w:rPr>
        <w:t>49</w:t>
      </w:r>
      <w:r>
        <w:rPr>
          <w:noProof/>
        </w:rPr>
        <w:fldChar w:fldCharType="end"/>
      </w:r>
    </w:p>
    <w:p w14:paraId="0632F1DB" w14:textId="636761E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de website zegt</w:t>
      </w:r>
      <w:r>
        <w:rPr>
          <w:noProof/>
        </w:rPr>
        <w:tab/>
      </w:r>
      <w:r>
        <w:rPr>
          <w:noProof/>
        </w:rPr>
        <w:fldChar w:fldCharType="begin"/>
      </w:r>
      <w:r>
        <w:rPr>
          <w:noProof/>
        </w:rPr>
        <w:instrText xml:space="preserve"> PAGEREF _Toc242191224 \h </w:instrText>
      </w:r>
      <w:r>
        <w:rPr>
          <w:noProof/>
        </w:rPr>
      </w:r>
      <w:r>
        <w:rPr>
          <w:noProof/>
        </w:rPr>
        <w:fldChar w:fldCharType="separate"/>
      </w:r>
      <w:r>
        <w:rPr>
          <w:noProof/>
        </w:rPr>
        <w:t>49</w:t>
      </w:r>
      <w:r>
        <w:rPr>
          <w:noProof/>
        </w:rPr>
        <w:fldChar w:fldCharType="end"/>
      </w:r>
    </w:p>
    <w:p w14:paraId="6B75042C" w14:textId="2CBF827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oplevert</w:t>
      </w:r>
      <w:r>
        <w:rPr>
          <w:noProof/>
        </w:rPr>
        <w:tab/>
      </w:r>
      <w:r>
        <w:rPr>
          <w:noProof/>
        </w:rPr>
        <w:fldChar w:fldCharType="begin"/>
      </w:r>
      <w:r>
        <w:rPr>
          <w:noProof/>
        </w:rPr>
        <w:instrText xml:space="preserve"> PAGEREF _Toc242191225 \h </w:instrText>
      </w:r>
      <w:r>
        <w:rPr>
          <w:noProof/>
        </w:rPr>
      </w:r>
      <w:r>
        <w:rPr>
          <w:noProof/>
        </w:rPr>
        <w:fldChar w:fldCharType="separate"/>
      </w:r>
      <w:r>
        <w:rPr>
          <w:noProof/>
        </w:rPr>
        <w:t>50</w:t>
      </w:r>
      <w:r>
        <w:rPr>
          <w:noProof/>
        </w:rPr>
        <w:fldChar w:fldCharType="end"/>
      </w:r>
    </w:p>
    <w:p w14:paraId="032DECDF" w14:textId="1AF9D092"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CM en de geldstromen</w:t>
      </w:r>
      <w:r>
        <w:rPr>
          <w:noProof/>
        </w:rPr>
        <w:tab/>
      </w:r>
      <w:r>
        <w:rPr>
          <w:noProof/>
        </w:rPr>
        <w:fldChar w:fldCharType="begin"/>
      </w:r>
      <w:r>
        <w:rPr>
          <w:noProof/>
        </w:rPr>
        <w:instrText xml:space="preserve"> PAGEREF _Toc242191226 \h </w:instrText>
      </w:r>
      <w:r>
        <w:rPr>
          <w:noProof/>
        </w:rPr>
      </w:r>
      <w:r>
        <w:rPr>
          <w:noProof/>
        </w:rPr>
        <w:fldChar w:fldCharType="separate"/>
      </w:r>
      <w:r>
        <w:rPr>
          <w:noProof/>
        </w:rPr>
        <w:t>51</w:t>
      </w:r>
      <w:r>
        <w:rPr>
          <w:noProof/>
        </w:rPr>
        <w:fldChar w:fldCharType="end"/>
      </w:r>
    </w:p>
    <w:p w14:paraId="13E4D53F" w14:textId="70903BB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drie geldstromen</w:t>
      </w:r>
      <w:r>
        <w:rPr>
          <w:noProof/>
        </w:rPr>
        <w:tab/>
      </w:r>
      <w:r>
        <w:rPr>
          <w:noProof/>
        </w:rPr>
        <w:fldChar w:fldCharType="begin"/>
      </w:r>
      <w:r>
        <w:rPr>
          <w:noProof/>
        </w:rPr>
        <w:instrText xml:space="preserve"> PAGEREF _Toc242191227 \h </w:instrText>
      </w:r>
      <w:r>
        <w:rPr>
          <w:noProof/>
        </w:rPr>
      </w:r>
      <w:r>
        <w:rPr>
          <w:noProof/>
        </w:rPr>
        <w:fldChar w:fldCharType="separate"/>
      </w:r>
      <w:r>
        <w:rPr>
          <w:noProof/>
        </w:rPr>
        <w:t>51</w:t>
      </w:r>
      <w:r>
        <w:rPr>
          <w:noProof/>
        </w:rPr>
        <w:fldChar w:fldCharType="end"/>
      </w:r>
    </w:p>
    <w:p w14:paraId="4CD58823" w14:textId="3B197A8D"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RSZ-bijdrage en de bestemming</w:t>
      </w:r>
      <w:r>
        <w:rPr>
          <w:noProof/>
        </w:rPr>
        <w:tab/>
      </w:r>
      <w:r>
        <w:rPr>
          <w:noProof/>
        </w:rPr>
        <w:fldChar w:fldCharType="begin"/>
      </w:r>
      <w:r>
        <w:rPr>
          <w:noProof/>
        </w:rPr>
        <w:instrText xml:space="preserve"> PAGEREF _Toc242191228 \h </w:instrText>
      </w:r>
      <w:r>
        <w:rPr>
          <w:noProof/>
        </w:rPr>
      </w:r>
      <w:r>
        <w:rPr>
          <w:noProof/>
        </w:rPr>
        <w:fldChar w:fldCharType="separate"/>
      </w:r>
      <w:r>
        <w:rPr>
          <w:noProof/>
        </w:rPr>
        <w:t>51</w:t>
      </w:r>
      <w:r>
        <w:rPr>
          <w:noProof/>
        </w:rPr>
        <w:fldChar w:fldCharType="end"/>
      </w:r>
    </w:p>
    <w:p w14:paraId="36D484AD" w14:textId="48C059D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Waarom hulpmiddelen wel en uitkeringen niet</w:t>
      </w:r>
      <w:r>
        <w:rPr>
          <w:noProof/>
        </w:rPr>
        <w:tab/>
      </w:r>
      <w:r>
        <w:rPr>
          <w:noProof/>
        </w:rPr>
        <w:fldChar w:fldCharType="begin"/>
      </w:r>
      <w:r>
        <w:rPr>
          <w:noProof/>
        </w:rPr>
        <w:instrText xml:space="preserve"> PAGEREF _Toc242191229 \h </w:instrText>
      </w:r>
      <w:r>
        <w:rPr>
          <w:noProof/>
        </w:rPr>
      </w:r>
      <w:r>
        <w:rPr>
          <w:noProof/>
        </w:rPr>
        <w:fldChar w:fldCharType="separate"/>
      </w:r>
      <w:r>
        <w:rPr>
          <w:noProof/>
        </w:rPr>
        <w:t>52</w:t>
      </w:r>
      <w:r>
        <w:rPr>
          <w:noProof/>
        </w:rPr>
        <w:fldChar w:fldCharType="end"/>
      </w:r>
    </w:p>
    <w:p w14:paraId="11F2B226" w14:textId="7A321ED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CDZ als toezichthouder</w:t>
      </w:r>
      <w:r>
        <w:rPr>
          <w:noProof/>
        </w:rPr>
        <w:tab/>
      </w:r>
      <w:r>
        <w:rPr>
          <w:noProof/>
        </w:rPr>
        <w:fldChar w:fldCharType="begin"/>
      </w:r>
      <w:r>
        <w:rPr>
          <w:noProof/>
        </w:rPr>
        <w:instrText xml:space="preserve"> PAGEREF _Toc242191230 \h </w:instrText>
      </w:r>
      <w:r>
        <w:rPr>
          <w:noProof/>
        </w:rPr>
      </w:r>
      <w:r>
        <w:rPr>
          <w:noProof/>
        </w:rPr>
        <w:fldChar w:fldCharType="separate"/>
      </w:r>
      <w:r>
        <w:rPr>
          <w:noProof/>
        </w:rPr>
        <w:t>53</w:t>
      </w:r>
      <w:r>
        <w:rPr>
          <w:noProof/>
        </w:rPr>
        <w:fldChar w:fldCharType="end"/>
      </w:r>
    </w:p>
    <w:p w14:paraId="26A9125B" w14:textId="3F0A82B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Het Arbeidsauditoraat: wie controleert de controleur?</w:t>
      </w:r>
      <w:r>
        <w:rPr>
          <w:noProof/>
        </w:rPr>
        <w:tab/>
      </w:r>
      <w:r>
        <w:rPr>
          <w:noProof/>
        </w:rPr>
        <w:fldChar w:fldCharType="begin"/>
      </w:r>
      <w:r>
        <w:rPr>
          <w:noProof/>
        </w:rPr>
        <w:instrText xml:space="preserve"> PAGEREF _Toc242191231 \h </w:instrText>
      </w:r>
      <w:r>
        <w:rPr>
          <w:noProof/>
        </w:rPr>
      </w:r>
      <w:r>
        <w:rPr>
          <w:noProof/>
        </w:rPr>
        <w:fldChar w:fldCharType="separate"/>
      </w:r>
      <w:r>
        <w:rPr>
          <w:noProof/>
        </w:rPr>
        <w:t>53</w:t>
      </w:r>
      <w:r>
        <w:rPr>
          <w:noProof/>
        </w:rPr>
        <w:fldChar w:fldCharType="end"/>
      </w:r>
    </w:p>
    <w:p w14:paraId="3F31E987" w14:textId="02E43E3C"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F — De Orde der Artsen: tuchtrecht tegen de adviserend arts</w:t>
      </w:r>
      <w:r>
        <w:rPr>
          <w:noProof/>
        </w:rPr>
        <w:tab/>
      </w:r>
      <w:r>
        <w:rPr>
          <w:noProof/>
        </w:rPr>
        <w:fldChar w:fldCharType="begin"/>
      </w:r>
      <w:r>
        <w:rPr>
          <w:noProof/>
        </w:rPr>
        <w:instrText xml:space="preserve"> PAGEREF _Toc242191232 \h </w:instrText>
      </w:r>
      <w:r>
        <w:rPr>
          <w:noProof/>
        </w:rPr>
      </w:r>
      <w:r>
        <w:rPr>
          <w:noProof/>
        </w:rPr>
        <w:fldChar w:fldCharType="separate"/>
      </w:r>
      <w:r>
        <w:rPr>
          <w:noProof/>
        </w:rPr>
        <w:t>54</w:t>
      </w:r>
      <w:r>
        <w:rPr>
          <w:noProof/>
        </w:rPr>
        <w:fldChar w:fldCharType="end"/>
      </w:r>
    </w:p>
    <w:p w14:paraId="78D8A9EB" w14:textId="6B22961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G — Wat dit hoofdstuk vaststelt</w:t>
      </w:r>
      <w:r>
        <w:rPr>
          <w:noProof/>
        </w:rPr>
        <w:tab/>
      </w:r>
      <w:r>
        <w:rPr>
          <w:noProof/>
        </w:rPr>
        <w:fldChar w:fldCharType="begin"/>
      </w:r>
      <w:r>
        <w:rPr>
          <w:noProof/>
        </w:rPr>
        <w:instrText xml:space="preserve"> PAGEREF _Toc242191233 \h </w:instrText>
      </w:r>
      <w:r>
        <w:rPr>
          <w:noProof/>
        </w:rPr>
      </w:r>
      <w:r>
        <w:rPr>
          <w:noProof/>
        </w:rPr>
        <w:fldChar w:fldCharType="separate"/>
      </w:r>
      <w:r>
        <w:rPr>
          <w:noProof/>
        </w:rPr>
        <w:t>55</w:t>
      </w:r>
      <w:r>
        <w:rPr>
          <w:noProof/>
        </w:rPr>
        <w:fldChar w:fldCharType="end"/>
      </w:r>
    </w:p>
    <w:p w14:paraId="2AFBA052" w14:textId="3D3218BA"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III. Nederland</w:t>
      </w:r>
      <w:r>
        <w:rPr>
          <w:noProof/>
        </w:rPr>
        <w:tab/>
      </w:r>
      <w:r>
        <w:rPr>
          <w:noProof/>
        </w:rPr>
        <w:fldChar w:fldCharType="begin"/>
      </w:r>
      <w:r>
        <w:rPr>
          <w:noProof/>
        </w:rPr>
        <w:instrText xml:space="preserve"> PAGEREF _Toc242191234 \h </w:instrText>
      </w:r>
      <w:r>
        <w:rPr>
          <w:noProof/>
        </w:rPr>
      </w:r>
      <w:r>
        <w:rPr>
          <w:noProof/>
        </w:rPr>
        <w:fldChar w:fldCharType="separate"/>
      </w:r>
      <w:r>
        <w:rPr>
          <w:noProof/>
        </w:rPr>
        <w:t>56</w:t>
      </w:r>
      <w:r>
        <w:rPr>
          <w:noProof/>
        </w:rPr>
        <w:fldChar w:fldCharType="end"/>
      </w:r>
    </w:p>
    <w:p w14:paraId="12423EB0" w14:textId="1BBE4BEF"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UWV en de bezwaarmolen</w:t>
      </w:r>
      <w:r>
        <w:rPr>
          <w:noProof/>
        </w:rPr>
        <w:tab/>
      </w:r>
      <w:r>
        <w:rPr>
          <w:noProof/>
        </w:rPr>
        <w:fldChar w:fldCharType="begin"/>
      </w:r>
      <w:r>
        <w:rPr>
          <w:noProof/>
        </w:rPr>
        <w:instrText xml:space="preserve"> PAGEREF _Toc242191235 \h </w:instrText>
      </w:r>
      <w:r>
        <w:rPr>
          <w:noProof/>
        </w:rPr>
      </w:r>
      <w:r>
        <w:rPr>
          <w:noProof/>
        </w:rPr>
        <w:fldChar w:fldCharType="separate"/>
      </w:r>
      <w:r>
        <w:rPr>
          <w:noProof/>
        </w:rPr>
        <w:t>56</w:t>
      </w:r>
      <w:r>
        <w:rPr>
          <w:noProof/>
        </w:rPr>
        <w:fldChar w:fldCharType="end"/>
      </w:r>
    </w:p>
    <w:p w14:paraId="126B91B3" w14:textId="7C684B4C"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Zes rondes bij het UWV</w:t>
      </w:r>
      <w:r>
        <w:rPr>
          <w:noProof/>
        </w:rPr>
        <w:tab/>
      </w:r>
      <w:r>
        <w:rPr>
          <w:noProof/>
        </w:rPr>
        <w:fldChar w:fldCharType="begin"/>
      </w:r>
      <w:r>
        <w:rPr>
          <w:noProof/>
        </w:rPr>
        <w:instrText xml:space="preserve"> PAGEREF _Toc242191236 \h </w:instrText>
      </w:r>
      <w:r>
        <w:rPr>
          <w:noProof/>
        </w:rPr>
      </w:r>
      <w:r>
        <w:rPr>
          <w:noProof/>
        </w:rPr>
        <w:fldChar w:fldCharType="separate"/>
      </w:r>
      <w:r>
        <w:rPr>
          <w:noProof/>
        </w:rPr>
        <w:t>56</w:t>
      </w:r>
      <w:r>
        <w:rPr>
          <w:noProof/>
        </w:rPr>
        <w:fldChar w:fldCharType="end"/>
      </w:r>
    </w:p>
    <w:p w14:paraId="43C13680" w14:textId="561F5AB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RVA en het C4-formulier</w:t>
      </w:r>
      <w:r>
        <w:rPr>
          <w:noProof/>
        </w:rPr>
        <w:tab/>
      </w:r>
      <w:r>
        <w:rPr>
          <w:noProof/>
        </w:rPr>
        <w:fldChar w:fldCharType="begin"/>
      </w:r>
      <w:r>
        <w:rPr>
          <w:noProof/>
        </w:rPr>
        <w:instrText xml:space="preserve"> PAGEREF _Toc242191237 \h </w:instrText>
      </w:r>
      <w:r>
        <w:rPr>
          <w:noProof/>
        </w:rPr>
      </w:r>
      <w:r>
        <w:rPr>
          <w:noProof/>
        </w:rPr>
        <w:fldChar w:fldCharType="separate"/>
      </w:r>
      <w:r>
        <w:rPr>
          <w:noProof/>
        </w:rPr>
        <w:t>56</w:t>
      </w:r>
      <w:r>
        <w:rPr>
          <w:noProof/>
        </w:rPr>
        <w:fldChar w:fldCharType="end"/>
      </w:r>
    </w:p>
    <w:p w14:paraId="6654A85C" w14:textId="2120163B"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weigering om buitenlandse data te synchroniseren</w:t>
      </w:r>
      <w:r>
        <w:rPr>
          <w:noProof/>
        </w:rPr>
        <w:tab/>
      </w:r>
      <w:r>
        <w:rPr>
          <w:noProof/>
        </w:rPr>
        <w:fldChar w:fldCharType="begin"/>
      </w:r>
      <w:r>
        <w:rPr>
          <w:noProof/>
        </w:rPr>
        <w:instrText xml:space="preserve"> PAGEREF _Toc242191238 \h </w:instrText>
      </w:r>
      <w:r>
        <w:rPr>
          <w:noProof/>
        </w:rPr>
      </w:r>
      <w:r>
        <w:rPr>
          <w:noProof/>
        </w:rPr>
        <w:fldChar w:fldCharType="separate"/>
      </w:r>
      <w:r>
        <w:rPr>
          <w:noProof/>
        </w:rPr>
        <w:t>57</w:t>
      </w:r>
      <w:r>
        <w:rPr>
          <w:noProof/>
        </w:rPr>
        <w:fldChar w:fldCharType="end"/>
      </w:r>
    </w:p>
    <w:p w14:paraId="58CBC5C9" w14:textId="5995169D"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Het patroon: procedureel afwijzen</w:t>
      </w:r>
      <w:r>
        <w:rPr>
          <w:noProof/>
        </w:rPr>
        <w:tab/>
      </w:r>
      <w:r>
        <w:rPr>
          <w:noProof/>
        </w:rPr>
        <w:fldChar w:fldCharType="begin"/>
      </w:r>
      <w:r>
        <w:rPr>
          <w:noProof/>
        </w:rPr>
        <w:instrText xml:space="preserve"> PAGEREF _Toc242191239 \h </w:instrText>
      </w:r>
      <w:r>
        <w:rPr>
          <w:noProof/>
        </w:rPr>
      </w:r>
      <w:r>
        <w:rPr>
          <w:noProof/>
        </w:rPr>
        <w:fldChar w:fldCharType="separate"/>
      </w:r>
      <w:r>
        <w:rPr>
          <w:noProof/>
        </w:rPr>
        <w:t>58</w:t>
      </w:r>
      <w:r>
        <w:rPr>
          <w:noProof/>
        </w:rPr>
        <w:fldChar w:fldCharType="end"/>
      </w:r>
    </w:p>
    <w:p w14:paraId="1C6F8D3C" w14:textId="47A66AB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De afwijzingsredenen op een rij</w:t>
      </w:r>
      <w:r>
        <w:rPr>
          <w:noProof/>
        </w:rPr>
        <w:tab/>
      </w:r>
      <w:r>
        <w:rPr>
          <w:noProof/>
        </w:rPr>
        <w:fldChar w:fldCharType="begin"/>
      </w:r>
      <w:r>
        <w:rPr>
          <w:noProof/>
        </w:rPr>
        <w:instrText xml:space="preserve"> PAGEREF _Toc242191240 \h </w:instrText>
      </w:r>
      <w:r>
        <w:rPr>
          <w:noProof/>
        </w:rPr>
      </w:r>
      <w:r>
        <w:rPr>
          <w:noProof/>
        </w:rPr>
        <w:fldChar w:fldCharType="separate"/>
      </w:r>
      <w:r>
        <w:rPr>
          <w:noProof/>
        </w:rPr>
        <w:t>58</w:t>
      </w:r>
      <w:r>
        <w:rPr>
          <w:noProof/>
        </w:rPr>
        <w:fldChar w:fldCharType="end"/>
      </w:r>
    </w:p>
    <w:p w14:paraId="7E89E8C5" w14:textId="74BEC9CB"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F — De twee bezwaren in detail</w:t>
      </w:r>
      <w:r>
        <w:rPr>
          <w:noProof/>
        </w:rPr>
        <w:tab/>
      </w:r>
      <w:r>
        <w:rPr>
          <w:noProof/>
        </w:rPr>
        <w:fldChar w:fldCharType="begin"/>
      </w:r>
      <w:r>
        <w:rPr>
          <w:noProof/>
        </w:rPr>
        <w:instrText xml:space="preserve"> PAGEREF _Toc242191241 \h </w:instrText>
      </w:r>
      <w:r>
        <w:rPr>
          <w:noProof/>
        </w:rPr>
      </w:r>
      <w:r>
        <w:rPr>
          <w:noProof/>
        </w:rPr>
        <w:fldChar w:fldCharType="separate"/>
      </w:r>
      <w:r>
        <w:rPr>
          <w:noProof/>
        </w:rPr>
        <w:t>59</w:t>
      </w:r>
      <w:r>
        <w:rPr>
          <w:noProof/>
        </w:rPr>
        <w:fldChar w:fldCharType="end"/>
      </w:r>
    </w:p>
    <w:p w14:paraId="0BB3D3B1" w14:textId="243CCAB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G — Wat dit hoofdstuk vaststelt</w:t>
      </w:r>
      <w:r>
        <w:rPr>
          <w:noProof/>
        </w:rPr>
        <w:tab/>
      </w:r>
      <w:r>
        <w:rPr>
          <w:noProof/>
        </w:rPr>
        <w:fldChar w:fldCharType="begin"/>
      </w:r>
      <w:r>
        <w:rPr>
          <w:noProof/>
        </w:rPr>
        <w:instrText xml:space="preserve"> PAGEREF _Toc242191242 \h </w:instrText>
      </w:r>
      <w:r>
        <w:rPr>
          <w:noProof/>
        </w:rPr>
      </w:r>
      <w:r>
        <w:rPr>
          <w:noProof/>
        </w:rPr>
        <w:fldChar w:fldCharType="separate"/>
      </w:r>
      <w:r>
        <w:rPr>
          <w:noProof/>
        </w:rPr>
        <w:t>59</w:t>
      </w:r>
      <w:r>
        <w:rPr>
          <w:noProof/>
        </w:rPr>
        <w:fldChar w:fldCharType="end"/>
      </w:r>
    </w:p>
    <w:p w14:paraId="0CCCE62D" w14:textId="1863E2E5"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CZ — de twee gezichten van de poortwachter</w:t>
      </w:r>
      <w:r>
        <w:rPr>
          <w:noProof/>
        </w:rPr>
        <w:tab/>
      </w:r>
      <w:r>
        <w:rPr>
          <w:noProof/>
        </w:rPr>
        <w:fldChar w:fldCharType="begin"/>
      </w:r>
      <w:r>
        <w:rPr>
          <w:noProof/>
        </w:rPr>
        <w:instrText xml:space="preserve"> PAGEREF _Toc242191243 \h </w:instrText>
      </w:r>
      <w:r>
        <w:rPr>
          <w:noProof/>
        </w:rPr>
      </w:r>
      <w:r>
        <w:rPr>
          <w:noProof/>
        </w:rPr>
        <w:fldChar w:fldCharType="separate"/>
      </w:r>
      <w:r>
        <w:rPr>
          <w:noProof/>
        </w:rPr>
        <w:t>61</w:t>
      </w:r>
      <w:r>
        <w:rPr>
          <w:noProof/>
        </w:rPr>
        <w:fldChar w:fldCharType="end"/>
      </w:r>
    </w:p>
    <w:p w14:paraId="2BA6FAA8" w14:textId="74AF65D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Verhaal 1 — De verdragspolis en de zorgtoeslag</w:t>
      </w:r>
      <w:r>
        <w:rPr>
          <w:noProof/>
        </w:rPr>
        <w:tab/>
      </w:r>
      <w:r>
        <w:rPr>
          <w:noProof/>
        </w:rPr>
        <w:fldChar w:fldCharType="begin"/>
      </w:r>
      <w:r>
        <w:rPr>
          <w:noProof/>
        </w:rPr>
        <w:instrText xml:space="preserve"> PAGEREF _Toc242191244 \h </w:instrText>
      </w:r>
      <w:r>
        <w:rPr>
          <w:noProof/>
        </w:rPr>
      </w:r>
      <w:r>
        <w:rPr>
          <w:noProof/>
        </w:rPr>
        <w:fldChar w:fldCharType="separate"/>
      </w:r>
      <w:r>
        <w:rPr>
          <w:noProof/>
        </w:rPr>
        <w:t>61</w:t>
      </w:r>
      <w:r>
        <w:rPr>
          <w:noProof/>
        </w:rPr>
        <w:fldChar w:fldCharType="end"/>
      </w:r>
    </w:p>
    <w:p w14:paraId="3FEABC3F" w14:textId="00437A14"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Verhaal 1bis — De keten van de blokkade: CZ, CAK, ZIN</w:t>
      </w:r>
      <w:r>
        <w:rPr>
          <w:noProof/>
        </w:rPr>
        <w:tab/>
      </w:r>
      <w:r>
        <w:rPr>
          <w:noProof/>
        </w:rPr>
        <w:fldChar w:fldCharType="begin"/>
      </w:r>
      <w:r>
        <w:rPr>
          <w:noProof/>
        </w:rPr>
        <w:instrText xml:space="preserve"> PAGEREF _Toc242191245 \h </w:instrText>
      </w:r>
      <w:r>
        <w:rPr>
          <w:noProof/>
        </w:rPr>
      </w:r>
      <w:r>
        <w:rPr>
          <w:noProof/>
        </w:rPr>
        <w:fldChar w:fldCharType="separate"/>
      </w:r>
      <w:r>
        <w:rPr>
          <w:noProof/>
        </w:rPr>
        <w:t>62</w:t>
      </w:r>
      <w:r>
        <w:rPr>
          <w:noProof/>
        </w:rPr>
        <w:fldChar w:fldCharType="end"/>
      </w:r>
    </w:p>
    <w:p w14:paraId="2B44A616" w14:textId="165A4DA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Verhaal 2 — Het ziekenvervoer</w:t>
      </w:r>
      <w:r>
        <w:rPr>
          <w:noProof/>
        </w:rPr>
        <w:tab/>
      </w:r>
      <w:r>
        <w:rPr>
          <w:noProof/>
        </w:rPr>
        <w:fldChar w:fldCharType="begin"/>
      </w:r>
      <w:r>
        <w:rPr>
          <w:noProof/>
        </w:rPr>
        <w:instrText xml:space="preserve"> PAGEREF _Toc242191246 \h </w:instrText>
      </w:r>
      <w:r>
        <w:rPr>
          <w:noProof/>
        </w:rPr>
      </w:r>
      <w:r>
        <w:rPr>
          <w:noProof/>
        </w:rPr>
        <w:fldChar w:fldCharType="separate"/>
      </w:r>
      <w:r>
        <w:rPr>
          <w:noProof/>
        </w:rPr>
        <w:t>63</w:t>
      </w:r>
      <w:r>
        <w:rPr>
          <w:noProof/>
        </w:rPr>
        <w:fldChar w:fldCharType="end"/>
      </w:r>
    </w:p>
    <w:p w14:paraId="03A474BC" w14:textId="37E1C80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parallel: CZ en CM</w:t>
      </w:r>
      <w:r>
        <w:rPr>
          <w:noProof/>
        </w:rPr>
        <w:tab/>
      </w:r>
      <w:r>
        <w:rPr>
          <w:noProof/>
        </w:rPr>
        <w:fldChar w:fldCharType="begin"/>
      </w:r>
      <w:r>
        <w:rPr>
          <w:noProof/>
        </w:rPr>
        <w:instrText xml:space="preserve"> PAGEREF _Toc242191247 \h </w:instrText>
      </w:r>
      <w:r>
        <w:rPr>
          <w:noProof/>
        </w:rPr>
      </w:r>
      <w:r>
        <w:rPr>
          <w:noProof/>
        </w:rPr>
        <w:fldChar w:fldCharType="separate"/>
      </w:r>
      <w:r>
        <w:rPr>
          <w:noProof/>
        </w:rPr>
        <w:t>64</w:t>
      </w:r>
      <w:r>
        <w:rPr>
          <w:noProof/>
        </w:rPr>
        <w:fldChar w:fldCharType="end"/>
      </w:r>
    </w:p>
    <w:p w14:paraId="571F027F" w14:textId="4EC7EF1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Wat dit oplevert</w:t>
      </w:r>
      <w:r>
        <w:rPr>
          <w:noProof/>
        </w:rPr>
        <w:tab/>
      </w:r>
      <w:r>
        <w:rPr>
          <w:noProof/>
        </w:rPr>
        <w:fldChar w:fldCharType="begin"/>
      </w:r>
      <w:r>
        <w:rPr>
          <w:noProof/>
        </w:rPr>
        <w:instrText xml:space="preserve"> PAGEREF _Toc242191248 \h </w:instrText>
      </w:r>
      <w:r>
        <w:rPr>
          <w:noProof/>
        </w:rPr>
      </w:r>
      <w:r>
        <w:rPr>
          <w:noProof/>
        </w:rPr>
        <w:fldChar w:fldCharType="separate"/>
      </w:r>
      <w:r>
        <w:rPr>
          <w:noProof/>
        </w:rPr>
        <w:t>65</w:t>
      </w:r>
      <w:r>
        <w:rPr>
          <w:noProof/>
        </w:rPr>
        <w:fldChar w:fldCharType="end"/>
      </w:r>
    </w:p>
    <w:p w14:paraId="5BAFB6CC" w14:textId="1343418F"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gemeente Hulst-trap</w:t>
      </w:r>
      <w:r>
        <w:rPr>
          <w:noProof/>
        </w:rPr>
        <w:tab/>
      </w:r>
      <w:r>
        <w:rPr>
          <w:noProof/>
        </w:rPr>
        <w:fldChar w:fldCharType="begin"/>
      </w:r>
      <w:r>
        <w:rPr>
          <w:noProof/>
        </w:rPr>
        <w:instrText xml:space="preserve"> PAGEREF _Toc242191249 \h </w:instrText>
      </w:r>
      <w:r>
        <w:rPr>
          <w:noProof/>
        </w:rPr>
      </w:r>
      <w:r>
        <w:rPr>
          <w:noProof/>
        </w:rPr>
        <w:fldChar w:fldCharType="separate"/>
      </w:r>
      <w:r>
        <w:rPr>
          <w:noProof/>
        </w:rPr>
        <w:t>67</w:t>
      </w:r>
      <w:r>
        <w:rPr>
          <w:noProof/>
        </w:rPr>
        <w:fldChar w:fldCharType="end"/>
      </w:r>
    </w:p>
    <w:p w14:paraId="7F04A931" w14:textId="45D5EB2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gemeente als eerste hulplijn die niet helpt</w:t>
      </w:r>
      <w:r>
        <w:rPr>
          <w:noProof/>
        </w:rPr>
        <w:tab/>
      </w:r>
      <w:r>
        <w:rPr>
          <w:noProof/>
        </w:rPr>
        <w:fldChar w:fldCharType="begin"/>
      </w:r>
      <w:r>
        <w:rPr>
          <w:noProof/>
        </w:rPr>
        <w:instrText xml:space="preserve"> PAGEREF _Toc242191250 \h </w:instrText>
      </w:r>
      <w:r>
        <w:rPr>
          <w:noProof/>
        </w:rPr>
      </w:r>
      <w:r>
        <w:rPr>
          <w:noProof/>
        </w:rPr>
        <w:fldChar w:fldCharType="separate"/>
      </w:r>
      <w:r>
        <w:rPr>
          <w:noProof/>
        </w:rPr>
        <w:t>67</w:t>
      </w:r>
      <w:r>
        <w:rPr>
          <w:noProof/>
        </w:rPr>
        <w:fldChar w:fldCharType="end"/>
      </w:r>
    </w:p>
    <w:p w14:paraId="70DBAB05" w14:textId="6E759CD4"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Het lopende bezwaarschrift</w:t>
      </w:r>
      <w:r>
        <w:rPr>
          <w:noProof/>
        </w:rPr>
        <w:tab/>
      </w:r>
      <w:r>
        <w:rPr>
          <w:noProof/>
        </w:rPr>
        <w:fldChar w:fldCharType="begin"/>
      </w:r>
      <w:r>
        <w:rPr>
          <w:noProof/>
        </w:rPr>
        <w:instrText xml:space="preserve"> PAGEREF _Toc242191251 \h </w:instrText>
      </w:r>
      <w:r>
        <w:rPr>
          <w:noProof/>
        </w:rPr>
      </w:r>
      <w:r>
        <w:rPr>
          <w:noProof/>
        </w:rPr>
        <w:fldChar w:fldCharType="separate"/>
      </w:r>
      <w:r>
        <w:rPr>
          <w:noProof/>
        </w:rPr>
        <w:t>68</w:t>
      </w:r>
      <w:r>
        <w:rPr>
          <w:noProof/>
        </w:rPr>
        <w:fldChar w:fldCharType="end"/>
      </w:r>
    </w:p>
    <w:p w14:paraId="363CC026" w14:textId="68137D9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rekenmodellen die de werkelijkheid niet lezen</w:t>
      </w:r>
      <w:r>
        <w:rPr>
          <w:noProof/>
        </w:rPr>
        <w:tab/>
      </w:r>
      <w:r>
        <w:rPr>
          <w:noProof/>
        </w:rPr>
        <w:fldChar w:fldCharType="begin"/>
      </w:r>
      <w:r>
        <w:rPr>
          <w:noProof/>
        </w:rPr>
        <w:instrText xml:space="preserve"> PAGEREF _Toc242191252 \h </w:instrText>
      </w:r>
      <w:r>
        <w:rPr>
          <w:noProof/>
        </w:rPr>
      </w:r>
      <w:r>
        <w:rPr>
          <w:noProof/>
        </w:rPr>
        <w:fldChar w:fldCharType="separate"/>
      </w:r>
      <w:r>
        <w:rPr>
          <w:noProof/>
        </w:rPr>
        <w:t>69</w:t>
      </w:r>
      <w:r>
        <w:rPr>
          <w:noProof/>
        </w:rPr>
        <w:fldChar w:fldCharType="end"/>
      </w:r>
    </w:p>
    <w:p w14:paraId="53A449D8" w14:textId="369A443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mobiliteitsfratsen</w:t>
      </w:r>
      <w:r>
        <w:rPr>
          <w:noProof/>
        </w:rPr>
        <w:tab/>
      </w:r>
      <w:r>
        <w:rPr>
          <w:noProof/>
        </w:rPr>
        <w:fldChar w:fldCharType="begin"/>
      </w:r>
      <w:r>
        <w:rPr>
          <w:noProof/>
        </w:rPr>
        <w:instrText xml:space="preserve"> PAGEREF _Toc242191253 \h </w:instrText>
      </w:r>
      <w:r>
        <w:rPr>
          <w:noProof/>
        </w:rPr>
      </w:r>
      <w:r>
        <w:rPr>
          <w:noProof/>
        </w:rPr>
        <w:fldChar w:fldCharType="separate"/>
      </w:r>
      <w:r>
        <w:rPr>
          <w:noProof/>
        </w:rPr>
        <w:t>69</w:t>
      </w:r>
      <w:r>
        <w:rPr>
          <w:noProof/>
        </w:rPr>
        <w:fldChar w:fldCharType="end"/>
      </w:r>
    </w:p>
    <w:p w14:paraId="60B1CDB7" w14:textId="383DBA1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De grenslimieten van het Wmo-vervoer</w:t>
      </w:r>
      <w:r>
        <w:rPr>
          <w:noProof/>
        </w:rPr>
        <w:tab/>
      </w:r>
      <w:r>
        <w:rPr>
          <w:noProof/>
        </w:rPr>
        <w:fldChar w:fldCharType="begin"/>
      </w:r>
      <w:r>
        <w:rPr>
          <w:noProof/>
        </w:rPr>
        <w:instrText xml:space="preserve"> PAGEREF _Toc242191254 \h </w:instrText>
      </w:r>
      <w:r>
        <w:rPr>
          <w:noProof/>
        </w:rPr>
      </w:r>
      <w:r>
        <w:rPr>
          <w:noProof/>
        </w:rPr>
        <w:fldChar w:fldCharType="separate"/>
      </w:r>
      <w:r>
        <w:rPr>
          <w:noProof/>
        </w:rPr>
        <w:t>70</w:t>
      </w:r>
      <w:r>
        <w:rPr>
          <w:noProof/>
        </w:rPr>
        <w:fldChar w:fldCharType="end"/>
      </w:r>
    </w:p>
    <w:p w14:paraId="202DD50D" w14:textId="6B7E6444"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F — Het patroon herhaalt zich</w:t>
      </w:r>
      <w:r>
        <w:rPr>
          <w:noProof/>
        </w:rPr>
        <w:tab/>
      </w:r>
      <w:r>
        <w:rPr>
          <w:noProof/>
        </w:rPr>
        <w:fldChar w:fldCharType="begin"/>
      </w:r>
      <w:r>
        <w:rPr>
          <w:noProof/>
        </w:rPr>
        <w:instrText xml:space="preserve"> PAGEREF _Toc242191255 \h </w:instrText>
      </w:r>
      <w:r>
        <w:rPr>
          <w:noProof/>
        </w:rPr>
      </w:r>
      <w:r>
        <w:rPr>
          <w:noProof/>
        </w:rPr>
        <w:fldChar w:fldCharType="separate"/>
      </w:r>
      <w:r>
        <w:rPr>
          <w:noProof/>
        </w:rPr>
        <w:t>71</w:t>
      </w:r>
      <w:r>
        <w:rPr>
          <w:noProof/>
        </w:rPr>
        <w:fldChar w:fldCharType="end"/>
      </w:r>
    </w:p>
    <w:p w14:paraId="195318F6" w14:textId="3E33120D"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de gemeente had moeten zijn</w:t>
      </w:r>
      <w:r>
        <w:rPr>
          <w:noProof/>
        </w:rPr>
        <w:tab/>
      </w:r>
      <w:r>
        <w:rPr>
          <w:noProof/>
        </w:rPr>
        <w:fldChar w:fldCharType="begin"/>
      </w:r>
      <w:r>
        <w:rPr>
          <w:noProof/>
        </w:rPr>
        <w:instrText xml:space="preserve"> PAGEREF _Toc242191256 \h </w:instrText>
      </w:r>
      <w:r>
        <w:rPr>
          <w:noProof/>
        </w:rPr>
      </w:r>
      <w:r>
        <w:rPr>
          <w:noProof/>
        </w:rPr>
        <w:fldChar w:fldCharType="separate"/>
      </w:r>
      <w:r>
        <w:rPr>
          <w:noProof/>
        </w:rPr>
        <w:t>71</w:t>
      </w:r>
      <w:r>
        <w:rPr>
          <w:noProof/>
        </w:rPr>
        <w:fldChar w:fldCharType="end"/>
      </w:r>
    </w:p>
    <w:p w14:paraId="23F1428D" w14:textId="71682D7D"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Belastingdienst en toeslagen</w:t>
      </w:r>
      <w:r>
        <w:rPr>
          <w:noProof/>
        </w:rPr>
        <w:tab/>
      </w:r>
      <w:r>
        <w:rPr>
          <w:noProof/>
        </w:rPr>
        <w:fldChar w:fldCharType="begin"/>
      </w:r>
      <w:r>
        <w:rPr>
          <w:noProof/>
        </w:rPr>
        <w:instrText xml:space="preserve"> PAGEREF _Toc242191257 \h </w:instrText>
      </w:r>
      <w:r>
        <w:rPr>
          <w:noProof/>
        </w:rPr>
      </w:r>
      <w:r>
        <w:rPr>
          <w:noProof/>
        </w:rPr>
        <w:fldChar w:fldCharType="separate"/>
      </w:r>
      <w:r>
        <w:rPr>
          <w:noProof/>
        </w:rPr>
        <w:t>73</w:t>
      </w:r>
      <w:r>
        <w:rPr>
          <w:noProof/>
        </w:rPr>
        <w:fldChar w:fldCharType="end"/>
      </w:r>
    </w:p>
    <w:p w14:paraId="7992E300" w14:textId="307B97B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drie toeslagen</w:t>
      </w:r>
      <w:r>
        <w:rPr>
          <w:noProof/>
        </w:rPr>
        <w:tab/>
      </w:r>
      <w:r>
        <w:rPr>
          <w:noProof/>
        </w:rPr>
        <w:fldChar w:fldCharType="begin"/>
      </w:r>
      <w:r>
        <w:rPr>
          <w:noProof/>
        </w:rPr>
        <w:instrText xml:space="preserve"> PAGEREF _Toc242191258 \h </w:instrText>
      </w:r>
      <w:r>
        <w:rPr>
          <w:noProof/>
        </w:rPr>
      </w:r>
      <w:r>
        <w:rPr>
          <w:noProof/>
        </w:rPr>
        <w:fldChar w:fldCharType="separate"/>
      </w:r>
      <w:r>
        <w:rPr>
          <w:noProof/>
        </w:rPr>
        <w:t>73</w:t>
      </w:r>
      <w:r>
        <w:rPr>
          <w:noProof/>
        </w:rPr>
        <w:fldChar w:fldCharType="end"/>
      </w:r>
    </w:p>
    <w:p w14:paraId="131B77A8" w14:textId="471F688D"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mechaniek die erachter zit</w:t>
      </w:r>
      <w:r>
        <w:rPr>
          <w:noProof/>
        </w:rPr>
        <w:tab/>
      </w:r>
      <w:r>
        <w:rPr>
          <w:noProof/>
        </w:rPr>
        <w:fldChar w:fldCharType="begin"/>
      </w:r>
      <w:r>
        <w:rPr>
          <w:noProof/>
        </w:rPr>
        <w:instrText xml:space="preserve"> PAGEREF _Toc242191259 \h </w:instrText>
      </w:r>
      <w:r>
        <w:rPr>
          <w:noProof/>
        </w:rPr>
      </w:r>
      <w:r>
        <w:rPr>
          <w:noProof/>
        </w:rPr>
        <w:fldChar w:fldCharType="separate"/>
      </w:r>
      <w:r>
        <w:rPr>
          <w:noProof/>
        </w:rPr>
        <w:t>73</w:t>
      </w:r>
      <w:r>
        <w:rPr>
          <w:noProof/>
        </w:rPr>
        <w:fldChar w:fldCharType="end"/>
      </w:r>
    </w:p>
    <w:p w14:paraId="1FCA16DD" w14:textId="7BFBD96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medische kosten die nul werden</w:t>
      </w:r>
      <w:r>
        <w:rPr>
          <w:noProof/>
        </w:rPr>
        <w:tab/>
      </w:r>
      <w:r>
        <w:rPr>
          <w:noProof/>
        </w:rPr>
        <w:fldChar w:fldCharType="begin"/>
      </w:r>
      <w:r>
        <w:rPr>
          <w:noProof/>
        </w:rPr>
        <w:instrText xml:space="preserve"> PAGEREF _Toc242191260 \h </w:instrText>
      </w:r>
      <w:r>
        <w:rPr>
          <w:noProof/>
        </w:rPr>
      </w:r>
      <w:r>
        <w:rPr>
          <w:noProof/>
        </w:rPr>
        <w:fldChar w:fldCharType="separate"/>
      </w:r>
      <w:r>
        <w:rPr>
          <w:noProof/>
        </w:rPr>
        <w:t>74</w:t>
      </w:r>
      <w:r>
        <w:rPr>
          <w:noProof/>
        </w:rPr>
        <w:fldChar w:fldCharType="end"/>
      </w:r>
    </w:p>
    <w:p w14:paraId="26DBE3EB" w14:textId="64EB5C8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verantwoordelijkheid bij de burger</w:t>
      </w:r>
      <w:r>
        <w:rPr>
          <w:noProof/>
        </w:rPr>
        <w:tab/>
      </w:r>
      <w:r>
        <w:rPr>
          <w:noProof/>
        </w:rPr>
        <w:fldChar w:fldCharType="begin"/>
      </w:r>
      <w:r>
        <w:rPr>
          <w:noProof/>
        </w:rPr>
        <w:instrText xml:space="preserve"> PAGEREF _Toc242191261 \h </w:instrText>
      </w:r>
      <w:r>
        <w:rPr>
          <w:noProof/>
        </w:rPr>
      </w:r>
      <w:r>
        <w:rPr>
          <w:noProof/>
        </w:rPr>
        <w:fldChar w:fldCharType="separate"/>
      </w:r>
      <w:r>
        <w:rPr>
          <w:noProof/>
        </w:rPr>
        <w:t>75</w:t>
      </w:r>
      <w:r>
        <w:rPr>
          <w:noProof/>
        </w:rPr>
        <w:fldChar w:fldCharType="end"/>
      </w:r>
    </w:p>
    <w:p w14:paraId="5CC37AB9" w14:textId="37CECE8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Wat dit oplevert</w:t>
      </w:r>
      <w:r>
        <w:rPr>
          <w:noProof/>
        </w:rPr>
        <w:tab/>
      </w:r>
      <w:r>
        <w:rPr>
          <w:noProof/>
        </w:rPr>
        <w:fldChar w:fldCharType="begin"/>
      </w:r>
      <w:r>
        <w:rPr>
          <w:noProof/>
        </w:rPr>
        <w:instrText xml:space="preserve"> PAGEREF _Toc242191262 \h </w:instrText>
      </w:r>
      <w:r>
        <w:rPr>
          <w:noProof/>
        </w:rPr>
      </w:r>
      <w:r>
        <w:rPr>
          <w:noProof/>
        </w:rPr>
        <w:fldChar w:fldCharType="separate"/>
      </w:r>
      <w:r>
        <w:rPr>
          <w:noProof/>
        </w:rPr>
        <w:t>76</w:t>
      </w:r>
      <w:r>
        <w:rPr>
          <w:noProof/>
        </w:rPr>
        <w:fldChar w:fldCharType="end"/>
      </w:r>
    </w:p>
    <w:p w14:paraId="5247E891" w14:textId="6F9F1D1E"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IV. Heen en weer</w:t>
      </w:r>
      <w:r>
        <w:rPr>
          <w:noProof/>
        </w:rPr>
        <w:tab/>
      </w:r>
      <w:r>
        <w:rPr>
          <w:noProof/>
        </w:rPr>
        <w:fldChar w:fldCharType="begin"/>
      </w:r>
      <w:r>
        <w:rPr>
          <w:noProof/>
        </w:rPr>
        <w:instrText xml:space="preserve"> PAGEREF _Toc242191263 \h </w:instrText>
      </w:r>
      <w:r>
        <w:rPr>
          <w:noProof/>
        </w:rPr>
      </w:r>
      <w:r>
        <w:rPr>
          <w:noProof/>
        </w:rPr>
        <w:fldChar w:fldCharType="separate"/>
      </w:r>
      <w:r>
        <w:rPr>
          <w:noProof/>
        </w:rPr>
        <w:t>77</w:t>
      </w:r>
      <w:r>
        <w:rPr>
          <w:noProof/>
        </w:rPr>
        <w:fldChar w:fldCharType="end"/>
      </w:r>
    </w:p>
    <w:p w14:paraId="2BB1E8F4" w14:textId="7EAC8B77"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manuele U1-probleem</w:t>
      </w:r>
      <w:r>
        <w:rPr>
          <w:noProof/>
        </w:rPr>
        <w:tab/>
      </w:r>
      <w:r>
        <w:rPr>
          <w:noProof/>
        </w:rPr>
        <w:fldChar w:fldCharType="begin"/>
      </w:r>
      <w:r>
        <w:rPr>
          <w:noProof/>
        </w:rPr>
        <w:instrText xml:space="preserve"> PAGEREF _Toc242191264 \h </w:instrText>
      </w:r>
      <w:r>
        <w:rPr>
          <w:noProof/>
        </w:rPr>
      </w:r>
      <w:r>
        <w:rPr>
          <w:noProof/>
        </w:rPr>
        <w:fldChar w:fldCharType="separate"/>
      </w:r>
      <w:r>
        <w:rPr>
          <w:noProof/>
        </w:rPr>
        <w:t>77</w:t>
      </w:r>
      <w:r>
        <w:rPr>
          <w:noProof/>
        </w:rPr>
        <w:fldChar w:fldCharType="end"/>
      </w:r>
    </w:p>
    <w:p w14:paraId="6342B028" w14:textId="0AF3676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twee richtingen</w:t>
      </w:r>
      <w:r>
        <w:rPr>
          <w:noProof/>
        </w:rPr>
        <w:tab/>
      </w:r>
      <w:r>
        <w:rPr>
          <w:noProof/>
        </w:rPr>
        <w:fldChar w:fldCharType="begin"/>
      </w:r>
      <w:r>
        <w:rPr>
          <w:noProof/>
        </w:rPr>
        <w:instrText xml:space="preserve"> PAGEREF _Toc242191265 \h </w:instrText>
      </w:r>
      <w:r>
        <w:rPr>
          <w:noProof/>
        </w:rPr>
      </w:r>
      <w:r>
        <w:rPr>
          <w:noProof/>
        </w:rPr>
        <w:fldChar w:fldCharType="separate"/>
      </w:r>
      <w:r>
        <w:rPr>
          <w:noProof/>
        </w:rPr>
        <w:t>77</w:t>
      </w:r>
      <w:r>
        <w:rPr>
          <w:noProof/>
        </w:rPr>
        <w:fldChar w:fldCharType="end"/>
      </w:r>
    </w:p>
    <w:p w14:paraId="106CCE5E" w14:textId="1C59186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Richting 1 — België naar Nederland</w:t>
      </w:r>
      <w:r>
        <w:rPr>
          <w:noProof/>
        </w:rPr>
        <w:tab/>
      </w:r>
      <w:r>
        <w:rPr>
          <w:noProof/>
        </w:rPr>
        <w:fldChar w:fldCharType="begin"/>
      </w:r>
      <w:r>
        <w:rPr>
          <w:noProof/>
        </w:rPr>
        <w:instrText xml:space="preserve"> PAGEREF _Toc242191266 \h </w:instrText>
      </w:r>
      <w:r>
        <w:rPr>
          <w:noProof/>
        </w:rPr>
      </w:r>
      <w:r>
        <w:rPr>
          <w:noProof/>
        </w:rPr>
        <w:fldChar w:fldCharType="separate"/>
      </w:r>
      <w:r>
        <w:rPr>
          <w:noProof/>
        </w:rPr>
        <w:t>77</w:t>
      </w:r>
      <w:r>
        <w:rPr>
          <w:noProof/>
        </w:rPr>
        <w:fldChar w:fldCharType="end"/>
      </w:r>
    </w:p>
    <w:p w14:paraId="3935ABD7" w14:textId="77EB98D0"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Richting 2 — Nederland naar België</w:t>
      </w:r>
      <w:r>
        <w:rPr>
          <w:noProof/>
        </w:rPr>
        <w:tab/>
      </w:r>
      <w:r>
        <w:rPr>
          <w:noProof/>
        </w:rPr>
        <w:fldChar w:fldCharType="begin"/>
      </w:r>
      <w:r>
        <w:rPr>
          <w:noProof/>
        </w:rPr>
        <w:instrText xml:space="preserve"> PAGEREF _Toc242191267 \h </w:instrText>
      </w:r>
      <w:r>
        <w:rPr>
          <w:noProof/>
        </w:rPr>
      </w:r>
      <w:r>
        <w:rPr>
          <w:noProof/>
        </w:rPr>
        <w:fldChar w:fldCharType="separate"/>
      </w:r>
      <w:r>
        <w:rPr>
          <w:noProof/>
        </w:rPr>
        <w:t>78</w:t>
      </w:r>
      <w:r>
        <w:rPr>
          <w:noProof/>
        </w:rPr>
        <w:fldChar w:fldCharType="end"/>
      </w:r>
    </w:p>
    <w:p w14:paraId="5B0E19B7" w14:textId="1CDA694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patroon</w:t>
      </w:r>
      <w:r>
        <w:rPr>
          <w:noProof/>
        </w:rPr>
        <w:tab/>
      </w:r>
      <w:r>
        <w:rPr>
          <w:noProof/>
        </w:rPr>
        <w:fldChar w:fldCharType="begin"/>
      </w:r>
      <w:r>
        <w:rPr>
          <w:noProof/>
        </w:rPr>
        <w:instrText xml:space="preserve"> PAGEREF _Toc242191268 \h </w:instrText>
      </w:r>
      <w:r>
        <w:rPr>
          <w:noProof/>
        </w:rPr>
      </w:r>
      <w:r>
        <w:rPr>
          <w:noProof/>
        </w:rPr>
        <w:fldChar w:fldCharType="separate"/>
      </w:r>
      <w:r>
        <w:rPr>
          <w:noProof/>
        </w:rPr>
        <w:t>78</w:t>
      </w:r>
      <w:r>
        <w:rPr>
          <w:noProof/>
        </w:rPr>
        <w:fldChar w:fldCharType="end"/>
      </w:r>
    </w:p>
    <w:p w14:paraId="46FD6DAD" w14:textId="2234162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ESSPASS in 2030 — wat verandert er niet</w:t>
      </w:r>
      <w:r>
        <w:rPr>
          <w:noProof/>
        </w:rPr>
        <w:tab/>
      </w:r>
      <w:r>
        <w:rPr>
          <w:noProof/>
        </w:rPr>
        <w:fldChar w:fldCharType="begin"/>
      </w:r>
      <w:r>
        <w:rPr>
          <w:noProof/>
        </w:rPr>
        <w:instrText xml:space="preserve"> PAGEREF _Toc242191269 \h </w:instrText>
      </w:r>
      <w:r>
        <w:rPr>
          <w:noProof/>
        </w:rPr>
      </w:r>
      <w:r>
        <w:rPr>
          <w:noProof/>
        </w:rPr>
        <w:fldChar w:fldCharType="separate"/>
      </w:r>
      <w:r>
        <w:rPr>
          <w:noProof/>
        </w:rPr>
        <w:t>79</w:t>
      </w:r>
      <w:r>
        <w:rPr>
          <w:noProof/>
        </w:rPr>
        <w:fldChar w:fldCharType="end"/>
      </w:r>
    </w:p>
    <w:p w14:paraId="03656AC8" w14:textId="7E81A5A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de ESSPASS wel en niet oplost</w:t>
      </w:r>
      <w:r>
        <w:rPr>
          <w:noProof/>
        </w:rPr>
        <w:tab/>
      </w:r>
      <w:r>
        <w:rPr>
          <w:noProof/>
        </w:rPr>
        <w:fldChar w:fldCharType="begin"/>
      </w:r>
      <w:r>
        <w:rPr>
          <w:noProof/>
        </w:rPr>
        <w:instrText xml:space="preserve"> PAGEREF _Toc242191270 \h </w:instrText>
      </w:r>
      <w:r>
        <w:rPr>
          <w:noProof/>
        </w:rPr>
      </w:r>
      <w:r>
        <w:rPr>
          <w:noProof/>
        </w:rPr>
        <w:fldChar w:fldCharType="separate"/>
      </w:r>
      <w:r>
        <w:rPr>
          <w:noProof/>
        </w:rPr>
        <w:t>80</w:t>
      </w:r>
      <w:r>
        <w:rPr>
          <w:noProof/>
        </w:rPr>
        <w:fldChar w:fldCharType="end"/>
      </w:r>
    </w:p>
    <w:p w14:paraId="64BE2178" w14:textId="0249ACEB"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Waarom dit een brug is naar het Nederlandse deel</w:t>
      </w:r>
      <w:r>
        <w:rPr>
          <w:noProof/>
        </w:rPr>
        <w:tab/>
      </w:r>
      <w:r>
        <w:rPr>
          <w:noProof/>
        </w:rPr>
        <w:fldChar w:fldCharType="begin"/>
      </w:r>
      <w:r>
        <w:rPr>
          <w:noProof/>
        </w:rPr>
        <w:instrText xml:space="preserve"> PAGEREF _Toc242191271 \h </w:instrText>
      </w:r>
      <w:r>
        <w:rPr>
          <w:noProof/>
        </w:rPr>
      </w:r>
      <w:r>
        <w:rPr>
          <w:noProof/>
        </w:rPr>
        <w:fldChar w:fldCharType="separate"/>
      </w:r>
      <w:r>
        <w:rPr>
          <w:noProof/>
        </w:rPr>
        <w:t>81</w:t>
      </w:r>
      <w:r>
        <w:rPr>
          <w:noProof/>
        </w:rPr>
        <w:fldChar w:fldCharType="end"/>
      </w:r>
    </w:p>
    <w:p w14:paraId="6D16D5E1" w14:textId="3A0E6AB2"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SVB en Parentia — het werkende voorbeeld</w:t>
      </w:r>
      <w:r>
        <w:rPr>
          <w:noProof/>
        </w:rPr>
        <w:tab/>
      </w:r>
      <w:r>
        <w:rPr>
          <w:noProof/>
        </w:rPr>
        <w:fldChar w:fldCharType="begin"/>
      </w:r>
      <w:r>
        <w:rPr>
          <w:noProof/>
        </w:rPr>
        <w:instrText xml:space="preserve"> PAGEREF _Toc242191272 \h </w:instrText>
      </w:r>
      <w:r>
        <w:rPr>
          <w:noProof/>
        </w:rPr>
      </w:r>
      <w:r>
        <w:rPr>
          <w:noProof/>
        </w:rPr>
        <w:fldChar w:fldCharType="separate"/>
      </w:r>
      <w:r>
        <w:rPr>
          <w:noProof/>
        </w:rPr>
        <w:t>83</w:t>
      </w:r>
      <w:r>
        <w:rPr>
          <w:noProof/>
        </w:rPr>
        <w:fldChar w:fldCharType="end"/>
      </w:r>
    </w:p>
    <w:p w14:paraId="2017F80D" w14:textId="4F1B648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splitsing</w:t>
      </w:r>
      <w:r>
        <w:rPr>
          <w:noProof/>
        </w:rPr>
        <w:tab/>
      </w:r>
      <w:r>
        <w:rPr>
          <w:noProof/>
        </w:rPr>
        <w:fldChar w:fldCharType="begin"/>
      </w:r>
      <w:r>
        <w:rPr>
          <w:noProof/>
        </w:rPr>
        <w:instrText xml:space="preserve"> PAGEREF _Toc242191273 \h </w:instrText>
      </w:r>
      <w:r>
        <w:rPr>
          <w:noProof/>
        </w:rPr>
      </w:r>
      <w:r>
        <w:rPr>
          <w:noProof/>
        </w:rPr>
        <w:fldChar w:fldCharType="separate"/>
      </w:r>
      <w:r>
        <w:rPr>
          <w:noProof/>
        </w:rPr>
        <w:t>83</w:t>
      </w:r>
      <w:r>
        <w:rPr>
          <w:noProof/>
        </w:rPr>
        <w:fldChar w:fldCharType="end"/>
      </w:r>
    </w:p>
    <w:p w14:paraId="5293BFFF" w14:textId="7186D62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Waarom dit werkt</w:t>
      </w:r>
      <w:r>
        <w:rPr>
          <w:noProof/>
        </w:rPr>
        <w:tab/>
      </w:r>
      <w:r>
        <w:rPr>
          <w:noProof/>
        </w:rPr>
        <w:fldChar w:fldCharType="begin"/>
      </w:r>
      <w:r>
        <w:rPr>
          <w:noProof/>
        </w:rPr>
        <w:instrText xml:space="preserve"> PAGEREF _Toc242191274 \h </w:instrText>
      </w:r>
      <w:r>
        <w:rPr>
          <w:noProof/>
        </w:rPr>
      </w:r>
      <w:r>
        <w:rPr>
          <w:noProof/>
        </w:rPr>
        <w:fldChar w:fldCharType="separate"/>
      </w:r>
      <w:r>
        <w:rPr>
          <w:noProof/>
        </w:rPr>
        <w:t>83</w:t>
      </w:r>
      <w:r>
        <w:rPr>
          <w:noProof/>
        </w:rPr>
        <w:fldChar w:fldCharType="end"/>
      </w:r>
    </w:p>
    <w:p w14:paraId="09397919" w14:textId="7BEE609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herberekening die het succes bedreigt</w:t>
      </w:r>
      <w:r>
        <w:rPr>
          <w:noProof/>
        </w:rPr>
        <w:tab/>
      </w:r>
      <w:r>
        <w:rPr>
          <w:noProof/>
        </w:rPr>
        <w:fldChar w:fldCharType="begin"/>
      </w:r>
      <w:r>
        <w:rPr>
          <w:noProof/>
        </w:rPr>
        <w:instrText xml:space="preserve"> PAGEREF _Toc242191275 \h </w:instrText>
      </w:r>
      <w:r>
        <w:rPr>
          <w:noProof/>
        </w:rPr>
      </w:r>
      <w:r>
        <w:rPr>
          <w:noProof/>
        </w:rPr>
        <w:fldChar w:fldCharType="separate"/>
      </w:r>
      <w:r>
        <w:rPr>
          <w:noProof/>
        </w:rPr>
        <w:t>84</w:t>
      </w:r>
      <w:r>
        <w:rPr>
          <w:noProof/>
        </w:rPr>
        <w:fldChar w:fldCharType="end"/>
      </w:r>
    </w:p>
    <w:p w14:paraId="7CE7774A" w14:textId="5D50E7D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Wat dit hoofdstuk toont</w:t>
      </w:r>
      <w:r>
        <w:rPr>
          <w:noProof/>
        </w:rPr>
        <w:tab/>
      </w:r>
      <w:r>
        <w:rPr>
          <w:noProof/>
        </w:rPr>
        <w:fldChar w:fldCharType="begin"/>
      </w:r>
      <w:r>
        <w:rPr>
          <w:noProof/>
        </w:rPr>
        <w:instrText xml:space="preserve"> PAGEREF _Toc242191276 \h </w:instrText>
      </w:r>
      <w:r>
        <w:rPr>
          <w:noProof/>
        </w:rPr>
      </w:r>
      <w:r>
        <w:rPr>
          <w:noProof/>
        </w:rPr>
        <w:fldChar w:fldCharType="separate"/>
      </w:r>
      <w:r>
        <w:rPr>
          <w:noProof/>
        </w:rPr>
        <w:t>85</w:t>
      </w:r>
      <w:r>
        <w:rPr>
          <w:noProof/>
        </w:rPr>
        <w:fldChar w:fldCharType="end"/>
      </w:r>
    </w:p>
    <w:p w14:paraId="56D84F76" w14:textId="2E56A855"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lichaam zonder achterwacht</w:t>
      </w:r>
      <w:r>
        <w:rPr>
          <w:noProof/>
        </w:rPr>
        <w:tab/>
      </w:r>
      <w:r>
        <w:rPr>
          <w:noProof/>
        </w:rPr>
        <w:fldChar w:fldCharType="begin"/>
      </w:r>
      <w:r>
        <w:rPr>
          <w:noProof/>
        </w:rPr>
        <w:instrText xml:space="preserve"> PAGEREF _Toc242191277 \h </w:instrText>
      </w:r>
      <w:r>
        <w:rPr>
          <w:noProof/>
        </w:rPr>
      </w:r>
      <w:r>
        <w:rPr>
          <w:noProof/>
        </w:rPr>
        <w:fldChar w:fldCharType="separate"/>
      </w:r>
      <w:r>
        <w:rPr>
          <w:noProof/>
        </w:rPr>
        <w:t>87</w:t>
      </w:r>
      <w:r>
        <w:rPr>
          <w:noProof/>
        </w:rPr>
        <w:fldChar w:fldCharType="end"/>
      </w:r>
    </w:p>
    <w:p w14:paraId="436D4C31" w14:textId="668F95F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wettelijke onmogelijkheid</w:t>
      </w:r>
      <w:r>
        <w:rPr>
          <w:noProof/>
        </w:rPr>
        <w:tab/>
      </w:r>
      <w:r>
        <w:rPr>
          <w:noProof/>
        </w:rPr>
        <w:fldChar w:fldCharType="begin"/>
      </w:r>
      <w:r>
        <w:rPr>
          <w:noProof/>
        </w:rPr>
        <w:instrText xml:space="preserve"> PAGEREF _Toc242191278 \h </w:instrText>
      </w:r>
      <w:r>
        <w:rPr>
          <w:noProof/>
        </w:rPr>
      </w:r>
      <w:r>
        <w:rPr>
          <w:noProof/>
        </w:rPr>
        <w:fldChar w:fldCharType="separate"/>
      </w:r>
      <w:r>
        <w:rPr>
          <w:noProof/>
        </w:rPr>
        <w:t>87</w:t>
      </w:r>
      <w:r>
        <w:rPr>
          <w:noProof/>
        </w:rPr>
        <w:fldChar w:fldCharType="end"/>
      </w:r>
    </w:p>
    <w:p w14:paraId="5310C3F9" w14:textId="278169C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gevolgen in de praktijk</w:t>
      </w:r>
      <w:r>
        <w:rPr>
          <w:noProof/>
        </w:rPr>
        <w:tab/>
      </w:r>
      <w:r>
        <w:rPr>
          <w:noProof/>
        </w:rPr>
        <w:fldChar w:fldCharType="begin"/>
      </w:r>
      <w:r>
        <w:rPr>
          <w:noProof/>
        </w:rPr>
        <w:instrText xml:space="preserve"> PAGEREF _Toc242191279 \h </w:instrText>
      </w:r>
      <w:r>
        <w:rPr>
          <w:noProof/>
        </w:rPr>
      </w:r>
      <w:r>
        <w:rPr>
          <w:noProof/>
        </w:rPr>
        <w:fldChar w:fldCharType="separate"/>
      </w:r>
      <w:r>
        <w:rPr>
          <w:noProof/>
        </w:rPr>
        <w:t>87</w:t>
      </w:r>
      <w:r>
        <w:rPr>
          <w:noProof/>
        </w:rPr>
        <w:fldChar w:fldCharType="end"/>
      </w:r>
    </w:p>
    <w:p w14:paraId="453B0EEF" w14:textId="121BD025"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wet die het gezin beschermt en verlamt</w:t>
      </w:r>
      <w:r>
        <w:rPr>
          <w:noProof/>
        </w:rPr>
        <w:tab/>
      </w:r>
      <w:r>
        <w:rPr>
          <w:noProof/>
        </w:rPr>
        <w:fldChar w:fldCharType="begin"/>
      </w:r>
      <w:r>
        <w:rPr>
          <w:noProof/>
        </w:rPr>
        <w:instrText xml:space="preserve"> PAGEREF _Toc242191280 \h </w:instrText>
      </w:r>
      <w:r>
        <w:rPr>
          <w:noProof/>
        </w:rPr>
      </w:r>
      <w:r>
        <w:rPr>
          <w:noProof/>
        </w:rPr>
        <w:fldChar w:fldCharType="separate"/>
      </w:r>
      <w:r>
        <w:rPr>
          <w:noProof/>
        </w:rPr>
        <w:t>88</w:t>
      </w:r>
      <w:r>
        <w:rPr>
          <w:noProof/>
        </w:rPr>
        <w:fldChar w:fldCharType="end"/>
      </w:r>
    </w:p>
    <w:p w14:paraId="05B8BABF" w14:textId="69D4C13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paradox</w:t>
      </w:r>
      <w:r>
        <w:rPr>
          <w:noProof/>
        </w:rPr>
        <w:tab/>
      </w:r>
      <w:r>
        <w:rPr>
          <w:noProof/>
        </w:rPr>
        <w:fldChar w:fldCharType="begin"/>
      </w:r>
      <w:r>
        <w:rPr>
          <w:noProof/>
        </w:rPr>
        <w:instrText xml:space="preserve"> PAGEREF _Toc242191281 \h </w:instrText>
      </w:r>
      <w:r>
        <w:rPr>
          <w:noProof/>
        </w:rPr>
      </w:r>
      <w:r>
        <w:rPr>
          <w:noProof/>
        </w:rPr>
        <w:fldChar w:fldCharType="separate"/>
      </w:r>
      <w:r>
        <w:rPr>
          <w:noProof/>
        </w:rPr>
        <w:t>89</w:t>
      </w:r>
      <w:r>
        <w:rPr>
          <w:noProof/>
        </w:rPr>
        <w:fldChar w:fldCharType="end"/>
      </w:r>
    </w:p>
    <w:p w14:paraId="1AE0F5A6" w14:textId="55834CF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hoofdstuk vaststelt</w:t>
      </w:r>
      <w:r>
        <w:rPr>
          <w:noProof/>
        </w:rPr>
        <w:tab/>
      </w:r>
      <w:r>
        <w:rPr>
          <w:noProof/>
        </w:rPr>
        <w:fldChar w:fldCharType="begin"/>
      </w:r>
      <w:r>
        <w:rPr>
          <w:noProof/>
        </w:rPr>
        <w:instrText xml:space="preserve"> PAGEREF _Toc242191282 \h </w:instrText>
      </w:r>
      <w:r>
        <w:rPr>
          <w:noProof/>
        </w:rPr>
      </w:r>
      <w:r>
        <w:rPr>
          <w:noProof/>
        </w:rPr>
        <w:fldChar w:fldCharType="separate"/>
      </w:r>
      <w:r>
        <w:rPr>
          <w:noProof/>
        </w:rPr>
        <w:t>89</w:t>
      </w:r>
      <w:r>
        <w:rPr>
          <w:noProof/>
        </w:rPr>
        <w:fldChar w:fldCharType="end"/>
      </w:r>
    </w:p>
    <w:p w14:paraId="433CA6FD" w14:textId="7FF2D778"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centrale pot</w:t>
      </w:r>
      <w:r>
        <w:rPr>
          <w:noProof/>
        </w:rPr>
        <w:tab/>
      </w:r>
      <w:r>
        <w:rPr>
          <w:noProof/>
        </w:rPr>
        <w:fldChar w:fldCharType="begin"/>
      </w:r>
      <w:r>
        <w:rPr>
          <w:noProof/>
        </w:rPr>
        <w:instrText xml:space="preserve"> PAGEREF _Toc242191283 \h </w:instrText>
      </w:r>
      <w:r>
        <w:rPr>
          <w:noProof/>
        </w:rPr>
      </w:r>
      <w:r>
        <w:rPr>
          <w:noProof/>
        </w:rPr>
        <w:fldChar w:fldCharType="separate"/>
      </w:r>
      <w:r>
        <w:rPr>
          <w:noProof/>
        </w:rPr>
        <w:t>91</w:t>
      </w:r>
      <w:r>
        <w:rPr>
          <w:noProof/>
        </w:rPr>
        <w:fldChar w:fldCharType="end"/>
      </w:r>
    </w:p>
    <w:p w14:paraId="08DF0EE8" w14:textId="4AA6BA1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rekening als reservoir</w:t>
      </w:r>
      <w:r>
        <w:rPr>
          <w:noProof/>
        </w:rPr>
        <w:tab/>
      </w:r>
      <w:r>
        <w:rPr>
          <w:noProof/>
        </w:rPr>
        <w:fldChar w:fldCharType="begin"/>
      </w:r>
      <w:r>
        <w:rPr>
          <w:noProof/>
        </w:rPr>
        <w:instrText xml:space="preserve"> PAGEREF _Toc242191284 \h </w:instrText>
      </w:r>
      <w:r>
        <w:rPr>
          <w:noProof/>
        </w:rPr>
      </w:r>
      <w:r>
        <w:rPr>
          <w:noProof/>
        </w:rPr>
        <w:fldChar w:fldCharType="separate"/>
      </w:r>
      <w:r>
        <w:rPr>
          <w:noProof/>
        </w:rPr>
        <w:t>91</w:t>
      </w:r>
      <w:r>
        <w:rPr>
          <w:noProof/>
        </w:rPr>
        <w:fldChar w:fldCharType="end"/>
      </w:r>
    </w:p>
    <w:p w14:paraId="704B8955" w14:textId="69BDAE0B"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drie private poorten</w:t>
      </w:r>
      <w:r>
        <w:rPr>
          <w:noProof/>
        </w:rPr>
        <w:tab/>
      </w:r>
      <w:r>
        <w:rPr>
          <w:noProof/>
        </w:rPr>
        <w:fldChar w:fldCharType="begin"/>
      </w:r>
      <w:r>
        <w:rPr>
          <w:noProof/>
        </w:rPr>
        <w:instrText xml:space="preserve"> PAGEREF _Toc242191285 \h </w:instrText>
      </w:r>
      <w:r>
        <w:rPr>
          <w:noProof/>
        </w:rPr>
      </w:r>
      <w:r>
        <w:rPr>
          <w:noProof/>
        </w:rPr>
        <w:fldChar w:fldCharType="separate"/>
      </w:r>
      <w:r>
        <w:rPr>
          <w:noProof/>
        </w:rPr>
        <w:t>91</w:t>
      </w:r>
      <w:r>
        <w:rPr>
          <w:noProof/>
        </w:rPr>
        <w:fldChar w:fldCharType="end"/>
      </w:r>
    </w:p>
    <w:p w14:paraId="1CE084C8" w14:textId="0ED9350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bank als de-facto schuldeiser van de verzorgingsstaat</w:t>
      </w:r>
      <w:r>
        <w:rPr>
          <w:noProof/>
        </w:rPr>
        <w:tab/>
      </w:r>
      <w:r>
        <w:rPr>
          <w:noProof/>
        </w:rPr>
        <w:fldChar w:fldCharType="begin"/>
      </w:r>
      <w:r>
        <w:rPr>
          <w:noProof/>
        </w:rPr>
        <w:instrText xml:space="preserve"> PAGEREF _Toc242191286 \h </w:instrText>
      </w:r>
      <w:r>
        <w:rPr>
          <w:noProof/>
        </w:rPr>
      </w:r>
      <w:r>
        <w:rPr>
          <w:noProof/>
        </w:rPr>
        <w:fldChar w:fldCharType="separate"/>
      </w:r>
      <w:r>
        <w:rPr>
          <w:noProof/>
        </w:rPr>
        <w:t>92</w:t>
      </w:r>
      <w:r>
        <w:rPr>
          <w:noProof/>
        </w:rPr>
        <w:fldChar w:fldCharType="end"/>
      </w:r>
    </w:p>
    <w:p w14:paraId="6C52ACB8" w14:textId="0A92474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hoofdstuk vaststelt</w:t>
      </w:r>
      <w:r>
        <w:rPr>
          <w:noProof/>
        </w:rPr>
        <w:tab/>
      </w:r>
      <w:r>
        <w:rPr>
          <w:noProof/>
        </w:rPr>
        <w:fldChar w:fldCharType="begin"/>
      </w:r>
      <w:r>
        <w:rPr>
          <w:noProof/>
        </w:rPr>
        <w:instrText xml:space="preserve"> PAGEREF _Toc242191287 \h </w:instrText>
      </w:r>
      <w:r>
        <w:rPr>
          <w:noProof/>
        </w:rPr>
      </w:r>
      <w:r>
        <w:rPr>
          <w:noProof/>
        </w:rPr>
        <w:fldChar w:fldCharType="separate"/>
      </w:r>
      <w:r>
        <w:rPr>
          <w:noProof/>
        </w:rPr>
        <w:t>93</w:t>
      </w:r>
      <w:r>
        <w:rPr>
          <w:noProof/>
        </w:rPr>
        <w:fldChar w:fldCharType="end"/>
      </w:r>
    </w:p>
    <w:p w14:paraId="3AB8F44C" w14:textId="4E8EEFA4"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 Europa</w:t>
      </w:r>
      <w:r>
        <w:rPr>
          <w:noProof/>
        </w:rPr>
        <w:tab/>
      </w:r>
      <w:r>
        <w:rPr>
          <w:noProof/>
        </w:rPr>
        <w:fldChar w:fldCharType="begin"/>
      </w:r>
      <w:r>
        <w:rPr>
          <w:noProof/>
        </w:rPr>
        <w:instrText xml:space="preserve"> PAGEREF _Toc242191288 \h </w:instrText>
      </w:r>
      <w:r>
        <w:rPr>
          <w:noProof/>
        </w:rPr>
      </w:r>
      <w:r>
        <w:rPr>
          <w:noProof/>
        </w:rPr>
        <w:fldChar w:fldCharType="separate"/>
      </w:r>
      <w:r>
        <w:rPr>
          <w:noProof/>
        </w:rPr>
        <w:t>94</w:t>
      </w:r>
      <w:r>
        <w:rPr>
          <w:noProof/>
        </w:rPr>
        <w:fldChar w:fldCharType="end"/>
      </w:r>
    </w:p>
    <w:p w14:paraId="6480DF59" w14:textId="32955A1A"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Europese laag</w:t>
      </w:r>
      <w:r>
        <w:rPr>
          <w:noProof/>
        </w:rPr>
        <w:tab/>
      </w:r>
      <w:r>
        <w:rPr>
          <w:noProof/>
        </w:rPr>
        <w:fldChar w:fldCharType="begin"/>
      </w:r>
      <w:r>
        <w:rPr>
          <w:noProof/>
        </w:rPr>
        <w:instrText xml:space="preserve"> PAGEREF _Toc242191289 \h </w:instrText>
      </w:r>
      <w:r>
        <w:rPr>
          <w:noProof/>
        </w:rPr>
      </w:r>
      <w:r>
        <w:rPr>
          <w:noProof/>
        </w:rPr>
        <w:fldChar w:fldCharType="separate"/>
      </w:r>
      <w:r>
        <w:rPr>
          <w:noProof/>
        </w:rPr>
        <w:t>94</w:t>
      </w:r>
      <w:r>
        <w:rPr>
          <w:noProof/>
        </w:rPr>
        <w:fldChar w:fldCharType="end"/>
      </w:r>
    </w:p>
    <w:p w14:paraId="3F054E12" w14:textId="3A4E323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Europese en internationale laag</w:t>
      </w:r>
      <w:r>
        <w:rPr>
          <w:noProof/>
        </w:rPr>
        <w:tab/>
      </w:r>
      <w:r>
        <w:rPr>
          <w:noProof/>
        </w:rPr>
        <w:fldChar w:fldCharType="begin"/>
      </w:r>
      <w:r>
        <w:rPr>
          <w:noProof/>
        </w:rPr>
        <w:instrText xml:space="preserve"> PAGEREF _Toc242191290 \h </w:instrText>
      </w:r>
      <w:r>
        <w:rPr>
          <w:noProof/>
        </w:rPr>
      </w:r>
      <w:r>
        <w:rPr>
          <w:noProof/>
        </w:rPr>
        <w:fldChar w:fldCharType="separate"/>
      </w:r>
      <w:r>
        <w:rPr>
          <w:noProof/>
        </w:rPr>
        <w:t>94</w:t>
      </w:r>
      <w:r>
        <w:rPr>
          <w:noProof/>
        </w:rPr>
        <w:fldChar w:fldCharType="end"/>
      </w:r>
    </w:p>
    <w:p w14:paraId="4990E23A" w14:textId="739FDDF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cirkelverwijzing</w:t>
      </w:r>
      <w:r>
        <w:rPr>
          <w:noProof/>
        </w:rPr>
        <w:tab/>
      </w:r>
      <w:r>
        <w:rPr>
          <w:noProof/>
        </w:rPr>
        <w:fldChar w:fldCharType="begin"/>
      </w:r>
      <w:r>
        <w:rPr>
          <w:noProof/>
        </w:rPr>
        <w:instrText xml:space="preserve"> PAGEREF _Toc242191291 \h </w:instrText>
      </w:r>
      <w:r>
        <w:rPr>
          <w:noProof/>
        </w:rPr>
      </w:r>
      <w:r>
        <w:rPr>
          <w:noProof/>
        </w:rPr>
        <w:fldChar w:fldCharType="separate"/>
      </w:r>
      <w:r>
        <w:rPr>
          <w:noProof/>
        </w:rPr>
        <w:t>94</w:t>
      </w:r>
      <w:r>
        <w:rPr>
          <w:noProof/>
        </w:rPr>
        <w:fldChar w:fldCharType="end"/>
      </w:r>
    </w:p>
    <w:p w14:paraId="5643B52B" w14:textId="36ACE255"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twee openingen</w:t>
      </w:r>
      <w:r>
        <w:rPr>
          <w:noProof/>
        </w:rPr>
        <w:tab/>
      </w:r>
      <w:r>
        <w:rPr>
          <w:noProof/>
        </w:rPr>
        <w:fldChar w:fldCharType="begin"/>
      </w:r>
      <w:r>
        <w:rPr>
          <w:noProof/>
        </w:rPr>
        <w:instrText xml:space="preserve"> PAGEREF _Toc242191292 \h </w:instrText>
      </w:r>
      <w:r>
        <w:rPr>
          <w:noProof/>
        </w:rPr>
      </w:r>
      <w:r>
        <w:rPr>
          <w:noProof/>
        </w:rPr>
        <w:fldChar w:fldCharType="separate"/>
      </w:r>
      <w:r>
        <w:rPr>
          <w:noProof/>
        </w:rPr>
        <w:t>95</w:t>
      </w:r>
      <w:r>
        <w:rPr>
          <w:noProof/>
        </w:rPr>
        <w:fldChar w:fldCharType="end"/>
      </w:r>
    </w:p>
    <w:p w14:paraId="7E8A1440" w14:textId="0236D639"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inbreukprocedure die niet komt</w:t>
      </w:r>
      <w:r>
        <w:rPr>
          <w:noProof/>
        </w:rPr>
        <w:tab/>
      </w:r>
      <w:r>
        <w:rPr>
          <w:noProof/>
        </w:rPr>
        <w:fldChar w:fldCharType="begin"/>
      </w:r>
      <w:r>
        <w:rPr>
          <w:noProof/>
        </w:rPr>
        <w:instrText xml:space="preserve"> PAGEREF _Toc242191293 \h </w:instrText>
      </w:r>
      <w:r>
        <w:rPr>
          <w:noProof/>
        </w:rPr>
      </w:r>
      <w:r>
        <w:rPr>
          <w:noProof/>
        </w:rPr>
        <w:fldChar w:fldCharType="separate"/>
      </w:r>
      <w:r>
        <w:rPr>
          <w:noProof/>
        </w:rPr>
        <w:t>96</w:t>
      </w:r>
      <w:r>
        <w:rPr>
          <w:noProof/>
        </w:rPr>
        <w:fldChar w:fldCharType="end"/>
      </w:r>
    </w:p>
    <w:p w14:paraId="1237CF18" w14:textId="4B6218FB"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De Europese tegenstrijdigheid</w:t>
      </w:r>
      <w:r>
        <w:rPr>
          <w:noProof/>
        </w:rPr>
        <w:tab/>
      </w:r>
      <w:r>
        <w:rPr>
          <w:noProof/>
        </w:rPr>
        <w:fldChar w:fldCharType="begin"/>
      </w:r>
      <w:r>
        <w:rPr>
          <w:noProof/>
        </w:rPr>
        <w:instrText xml:space="preserve"> PAGEREF _Toc242191294 \h </w:instrText>
      </w:r>
      <w:r>
        <w:rPr>
          <w:noProof/>
        </w:rPr>
      </w:r>
      <w:r>
        <w:rPr>
          <w:noProof/>
        </w:rPr>
        <w:fldChar w:fldCharType="separate"/>
      </w:r>
      <w:r>
        <w:rPr>
          <w:noProof/>
        </w:rPr>
        <w:t>97</w:t>
      </w:r>
      <w:r>
        <w:rPr>
          <w:noProof/>
        </w:rPr>
        <w:fldChar w:fldCharType="end"/>
      </w:r>
    </w:p>
    <w:p w14:paraId="0210784E" w14:textId="29AC4CF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hoofdstuk vaststelt</w:t>
      </w:r>
      <w:r>
        <w:rPr>
          <w:noProof/>
        </w:rPr>
        <w:tab/>
      </w:r>
      <w:r>
        <w:rPr>
          <w:noProof/>
        </w:rPr>
        <w:fldChar w:fldCharType="begin"/>
      </w:r>
      <w:r>
        <w:rPr>
          <w:noProof/>
        </w:rPr>
        <w:instrText xml:space="preserve"> PAGEREF _Toc242191295 \h </w:instrText>
      </w:r>
      <w:r>
        <w:rPr>
          <w:noProof/>
        </w:rPr>
      </w:r>
      <w:r>
        <w:rPr>
          <w:noProof/>
        </w:rPr>
        <w:fldChar w:fldCharType="separate"/>
      </w:r>
      <w:r>
        <w:rPr>
          <w:noProof/>
        </w:rPr>
        <w:t>97</w:t>
      </w:r>
      <w:r>
        <w:rPr>
          <w:noProof/>
        </w:rPr>
        <w:fldChar w:fldCharType="end"/>
      </w:r>
    </w:p>
    <w:p w14:paraId="4CE3FEBC" w14:textId="60124F37"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VI. Wie toekijkt</w:t>
      </w:r>
      <w:r>
        <w:rPr>
          <w:noProof/>
        </w:rPr>
        <w:tab/>
      </w:r>
      <w:r>
        <w:rPr>
          <w:noProof/>
        </w:rPr>
        <w:fldChar w:fldCharType="begin"/>
      </w:r>
      <w:r>
        <w:rPr>
          <w:noProof/>
        </w:rPr>
        <w:instrText xml:space="preserve"> PAGEREF _Toc242191296 \h </w:instrText>
      </w:r>
      <w:r>
        <w:rPr>
          <w:noProof/>
        </w:rPr>
      </w:r>
      <w:r>
        <w:rPr>
          <w:noProof/>
        </w:rPr>
        <w:fldChar w:fldCharType="separate"/>
      </w:r>
      <w:r>
        <w:rPr>
          <w:noProof/>
        </w:rPr>
        <w:t>99</w:t>
      </w:r>
      <w:r>
        <w:rPr>
          <w:noProof/>
        </w:rPr>
        <w:fldChar w:fldCharType="end"/>
      </w:r>
    </w:p>
    <w:p w14:paraId="61B04731" w14:textId="777D7486"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controle- en bemiddelingslaag</w:t>
      </w:r>
      <w:r>
        <w:rPr>
          <w:noProof/>
        </w:rPr>
        <w:tab/>
      </w:r>
      <w:r>
        <w:rPr>
          <w:noProof/>
        </w:rPr>
        <w:fldChar w:fldCharType="begin"/>
      </w:r>
      <w:r>
        <w:rPr>
          <w:noProof/>
        </w:rPr>
        <w:instrText xml:space="preserve"> PAGEREF _Toc242191297 \h </w:instrText>
      </w:r>
      <w:r>
        <w:rPr>
          <w:noProof/>
        </w:rPr>
      </w:r>
      <w:r>
        <w:rPr>
          <w:noProof/>
        </w:rPr>
        <w:fldChar w:fldCharType="separate"/>
      </w:r>
      <w:r>
        <w:rPr>
          <w:noProof/>
        </w:rPr>
        <w:t>99</w:t>
      </w:r>
      <w:r>
        <w:rPr>
          <w:noProof/>
        </w:rPr>
        <w:fldChar w:fldCharType="end"/>
      </w:r>
    </w:p>
    <w:p w14:paraId="42A80BED" w14:textId="1DC48C28"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vier bemiddelaars</w:t>
      </w:r>
      <w:r>
        <w:rPr>
          <w:noProof/>
        </w:rPr>
        <w:tab/>
      </w:r>
      <w:r>
        <w:rPr>
          <w:noProof/>
        </w:rPr>
        <w:fldChar w:fldCharType="begin"/>
      </w:r>
      <w:r>
        <w:rPr>
          <w:noProof/>
        </w:rPr>
        <w:instrText xml:space="preserve"> PAGEREF _Toc242191298 \h </w:instrText>
      </w:r>
      <w:r>
        <w:rPr>
          <w:noProof/>
        </w:rPr>
      </w:r>
      <w:r>
        <w:rPr>
          <w:noProof/>
        </w:rPr>
        <w:fldChar w:fldCharType="separate"/>
      </w:r>
      <w:r>
        <w:rPr>
          <w:noProof/>
        </w:rPr>
        <w:t>99</w:t>
      </w:r>
      <w:r>
        <w:rPr>
          <w:noProof/>
        </w:rPr>
        <w:fldChar w:fldCharType="end"/>
      </w:r>
    </w:p>
    <w:p w14:paraId="43DE56DE" w14:textId="73BD454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Het verschil tussen de twee ombudsmannen</w:t>
      </w:r>
      <w:r>
        <w:rPr>
          <w:noProof/>
        </w:rPr>
        <w:tab/>
      </w:r>
      <w:r>
        <w:rPr>
          <w:noProof/>
        </w:rPr>
        <w:fldChar w:fldCharType="begin"/>
      </w:r>
      <w:r>
        <w:rPr>
          <w:noProof/>
        </w:rPr>
        <w:instrText xml:space="preserve"> PAGEREF _Toc242191299 \h </w:instrText>
      </w:r>
      <w:r>
        <w:rPr>
          <w:noProof/>
        </w:rPr>
      </w:r>
      <w:r>
        <w:rPr>
          <w:noProof/>
        </w:rPr>
        <w:fldChar w:fldCharType="separate"/>
      </w:r>
      <w:r>
        <w:rPr>
          <w:noProof/>
        </w:rPr>
        <w:t>99</w:t>
      </w:r>
      <w:r>
        <w:rPr>
          <w:noProof/>
        </w:rPr>
        <w:fldChar w:fldCharType="end"/>
      </w:r>
    </w:p>
    <w:p w14:paraId="43B75F56" w14:textId="3F3FD8F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cirkelverwijzing tussen de twee SOLVIT-centra</w:t>
      </w:r>
      <w:r>
        <w:rPr>
          <w:noProof/>
        </w:rPr>
        <w:tab/>
      </w:r>
      <w:r>
        <w:rPr>
          <w:noProof/>
        </w:rPr>
        <w:fldChar w:fldCharType="begin"/>
      </w:r>
      <w:r>
        <w:rPr>
          <w:noProof/>
        </w:rPr>
        <w:instrText xml:space="preserve"> PAGEREF _Toc242191300 \h </w:instrText>
      </w:r>
      <w:r>
        <w:rPr>
          <w:noProof/>
        </w:rPr>
      </w:r>
      <w:r>
        <w:rPr>
          <w:noProof/>
        </w:rPr>
        <w:fldChar w:fldCharType="separate"/>
      </w:r>
      <w:r>
        <w:rPr>
          <w:noProof/>
        </w:rPr>
        <w:t>100</w:t>
      </w:r>
      <w:r>
        <w:rPr>
          <w:noProof/>
        </w:rPr>
        <w:fldChar w:fldCharType="end"/>
      </w:r>
    </w:p>
    <w:p w14:paraId="6CD1342A" w14:textId="76D0FE7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ELA: de weg die niet opengaat</w:t>
      </w:r>
      <w:r>
        <w:rPr>
          <w:noProof/>
        </w:rPr>
        <w:tab/>
      </w:r>
      <w:r>
        <w:rPr>
          <w:noProof/>
        </w:rPr>
        <w:fldChar w:fldCharType="begin"/>
      </w:r>
      <w:r>
        <w:rPr>
          <w:noProof/>
        </w:rPr>
        <w:instrText xml:space="preserve"> PAGEREF _Toc242191301 \h </w:instrText>
      </w:r>
      <w:r>
        <w:rPr>
          <w:noProof/>
        </w:rPr>
      </w:r>
      <w:r>
        <w:rPr>
          <w:noProof/>
        </w:rPr>
        <w:fldChar w:fldCharType="separate"/>
      </w:r>
      <w:r>
        <w:rPr>
          <w:noProof/>
        </w:rPr>
        <w:t>100</w:t>
      </w:r>
      <w:r>
        <w:rPr>
          <w:noProof/>
        </w:rPr>
        <w:fldChar w:fldCharType="end"/>
      </w:r>
    </w:p>
    <w:p w14:paraId="30CB2BDD" w14:textId="5882941A"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Het patroon</w:t>
      </w:r>
      <w:r>
        <w:rPr>
          <w:noProof/>
        </w:rPr>
        <w:tab/>
      </w:r>
      <w:r>
        <w:rPr>
          <w:noProof/>
        </w:rPr>
        <w:fldChar w:fldCharType="begin"/>
      </w:r>
      <w:r>
        <w:rPr>
          <w:noProof/>
        </w:rPr>
        <w:instrText xml:space="preserve"> PAGEREF _Toc242191302 \h </w:instrText>
      </w:r>
      <w:r>
        <w:rPr>
          <w:noProof/>
        </w:rPr>
      </w:r>
      <w:r>
        <w:rPr>
          <w:noProof/>
        </w:rPr>
        <w:fldChar w:fldCharType="separate"/>
      </w:r>
      <w:r>
        <w:rPr>
          <w:noProof/>
        </w:rPr>
        <w:t>101</w:t>
      </w:r>
      <w:r>
        <w:rPr>
          <w:noProof/>
        </w:rPr>
        <w:fldChar w:fldCharType="end"/>
      </w:r>
    </w:p>
    <w:p w14:paraId="7D5E99D1" w14:textId="479A633B"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rechtbanken</w:t>
      </w:r>
      <w:r>
        <w:rPr>
          <w:noProof/>
        </w:rPr>
        <w:tab/>
      </w:r>
      <w:r>
        <w:rPr>
          <w:noProof/>
        </w:rPr>
        <w:fldChar w:fldCharType="begin"/>
      </w:r>
      <w:r>
        <w:rPr>
          <w:noProof/>
        </w:rPr>
        <w:instrText xml:space="preserve"> PAGEREF _Toc242191303 \h </w:instrText>
      </w:r>
      <w:r>
        <w:rPr>
          <w:noProof/>
        </w:rPr>
      </w:r>
      <w:r>
        <w:rPr>
          <w:noProof/>
        </w:rPr>
        <w:fldChar w:fldCharType="separate"/>
      </w:r>
      <w:r>
        <w:rPr>
          <w:noProof/>
        </w:rPr>
        <w:t>103</w:t>
      </w:r>
      <w:r>
        <w:rPr>
          <w:noProof/>
        </w:rPr>
        <w:fldChar w:fldCharType="end"/>
      </w:r>
    </w:p>
    <w:p w14:paraId="313FF3A4" w14:textId="49D7FDF0"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twee rechtswegen</w:t>
      </w:r>
      <w:r>
        <w:rPr>
          <w:noProof/>
        </w:rPr>
        <w:tab/>
      </w:r>
      <w:r>
        <w:rPr>
          <w:noProof/>
        </w:rPr>
        <w:fldChar w:fldCharType="begin"/>
      </w:r>
      <w:r>
        <w:rPr>
          <w:noProof/>
        </w:rPr>
        <w:instrText xml:space="preserve"> PAGEREF _Toc242191304 \h </w:instrText>
      </w:r>
      <w:r>
        <w:rPr>
          <w:noProof/>
        </w:rPr>
      </w:r>
      <w:r>
        <w:rPr>
          <w:noProof/>
        </w:rPr>
        <w:fldChar w:fldCharType="separate"/>
      </w:r>
      <w:r>
        <w:rPr>
          <w:noProof/>
        </w:rPr>
        <w:t>103</w:t>
      </w:r>
      <w:r>
        <w:rPr>
          <w:noProof/>
        </w:rPr>
        <w:fldChar w:fldCharType="end"/>
      </w:r>
    </w:p>
    <w:p w14:paraId="7D72B936" w14:textId="04306F08"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De pro deo-drempel</w:t>
      </w:r>
      <w:r>
        <w:rPr>
          <w:noProof/>
        </w:rPr>
        <w:tab/>
      </w:r>
      <w:r>
        <w:rPr>
          <w:noProof/>
        </w:rPr>
        <w:fldChar w:fldCharType="begin"/>
      </w:r>
      <w:r>
        <w:rPr>
          <w:noProof/>
        </w:rPr>
        <w:instrText xml:space="preserve"> PAGEREF _Toc242191305 \h </w:instrText>
      </w:r>
      <w:r>
        <w:rPr>
          <w:noProof/>
        </w:rPr>
      </w:r>
      <w:r>
        <w:rPr>
          <w:noProof/>
        </w:rPr>
        <w:fldChar w:fldCharType="separate"/>
      </w:r>
      <w:r>
        <w:rPr>
          <w:noProof/>
        </w:rPr>
        <w:t>103</w:t>
      </w:r>
      <w:r>
        <w:rPr>
          <w:noProof/>
        </w:rPr>
        <w:fldChar w:fldCharType="end"/>
      </w:r>
    </w:p>
    <w:p w14:paraId="35383644" w14:textId="2FD1E6D3"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ironie van het peiljaar</w:t>
      </w:r>
      <w:r>
        <w:rPr>
          <w:noProof/>
        </w:rPr>
        <w:tab/>
      </w:r>
      <w:r>
        <w:rPr>
          <w:noProof/>
        </w:rPr>
        <w:fldChar w:fldCharType="begin"/>
      </w:r>
      <w:r>
        <w:rPr>
          <w:noProof/>
        </w:rPr>
        <w:instrText xml:space="preserve"> PAGEREF _Toc242191306 \h </w:instrText>
      </w:r>
      <w:r>
        <w:rPr>
          <w:noProof/>
        </w:rPr>
      </w:r>
      <w:r>
        <w:rPr>
          <w:noProof/>
        </w:rPr>
        <w:fldChar w:fldCharType="separate"/>
      </w:r>
      <w:r>
        <w:rPr>
          <w:noProof/>
        </w:rPr>
        <w:t>104</w:t>
      </w:r>
      <w:r>
        <w:rPr>
          <w:noProof/>
        </w:rPr>
        <w:fldChar w:fldCharType="end"/>
      </w:r>
    </w:p>
    <w:p w14:paraId="4886AD0A" w14:textId="381280C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Wat dit betekent</w:t>
      </w:r>
      <w:r>
        <w:rPr>
          <w:noProof/>
        </w:rPr>
        <w:tab/>
      </w:r>
      <w:r>
        <w:rPr>
          <w:noProof/>
        </w:rPr>
        <w:fldChar w:fldCharType="begin"/>
      </w:r>
      <w:r>
        <w:rPr>
          <w:noProof/>
        </w:rPr>
        <w:instrText xml:space="preserve"> PAGEREF _Toc242191307 \h </w:instrText>
      </w:r>
      <w:r>
        <w:rPr>
          <w:noProof/>
        </w:rPr>
      </w:r>
      <w:r>
        <w:rPr>
          <w:noProof/>
        </w:rPr>
        <w:fldChar w:fldCharType="separate"/>
      </w:r>
      <w:r>
        <w:rPr>
          <w:noProof/>
        </w:rPr>
        <w:t>105</w:t>
      </w:r>
      <w:r>
        <w:rPr>
          <w:noProof/>
        </w:rPr>
        <w:fldChar w:fldCharType="end"/>
      </w:r>
    </w:p>
    <w:p w14:paraId="71A92668" w14:textId="233E712E"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politiek</w:t>
      </w:r>
      <w:r>
        <w:rPr>
          <w:noProof/>
        </w:rPr>
        <w:tab/>
      </w:r>
      <w:r>
        <w:rPr>
          <w:noProof/>
        </w:rPr>
        <w:fldChar w:fldCharType="begin"/>
      </w:r>
      <w:r>
        <w:rPr>
          <w:noProof/>
        </w:rPr>
        <w:instrText xml:space="preserve"> PAGEREF _Toc242191308 \h </w:instrText>
      </w:r>
      <w:r>
        <w:rPr>
          <w:noProof/>
        </w:rPr>
      </w:r>
      <w:r>
        <w:rPr>
          <w:noProof/>
        </w:rPr>
        <w:fldChar w:fldCharType="separate"/>
      </w:r>
      <w:r>
        <w:rPr>
          <w:noProof/>
        </w:rPr>
        <w:t>107</w:t>
      </w:r>
      <w:r>
        <w:rPr>
          <w:noProof/>
        </w:rPr>
        <w:fldChar w:fldCharType="end"/>
      </w:r>
    </w:p>
    <w:p w14:paraId="01335274" w14:textId="7ABBED1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scheiding der machten</w:t>
      </w:r>
      <w:r>
        <w:rPr>
          <w:noProof/>
        </w:rPr>
        <w:tab/>
      </w:r>
      <w:r>
        <w:rPr>
          <w:noProof/>
        </w:rPr>
        <w:fldChar w:fldCharType="begin"/>
      </w:r>
      <w:r>
        <w:rPr>
          <w:noProof/>
        </w:rPr>
        <w:instrText xml:space="preserve"> PAGEREF _Toc242191309 \h </w:instrText>
      </w:r>
      <w:r>
        <w:rPr>
          <w:noProof/>
        </w:rPr>
      </w:r>
      <w:r>
        <w:rPr>
          <w:noProof/>
        </w:rPr>
        <w:fldChar w:fldCharType="separate"/>
      </w:r>
      <w:r>
        <w:rPr>
          <w:noProof/>
        </w:rPr>
        <w:t>107</w:t>
      </w:r>
      <w:r>
        <w:rPr>
          <w:noProof/>
        </w:rPr>
        <w:fldChar w:fldCharType="end"/>
      </w:r>
    </w:p>
    <w:p w14:paraId="28EEEA8F" w14:textId="1DC4C9D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Wat de politiek wel en niet kan</w:t>
      </w:r>
      <w:r>
        <w:rPr>
          <w:noProof/>
        </w:rPr>
        <w:tab/>
      </w:r>
      <w:r>
        <w:rPr>
          <w:noProof/>
        </w:rPr>
        <w:fldChar w:fldCharType="begin"/>
      </w:r>
      <w:r>
        <w:rPr>
          <w:noProof/>
        </w:rPr>
        <w:instrText xml:space="preserve"> PAGEREF _Toc242191310 \h </w:instrText>
      </w:r>
      <w:r>
        <w:rPr>
          <w:noProof/>
        </w:rPr>
      </w:r>
      <w:r>
        <w:rPr>
          <w:noProof/>
        </w:rPr>
        <w:fldChar w:fldCharType="separate"/>
      </w:r>
      <w:r>
        <w:rPr>
          <w:noProof/>
        </w:rPr>
        <w:t>107</w:t>
      </w:r>
      <w:r>
        <w:rPr>
          <w:noProof/>
        </w:rPr>
        <w:fldChar w:fldCharType="end"/>
      </w:r>
    </w:p>
    <w:p w14:paraId="70A92F30" w14:textId="25FA7B34"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Belgische parlementaire praktijk</w:t>
      </w:r>
      <w:r>
        <w:rPr>
          <w:noProof/>
        </w:rPr>
        <w:tab/>
      </w:r>
      <w:r>
        <w:rPr>
          <w:noProof/>
        </w:rPr>
        <w:fldChar w:fldCharType="begin"/>
      </w:r>
      <w:r>
        <w:rPr>
          <w:noProof/>
        </w:rPr>
        <w:instrText xml:space="preserve"> PAGEREF _Toc242191311 \h </w:instrText>
      </w:r>
      <w:r>
        <w:rPr>
          <w:noProof/>
        </w:rPr>
      </w:r>
      <w:r>
        <w:rPr>
          <w:noProof/>
        </w:rPr>
        <w:fldChar w:fldCharType="separate"/>
      </w:r>
      <w:r>
        <w:rPr>
          <w:noProof/>
        </w:rPr>
        <w:t>108</w:t>
      </w:r>
      <w:r>
        <w:rPr>
          <w:noProof/>
        </w:rPr>
        <w:fldChar w:fldCharType="end"/>
      </w:r>
    </w:p>
    <w:p w14:paraId="25843578" w14:textId="2717577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Nederlandse parlementaire praktijk</w:t>
      </w:r>
      <w:r>
        <w:rPr>
          <w:noProof/>
        </w:rPr>
        <w:tab/>
      </w:r>
      <w:r>
        <w:rPr>
          <w:noProof/>
        </w:rPr>
        <w:fldChar w:fldCharType="begin"/>
      </w:r>
      <w:r>
        <w:rPr>
          <w:noProof/>
        </w:rPr>
        <w:instrText xml:space="preserve"> PAGEREF _Toc242191312 \h </w:instrText>
      </w:r>
      <w:r>
        <w:rPr>
          <w:noProof/>
        </w:rPr>
      </w:r>
      <w:r>
        <w:rPr>
          <w:noProof/>
        </w:rPr>
        <w:fldChar w:fldCharType="separate"/>
      </w:r>
      <w:r>
        <w:rPr>
          <w:noProof/>
        </w:rPr>
        <w:t>109</w:t>
      </w:r>
      <w:r>
        <w:rPr>
          <w:noProof/>
        </w:rPr>
        <w:fldChar w:fldCharType="end"/>
      </w:r>
    </w:p>
    <w:p w14:paraId="5C04038D" w14:textId="2413330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De verschillen op een rij</w:t>
      </w:r>
      <w:r>
        <w:rPr>
          <w:noProof/>
        </w:rPr>
        <w:tab/>
      </w:r>
      <w:r>
        <w:rPr>
          <w:noProof/>
        </w:rPr>
        <w:fldChar w:fldCharType="begin"/>
      </w:r>
      <w:r>
        <w:rPr>
          <w:noProof/>
        </w:rPr>
        <w:instrText xml:space="preserve"> PAGEREF _Toc242191313 \h </w:instrText>
      </w:r>
      <w:r>
        <w:rPr>
          <w:noProof/>
        </w:rPr>
      </w:r>
      <w:r>
        <w:rPr>
          <w:noProof/>
        </w:rPr>
        <w:fldChar w:fldCharType="separate"/>
      </w:r>
      <w:r>
        <w:rPr>
          <w:noProof/>
        </w:rPr>
        <w:t>110</w:t>
      </w:r>
      <w:r>
        <w:rPr>
          <w:noProof/>
        </w:rPr>
        <w:fldChar w:fldCharType="end"/>
      </w:r>
    </w:p>
    <w:p w14:paraId="21091297" w14:textId="78D59980"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F — De kracht van de framing</w:t>
      </w:r>
      <w:r>
        <w:rPr>
          <w:noProof/>
        </w:rPr>
        <w:tab/>
      </w:r>
      <w:r>
        <w:rPr>
          <w:noProof/>
        </w:rPr>
        <w:fldChar w:fldCharType="begin"/>
      </w:r>
      <w:r>
        <w:rPr>
          <w:noProof/>
        </w:rPr>
        <w:instrText xml:space="preserve"> PAGEREF _Toc242191314 \h </w:instrText>
      </w:r>
      <w:r>
        <w:rPr>
          <w:noProof/>
        </w:rPr>
      </w:r>
      <w:r>
        <w:rPr>
          <w:noProof/>
        </w:rPr>
        <w:fldChar w:fldCharType="separate"/>
      </w:r>
      <w:r>
        <w:rPr>
          <w:noProof/>
        </w:rPr>
        <w:t>111</w:t>
      </w:r>
      <w:r>
        <w:rPr>
          <w:noProof/>
        </w:rPr>
        <w:fldChar w:fldCharType="end"/>
      </w:r>
    </w:p>
    <w:p w14:paraId="741AE094" w14:textId="3BA2D6F5"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G — Wat dit dossier doet</w:t>
      </w:r>
      <w:r>
        <w:rPr>
          <w:noProof/>
        </w:rPr>
        <w:tab/>
      </w:r>
      <w:r>
        <w:rPr>
          <w:noProof/>
        </w:rPr>
        <w:fldChar w:fldCharType="begin"/>
      </w:r>
      <w:r>
        <w:rPr>
          <w:noProof/>
        </w:rPr>
        <w:instrText xml:space="preserve"> PAGEREF _Toc242191315 \h </w:instrText>
      </w:r>
      <w:r>
        <w:rPr>
          <w:noProof/>
        </w:rPr>
      </w:r>
      <w:r>
        <w:rPr>
          <w:noProof/>
        </w:rPr>
        <w:fldChar w:fldCharType="separate"/>
      </w:r>
      <w:r>
        <w:rPr>
          <w:noProof/>
        </w:rPr>
        <w:t>112</w:t>
      </w:r>
      <w:r>
        <w:rPr>
          <w:noProof/>
        </w:rPr>
        <w:fldChar w:fldCharType="end"/>
      </w:r>
    </w:p>
    <w:p w14:paraId="462670AC" w14:textId="46E4B02C"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adel</w:t>
      </w:r>
      <w:r>
        <w:rPr>
          <w:noProof/>
        </w:rPr>
        <w:tab/>
      </w:r>
      <w:r>
        <w:rPr>
          <w:noProof/>
        </w:rPr>
        <w:fldChar w:fldCharType="begin"/>
      </w:r>
      <w:r>
        <w:rPr>
          <w:noProof/>
        </w:rPr>
        <w:instrText xml:space="preserve"> PAGEREF _Toc242191316 \h </w:instrText>
      </w:r>
      <w:r>
        <w:rPr>
          <w:noProof/>
        </w:rPr>
      </w:r>
      <w:r>
        <w:rPr>
          <w:noProof/>
        </w:rPr>
        <w:fldChar w:fldCharType="separate"/>
      </w:r>
      <w:r>
        <w:rPr>
          <w:noProof/>
        </w:rPr>
        <w:t>113</w:t>
      </w:r>
      <w:r>
        <w:rPr>
          <w:noProof/>
        </w:rPr>
        <w:fldChar w:fldCharType="end"/>
      </w:r>
    </w:p>
    <w:p w14:paraId="4BBD4755" w14:textId="4C2356F5"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De formele macht: wat de koning wel en niet kan</w:t>
      </w:r>
      <w:r>
        <w:rPr>
          <w:noProof/>
        </w:rPr>
        <w:tab/>
      </w:r>
      <w:r>
        <w:rPr>
          <w:noProof/>
        </w:rPr>
        <w:fldChar w:fldCharType="begin"/>
      </w:r>
      <w:r>
        <w:rPr>
          <w:noProof/>
        </w:rPr>
        <w:instrText xml:space="preserve"> PAGEREF _Toc242191317 \h </w:instrText>
      </w:r>
      <w:r>
        <w:rPr>
          <w:noProof/>
        </w:rPr>
      </w:r>
      <w:r>
        <w:rPr>
          <w:noProof/>
        </w:rPr>
        <w:fldChar w:fldCharType="separate"/>
      </w:r>
      <w:r>
        <w:rPr>
          <w:noProof/>
        </w:rPr>
        <w:t>113</w:t>
      </w:r>
      <w:r>
        <w:rPr>
          <w:noProof/>
        </w:rPr>
        <w:fldChar w:fldCharType="end"/>
      </w:r>
    </w:p>
    <w:p w14:paraId="37666158" w14:textId="57CEE58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Het petitierecht</w:t>
      </w:r>
      <w:r>
        <w:rPr>
          <w:noProof/>
        </w:rPr>
        <w:tab/>
      </w:r>
      <w:r>
        <w:rPr>
          <w:noProof/>
        </w:rPr>
        <w:fldChar w:fldCharType="begin"/>
      </w:r>
      <w:r>
        <w:rPr>
          <w:noProof/>
        </w:rPr>
        <w:instrText xml:space="preserve"> PAGEREF _Toc242191318 \h </w:instrText>
      </w:r>
      <w:r>
        <w:rPr>
          <w:noProof/>
        </w:rPr>
      </w:r>
      <w:r>
        <w:rPr>
          <w:noProof/>
        </w:rPr>
        <w:fldChar w:fldCharType="separate"/>
      </w:r>
      <w:r>
        <w:rPr>
          <w:noProof/>
        </w:rPr>
        <w:t>113</w:t>
      </w:r>
      <w:r>
        <w:rPr>
          <w:noProof/>
        </w:rPr>
        <w:fldChar w:fldCharType="end"/>
      </w:r>
    </w:p>
    <w:p w14:paraId="6DB14229" w14:textId="2EE14A0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praktijk: hoe petities worden behandeld</w:t>
      </w:r>
      <w:r>
        <w:rPr>
          <w:noProof/>
        </w:rPr>
        <w:tab/>
      </w:r>
      <w:r>
        <w:rPr>
          <w:noProof/>
        </w:rPr>
        <w:fldChar w:fldCharType="begin"/>
      </w:r>
      <w:r>
        <w:rPr>
          <w:noProof/>
        </w:rPr>
        <w:instrText xml:space="preserve"> PAGEREF _Toc242191319 \h </w:instrText>
      </w:r>
      <w:r>
        <w:rPr>
          <w:noProof/>
        </w:rPr>
      </w:r>
      <w:r>
        <w:rPr>
          <w:noProof/>
        </w:rPr>
        <w:fldChar w:fldCharType="separate"/>
      </w:r>
      <w:r>
        <w:rPr>
          <w:noProof/>
        </w:rPr>
        <w:t>114</w:t>
      </w:r>
      <w:r>
        <w:rPr>
          <w:noProof/>
        </w:rPr>
        <w:fldChar w:fldCharType="end"/>
      </w:r>
    </w:p>
    <w:p w14:paraId="44440CE4" w14:textId="31DC4E1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De paradox van het informele kanaal</w:t>
      </w:r>
      <w:r>
        <w:rPr>
          <w:noProof/>
        </w:rPr>
        <w:tab/>
      </w:r>
      <w:r>
        <w:rPr>
          <w:noProof/>
        </w:rPr>
        <w:fldChar w:fldCharType="begin"/>
      </w:r>
      <w:r>
        <w:rPr>
          <w:noProof/>
        </w:rPr>
        <w:instrText xml:space="preserve"> PAGEREF _Toc242191320 \h </w:instrText>
      </w:r>
      <w:r>
        <w:rPr>
          <w:noProof/>
        </w:rPr>
      </w:r>
      <w:r>
        <w:rPr>
          <w:noProof/>
        </w:rPr>
        <w:fldChar w:fldCharType="separate"/>
      </w:r>
      <w:r>
        <w:rPr>
          <w:noProof/>
        </w:rPr>
        <w:t>114</w:t>
      </w:r>
      <w:r>
        <w:rPr>
          <w:noProof/>
        </w:rPr>
        <w:fldChar w:fldCharType="end"/>
      </w:r>
    </w:p>
    <w:p w14:paraId="01AF532F" w14:textId="4CEF470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E — De praktijk in dit dossier</w:t>
      </w:r>
      <w:r>
        <w:rPr>
          <w:noProof/>
        </w:rPr>
        <w:tab/>
      </w:r>
      <w:r>
        <w:rPr>
          <w:noProof/>
        </w:rPr>
        <w:fldChar w:fldCharType="begin"/>
      </w:r>
      <w:r>
        <w:rPr>
          <w:noProof/>
        </w:rPr>
        <w:instrText xml:space="preserve"> PAGEREF _Toc242191321 \h </w:instrText>
      </w:r>
      <w:r>
        <w:rPr>
          <w:noProof/>
        </w:rPr>
      </w:r>
      <w:r>
        <w:rPr>
          <w:noProof/>
        </w:rPr>
        <w:fldChar w:fldCharType="separate"/>
      </w:r>
      <w:r>
        <w:rPr>
          <w:noProof/>
        </w:rPr>
        <w:t>115</w:t>
      </w:r>
      <w:r>
        <w:rPr>
          <w:noProof/>
        </w:rPr>
        <w:fldChar w:fldCharType="end"/>
      </w:r>
    </w:p>
    <w:p w14:paraId="3E16E912" w14:textId="647CBA3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F — Wat dit hoofdstuk vaststelt</w:t>
      </w:r>
      <w:r>
        <w:rPr>
          <w:noProof/>
        </w:rPr>
        <w:tab/>
      </w:r>
      <w:r>
        <w:rPr>
          <w:noProof/>
        </w:rPr>
        <w:fldChar w:fldCharType="begin"/>
      </w:r>
      <w:r>
        <w:rPr>
          <w:noProof/>
        </w:rPr>
        <w:instrText xml:space="preserve"> PAGEREF _Toc242191322 \h </w:instrText>
      </w:r>
      <w:r>
        <w:rPr>
          <w:noProof/>
        </w:rPr>
      </w:r>
      <w:r>
        <w:rPr>
          <w:noProof/>
        </w:rPr>
        <w:fldChar w:fldCharType="separate"/>
      </w:r>
      <w:r>
        <w:rPr>
          <w:noProof/>
        </w:rPr>
        <w:t>115</w:t>
      </w:r>
      <w:r>
        <w:rPr>
          <w:noProof/>
        </w:rPr>
        <w:fldChar w:fldCharType="end"/>
      </w:r>
    </w:p>
    <w:p w14:paraId="0FF83DD2" w14:textId="1CC88B1E"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bondgenoten en de waakhond</w:t>
      </w:r>
      <w:r>
        <w:rPr>
          <w:noProof/>
        </w:rPr>
        <w:tab/>
      </w:r>
      <w:r>
        <w:rPr>
          <w:noProof/>
        </w:rPr>
        <w:fldChar w:fldCharType="begin"/>
      </w:r>
      <w:r>
        <w:rPr>
          <w:noProof/>
        </w:rPr>
        <w:instrText xml:space="preserve"> PAGEREF _Toc242191323 \h </w:instrText>
      </w:r>
      <w:r>
        <w:rPr>
          <w:noProof/>
        </w:rPr>
      </w:r>
      <w:r>
        <w:rPr>
          <w:noProof/>
        </w:rPr>
        <w:fldChar w:fldCharType="separate"/>
      </w:r>
      <w:r>
        <w:rPr>
          <w:noProof/>
        </w:rPr>
        <w:t>117</w:t>
      </w:r>
      <w:r>
        <w:rPr>
          <w:noProof/>
        </w:rPr>
        <w:fldChar w:fldCharType="end"/>
      </w:r>
    </w:p>
    <w:p w14:paraId="41686972" w14:textId="500C941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A — ACV: de vakbond die helpt en stopt</w:t>
      </w:r>
      <w:r>
        <w:rPr>
          <w:noProof/>
        </w:rPr>
        <w:tab/>
      </w:r>
      <w:r>
        <w:rPr>
          <w:noProof/>
        </w:rPr>
        <w:fldChar w:fldCharType="begin"/>
      </w:r>
      <w:r>
        <w:rPr>
          <w:noProof/>
        </w:rPr>
        <w:instrText xml:space="preserve"> PAGEREF _Toc242191324 \h </w:instrText>
      </w:r>
      <w:r>
        <w:rPr>
          <w:noProof/>
        </w:rPr>
      </w:r>
      <w:r>
        <w:rPr>
          <w:noProof/>
        </w:rPr>
        <w:fldChar w:fldCharType="separate"/>
      </w:r>
      <w:r>
        <w:rPr>
          <w:noProof/>
        </w:rPr>
        <w:t>117</w:t>
      </w:r>
      <w:r>
        <w:rPr>
          <w:noProof/>
        </w:rPr>
        <w:fldChar w:fldCharType="end"/>
      </w:r>
    </w:p>
    <w:p w14:paraId="5DA2112E" w14:textId="3BE42737"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B — UNIA: de waakhond die niet mag bijten</w:t>
      </w:r>
      <w:r>
        <w:rPr>
          <w:noProof/>
        </w:rPr>
        <w:tab/>
      </w:r>
      <w:r>
        <w:rPr>
          <w:noProof/>
        </w:rPr>
        <w:fldChar w:fldCharType="begin"/>
      </w:r>
      <w:r>
        <w:rPr>
          <w:noProof/>
        </w:rPr>
        <w:instrText xml:space="preserve"> PAGEREF _Toc242191325 \h </w:instrText>
      </w:r>
      <w:r>
        <w:rPr>
          <w:noProof/>
        </w:rPr>
      </w:r>
      <w:r>
        <w:rPr>
          <w:noProof/>
        </w:rPr>
        <w:fldChar w:fldCharType="separate"/>
      </w:r>
      <w:r>
        <w:rPr>
          <w:noProof/>
        </w:rPr>
        <w:t>118</w:t>
      </w:r>
      <w:r>
        <w:rPr>
          <w:noProof/>
        </w:rPr>
        <w:fldChar w:fldCharType="end"/>
      </w:r>
    </w:p>
    <w:p w14:paraId="2D79F897" w14:textId="129C262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C — De academische observatielaag</w:t>
      </w:r>
      <w:r>
        <w:rPr>
          <w:noProof/>
        </w:rPr>
        <w:tab/>
      </w:r>
      <w:r>
        <w:rPr>
          <w:noProof/>
        </w:rPr>
        <w:fldChar w:fldCharType="begin"/>
      </w:r>
      <w:r>
        <w:rPr>
          <w:noProof/>
        </w:rPr>
        <w:instrText xml:space="preserve"> PAGEREF _Toc242191326 \h </w:instrText>
      </w:r>
      <w:r>
        <w:rPr>
          <w:noProof/>
        </w:rPr>
      </w:r>
      <w:r>
        <w:rPr>
          <w:noProof/>
        </w:rPr>
        <w:fldChar w:fldCharType="separate"/>
      </w:r>
      <w:r>
        <w:rPr>
          <w:noProof/>
        </w:rPr>
        <w:t>119</w:t>
      </w:r>
      <w:r>
        <w:rPr>
          <w:noProof/>
        </w:rPr>
        <w:fldChar w:fldCharType="end"/>
      </w:r>
    </w:p>
    <w:p w14:paraId="3B427B64" w14:textId="58745DA5"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Deel D — Wat dit hoofdstuk vaststelt</w:t>
      </w:r>
      <w:r>
        <w:rPr>
          <w:noProof/>
        </w:rPr>
        <w:tab/>
      </w:r>
      <w:r>
        <w:rPr>
          <w:noProof/>
        </w:rPr>
        <w:fldChar w:fldCharType="begin"/>
      </w:r>
      <w:r>
        <w:rPr>
          <w:noProof/>
        </w:rPr>
        <w:instrText xml:space="preserve"> PAGEREF _Toc242191327 \h </w:instrText>
      </w:r>
      <w:r>
        <w:rPr>
          <w:noProof/>
        </w:rPr>
      </w:r>
      <w:r>
        <w:rPr>
          <w:noProof/>
        </w:rPr>
        <w:fldChar w:fldCharType="separate"/>
      </w:r>
      <w:r>
        <w:rPr>
          <w:noProof/>
        </w:rPr>
        <w:t>120</w:t>
      </w:r>
      <w:r>
        <w:rPr>
          <w:noProof/>
        </w:rPr>
        <w:fldChar w:fldCharType="end"/>
      </w:r>
    </w:p>
    <w:p w14:paraId="0084908F" w14:textId="757AC22F" w:rsidR="006B5103" w:rsidRDefault="006B5103" w:rsidP="006B5103">
      <w:pPr>
        <w:pStyle w:val="Inhopg1"/>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VII. Slot</w:t>
      </w:r>
      <w:r>
        <w:rPr>
          <w:noProof/>
        </w:rPr>
        <w:tab/>
      </w:r>
      <w:r>
        <w:rPr>
          <w:noProof/>
        </w:rPr>
        <w:fldChar w:fldCharType="begin"/>
      </w:r>
      <w:r>
        <w:rPr>
          <w:noProof/>
        </w:rPr>
        <w:instrText xml:space="preserve"> PAGEREF _Toc242191328 \h </w:instrText>
      </w:r>
      <w:r>
        <w:rPr>
          <w:noProof/>
        </w:rPr>
      </w:r>
      <w:r>
        <w:rPr>
          <w:noProof/>
        </w:rPr>
        <w:fldChar w:fldCharType="separate"/>
      </w:r>
      <w:r>
        <w:rPr>
          <w:noProof/>
        </w:rPr>
        <w:t>122</w:t>
      </w:r>
      <w:r>
        <w:rPr>
          <w:noProof/>
        </w:rPr>
        <w:fldChar w:fldCharType="end"/>
      </w:r>
    </w:p>
    <w:p w14:paraId="78AA80A2" w14:textId="21CAE152"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Slot — de volledige piramide</w:t>
      </w:r>
      <w:r>
        <w:rPr>
          <w:noProof/>
        </w:rPr>
        <w:tab/>
      </w:r>
      <w:r>
        <w:rPr>
          <w:noProof/>
        </w:rPr>
        <w:fldChar w:fldCharType="begin"/>
      </w:r>
      <w:r>
        <w:rPr>
          <w:noProof/>
        </w:rPr>
        <w:instrText xml:space="preserve"> PAGEREF _Toc242191329 \h </w:instrText>
      </w:r>
      <w:r>
        <w:rPr>
          <w:noProof/>
        </w:rPr>
      </w:r>
      <w:r>
        <w:rPr>
          <w:noProof/>
        </w:rPr>
        <w:fldChar w:fldCharType="separate"/>
      </w:r>
      <w:r>
        <w:rPr>
          <w:noProof/>
        </w:rPr>
        <w:t>122</w:t>
      </w:r>
      <w:r>
        <w:rPr>
          <w:noProof/>
        </w:rPr>
        <w:fldChar w:fldCharType="end"/>
      </w:r>
    </w:p>
    <w:p w14:paraId="4015BA05" w14:textId="15165866"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piramide</w:t>
      </w:r>
      <w:r>
        <w:rPr>
          <w:noProof/>
        </w:rPr>
        <w:tab/>
      </w:r>
      <w:r>
        <w:rPr>
          <w:noProof/>
        </w:rPr>
        <w:fldChar w:fldCharType="begin"/>
      </w:r>
      <w:r>
        <w:rPr>
          <w:noProof/>
        </w:rPr>
        <w:instrText xml:space="preserve"> PAGEREF _Toc242191330 \h </w:instrText>
      </w:r>
      <w:r>
        <w:rPr>
          <w:noProof/>
        </w:rPr>
      </w:r>
      <w:r>
        <w:rPr>
          <w:noProof/>
        </w:rPr>
        <w:fldChar w:fldCharType="separate"/>
      </w:r>
      <w:r>
        <w:rPr>
          <w:noProof/>
        </w:rPr>
        <w:t>122</w:t>
      </w:r>
      <w:r>
        <w:rPr>
          <w:noProof/>
        </w:rPr>
        <w:fldChar w:fldCharType="end"/>
      </w:r>
    </w:p>
    <w:p w14:paraId="1C8E17E0" w14:textId="791EB852"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dossier heeft laten zien</w:t>
      </w:r>
      <w:r>
        <w:rPr>
          <w:noProof/>
        </w:rPr>
        <w:tab/>
      </w:r>
      <w:r>
        <w:rPr>
          <w:noProof/>
        </w:rPr>
        <w:fldChar w:fldCharType="begin"/>
      </w:r>
      <w:r>
        <w:rPr>
          <w:noProof/>
        </w:rPr>
        <w:instrText xml:space="preserve"> PAGEREF _Toc242191331 \h </w:instrText>
      </w:r>
      <w:r>
        <w:rPr>
          <w:noProof/>
        </w:rPr>
      </w:r>
      <w:r>
        <w:rPr>
          <w:noProof/>
        </w:rPr>
        <w:fldChar w:fldCharType="separate"/>
      </w:r>
      <w:r>
        <w:rPr>
          <w:noProof/>
        </w:rPr>
        <w:t>122</w:t>
      </w:r>
      <w:r>
        <w:rPr>
          <w:noProof/>
        </w:rPr>
        <w:fldChar w:fldCharType="end"/>
      </w:r>
    </w:p>
    <w:p w14:paraId="1236BFD9" w14:textId="5E7C257D"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De brug naar Document D</w:t>
      </w:r>
      <w:r>
        <w:rPr>
          <w:noProof/>
        </w:rPr>
        <w:tab/>
      </w:r>
      <w:r>
        <w:rPr>
          <w:noProof/>
        </w:rPr>
        <w:fldChar w:fldCharType="begin"/>
      </w:r>
      <w:r>
        <w:rPr>
          <w:noProof/>
        </w:rPr>
        <w:instrText xml:space="preserve"> PAGEREF _Toc242191332 \h </w:instrText>
      </w:r>
      <w:r>
        <w:rPr>
          <w:noProof/>
        </w:rPr>
      </w:r>
      <w:r>
        <w:rPr>
          <w:noProof/>
        </w:rPr>
        <w:fldChar w:fldCharType="separate"/>
      </w:r>
      <w:r>
        <w:rPr>
          <w:noProof/>
        </w:rPr>
        <w:t>123</w:t>
      </w:r>
      <w:r>
        <w:rPr>
          <w:noProof/>
        </w:rPr>
        <w:fldChar w:fldCharType="end"/>
      </w:r>
    </w:p>
    <w:p w14:paraId="596AA8A5" w14:textId="6BA663A8" w:rsidR="006B5103" w:rsidRDefault="006B5103" w:rsidP="006B5103">
      <w:pPr>
        <w:pStyle w:val="Inhopg2"/>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Het volledige netwerk</w:t>
      </w:r>
      <w:r>
        <w:rPr>
          <w:noProof/>
        </w:rPr>
        <w:tab/>
      </w:r>
      <w:r>
        <w:rPr>
          <w:noProof/>
        </w:rPr>
        <w:fldChar w:fldCharType="begin"/>
      </w:r>
      <w:r>
        <w:rPr>
          <w:noProof/>
        </w:rPr>
        <w:instrText xml:space="preserve"> PAGEREF _Toc242191333 \h </w:instrText>
      </w:r>
      <w:r>
        <w:rPr>
          <w:noProof/>
        </w:rPr>
      </w:r>
      <w:r>
        <w:rPr>
          <w:noProof/>
        </w:rPr>
        <w:fldChar w:fldCharType="separate"/>
      </w:r>
      <w:r>
        <w:rPr>
          <w:noProof/>
        </w:rPr>
        <w:t>124</w:t>
      </w:r>
      <w:r>
        <w:rPr>
          <w:noProof/>
        </w:rPr>
        <w:fldChar w:fldCharType="end"/>
      </w:r>
    </w:p>
    <w:p w14:paraId="6BD4A059" w14:textId="51E28F51"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het gezin ziet</w:t>
      </w:r>
      <w:r>
        <w:rPr>
          <w:noProof/>
        </w:rPr>
        <w:tab/>
      </w:r>
      <w:r>
        <w:rPr>
          <w:noProof/>
        </w:rPr>
        <w:fldChar w:fldCharType="begin"/>
      </w:r>
      <w:r>
        <w:rPr>
          <w:noProof/>
        </w:rPr>
        <w:instrText xml:space="preserve"> PAGEREF _Toc242191334 \h </w:instrText>
      </w:r>
      <w:r>
        <w:rPr>
          <w:noProof/>
        </w:rPr>
      </w:r>
      <w:r>
        <w:rPr>
          <w:noProof/>
        </w:rPr>
        <w:fldChar w:fldCharType="separate"/>
      </w:r>
      <w:r>
        <w:rPr>
          <w:noProof/>
        </w:rPr>
        <w:t>124</w:t>
      </w:r>
      <w:r>
        <w:rPr>
          <w:noProof/>
        </w:rPr>
        <w:fldChar w:fldCharType="end"/>
      </w:r>
    </w:p>
    <w:p w14:paraId="57187170" w14:textId="4512434E"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dit schema doet</w:t>
      </w:r>
      <w:r>
        <w:rPr>
          <w:noProof/>
        </w:rPr>
        <w:tab/>
      </w:r>
      <w:r>
        <w:rPr>
          <w:noProof/>
        </w:rPr>
        <w:fldChar w:fldCharType="begin"/>
      </w:r>
      <w:r>
        <w:rPr>
          <w:noProof/>
        </w:rPr>
        <w:instrText xml:space="preserve"> PAGEREF _Toc242191335 \h </w:instrText>
      </w:r>
      <w:r>
        <w:rPr>
          <w:noProof/>
        </w:rPr>
      </w:r>
      <w:r>
        <w:rPr>
          <w:noProof/>
        </w:rPr>
        <w:fldChar w:fldCharType="separate"/>
      </w:r>
      <w:r>
        <w:rPr>
          <w:noProof/>
        </w:rPr>
        <w:t>125</w:t>
      </w:r>
      <w:r>
        <w:rPr>
          <w:noProof/>
        </w:rPr>
        <w:fldChar w:fldCharType="end"/>
      </w:r>
    </w:p>
    <w:p w14:paraId="5FC4C04F" w14:textId="77E7364F" w:rsidR="006B5103" w:rsidRDefault="006B5103" w:rsidP="006B5103">
      <w:pPr>
        <w:pStyle w:val="Inhopg3"/>
        <w:tabs>
          <w:tab w:val="right" w:leader="dot" w:pos="9062"/>
        </w:tabs>
        <w:divId w:val="1156414812"/>
        <w:rPr>
          <w:rFonts w:asciiTheme="minorHAnsi" w:hAnsiTheme="minorHAnsi" w:cstheme="minorBidi"/>
          <w:noProof/>
          <w:kern w:val="2"/>
          <w:sz w:val="24"/>
          <w14:ligatures w14:val="standardContextual"/>
        </w:rPr>
      </w:pPr>
      <w:r w:rsidRPr="00C22CA6">
        <w:rPr>
          <w:rFonts w:eastAsia="Times New Roman"/>
          <w:noProof/>
          <w:lang w:val="nl-NL"/>
        </w:rPr>
        <w:t>Wat er niet in staat</w:t>
      </w:r>
      <w:r>
        <w:rPr>
          <w:noProof/>
        </w:rPr>
        <w:tab/>
      </w:r>
      <w:r>
        <w:rPr>
          <w:noProof/>
        </w:rPr>
        <w:fldChar w:fldCharType="begin"/>
      </w:r>
      <w:r>
        <w:rPr>
          <w:noProof/>
        </w:rPr>
        <w:instrText xml:space="preserve"> PAGEREF _Toc242191336 \h </w:instrText>
      </w:r>
      <w:r>
        <w:rPr>
          <w:noProof/>
        </w:rPr>
      </w:r>
      <w:r>
        <w:rPr>
          <w:noProof/>
        </w:rPr>
        <w:fldChar w:fldCharType="separate"/>
      </w:r>
      <w:r>
        <w:rPr>
          <w:noProof/>
        </w:rPr>
        <w:t>125</w:t>
      </w:r>
      <w:r>
        <w:rPr>
          <w:noProof/>
        </w:rPr>
        <w:fldChar w:fldCharType="end"/>
      </w:r>
    </w:p>
    <w:p w14:paraId="1AD46418" w14:textId="1A1282C0" w:rsidR="006B5103" w:rsidRDefault="006B5103" w:rsidP="006B5103">
      <w:pPr>
        <w:pStyle w:val="marker"/>
        <w:divId w:val="1156414812"/>
        <w:rPr>
          <w:lang w:val="nl-NL"/>
        </w:rPr>
      </w:pPr>
      <w:r>
        <w:rPr>
          <w:lang w:val="nl-NL"/>
        </w:rPr>
        <w:fldChar w:fldCharType="end"/>
      </w:r>
    </w:p>
    <w:p w14:paraId="5F078036" w14:textId="77777777" w:rsidR="006B5103" w:rsidRDefault="006B5103">
      <w:pPr>
        <w:pStyle w:val="marker"/>
        <w:ind w:left="800" w:right="800"/>
        <w:divId w:val="2114661829"/>
        <w:rPr>
          <w:lang w:val="nl-NL"/>
        </w:rPr>
      </w:pPr>
      <w:r>
        <w:br w:type="page"/>
      </w:r>
    </w:p>
    <w:p w14:paraId="5811D67D" w14:textId="77777777" w:rsidR="006B5103" w:rsidRDefault="006B5103">
      <w:pPr>
        <w:pStyle w:val="Kop1"/>
        <w:divId w:val="2114661829"/>
        <w:rPr>
          <w:rFonts w:eastAsia="Times New Roman"/>
          <w:lang w:val="nl-NL"/>
        </w:rPr>
      </w:pPr>
      <w:bookmarkStart w:id="1" w:name="_Toc242191178"/>
      <w:r>
        <w:rPr>
          <w:rFonts w:eastAsia="Times New Roman"/>
          <w:lang w:val="nl-NL"/>
        </w:rPr>
        <w:t>Inleiding en leeswijzer</w:t>
      </w:r>
      <w:bookmarkEnd w:id="1"/>
    </w:p>
    <w:p w14:paraId="3F5E50B4" w14:textId="77777777" w:rsidR="006B5103" w:rsidRDefault="006B5103">
      <w:pPr>
        <w:pStyle w:val="lead"/>
        <w:divId w:val="2114661829"/>
        <w:rPr>
          <w:lang w:val="nl-NL"/>
        </w:rPr>
      </w:pPr>
      <w:r>
        <w:rPr>
          <w:lang w:val="nl-NL"/>
        </w:rPr>
        <w:t>Document C is het visuele document van het Systeem-Audit-project. Het toont in één oogopslag wat in de andere documenten verspreid staat: de structuur van het netwerk, de doorstroming tussen instanties, en de mechanismen die het falen veroorzaken.</w:t>
      </w:r>
    </w:p>
    <w:p w14:paraId="204AD452" w14:textId="77777777" w:rsidR="006B5103" w:rsidRDefault="006B5103">
      <w:pPr>
        <w:pStyle w:val="Kop2"/>
        <w:divId w:val="2114661829"/>
        <w:rPr>
          <w:rFonts w:eastAsia="Times New Roman"/>
          <w:lang w:val="nl-NL"/>
        </w:rPr>
      </w:pPr>
      <w:bookmarkStart w:id="2" w:name="_Toc242191179"/>
      <w:r>
        <w:rPr>
          <w:rFonts w:eastAsia="Times New Roman"/>
          <w:lang w:val="nl-NL"/>
        </w:rPr>
        <w:t>Wat dit document is</w:t>
      </w:r>
      <w:bookmarkEnd w:id="2"/>
    </w:p>
    <w:p w14:paraId="71C019D7" w14:textId="77777777" w:rsidR="006B5103" w:rsidRDefault="006B5103">
      <w:pPr>
        <w:pStyle w:val="Normaalweb"/>
        <w:divId w:val="2114661829"/>
        <w:rPr>
          <w:lang w:val="nl-NL"/>
        </w:rPr>
      </w:pPr>
      <w:r>
        <w:rPr>
          <w:lang w:val="nl-NL"/>
        </w:rPr>
        <w:t xml:space="preserve">Document C is geen herhaling van de andere documenten in beeldvorm. Het is een eigen perspectief dat alleen in schema's bestaat. Waar Document A het verhaal vertelt, Document B de feiten ordent, en Document D de conclusies trekt, toont Document C de </w:t>
      </w:r>
      <w:r>
        <w:rPr>
          <w:rStyle w:val="Zwaar"/>
          <w:lang w:val="nl-NL"/>
        </w:rPr>
        <w:t>architectuur</w:t>
      </w:r>
      <w:r>
        <w:rPr>
          <w:lang w:val="nl-NL"/>
        </w:rPr>
        <w:t xml:space="preserve"> die aan al die feiten ten grondslag ligt.</w:t>
      </w:r>
    </w:p>
    <w:p w14:paraId="71AC34F4" w14:textId="77777777" w:rsidR="006B5103" w:rsidRDefault="006B5103">
      <w:pPr>
        <w:pStyle w:val="Normaalweb"/>
        <w:divId w:val="2114661829"/>
        <w:rPr>
          <w:lang w:val="nl-NL"/>
        </w:rPr>
      </w:pPr>
      <w:r>
        <w:rPr>
          <w:lang w:val="nl-NL"/>
        </w:rPr>
        <w:t>Het document is opgebouwd als een reeks hoofdstukken. Elk hoofdstuk is een eigen schema met korte tekst. Geen doorlopend verhaal, geen lange analyses. Elk schema toont één mechanisme, één patroon, of één verband dat in de andere documenten wel te vinden is, maar nooit in één oogopslag.</w:t>
      </w:r>
    </w:p>
    <w:p w14:paraId="76786B8D" w14:textId="77777777" w:rsidR="006B5103" w:rsidRDefault="006B5103">
      <w:pPr>
        <w:pStyle w:val="Kop2"/>
        <w:divId w:val="2114661829"/>
        <w:rPr>
          <w:rFonts w:eastAsia="Times New Roman"/>
          <w:lang w:val="nl-NL"/>
        </w:rPr>
      </w:pPr>
      <w:bookmarkStart w:id="3" w:name="_Toc242191180"/>
      <w:r>
        <w:rPr>
          <w:rFonts w:eastAsia="Times New Roman"/>
          <w:lang w:val="nl-NL"/>
        </w:rPr>
        <w:t>Het verschil met de andere documenten</w:t>
      </w:r>
      <w:bookmarkEnd w:id="3"/>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52AB47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4C2E442" w14:textId="77777777" w:rsidR="006B5103" w:rsidRDefault="006B5103">
            <w:pPr>
              <w:pStyle w:val="Normaalweb"/>
              <w:spacing w:before="120"/>
              <w:jc w:val="center"/>
              <w:rPr>
                <w:sz w:val="21"/>
                <w:szCs w:val="21"/>
              </w:rPr>
            </w:pPr>
            <w:r>
              <w:rPr>
                <w:noProof/>
                <w:sz w:val="21"/>
                <w:szCs w:val="21"/>
              </w:rPr>
              <w:drawing>
                <wp:inline distT="0" distB="0" distL="0" distR="0" wp14:anchorId="6ABBA591" wp14:editId="18DACE78">
                  <wp:extent cx="5715000" cy="17589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5715000" cy="1758950"/>
                          </a:xfrm>
                          <a:prstGeom prst="rect">
                            <a:avLst/>
                          </a:prstGeom>
                          <a:noFill/>
                          <a:ln>
                            <a:noFill/>
                          </a:ln>
                        </pic:spPr>
                      </pic:pic>
                    </a:graphicData>
                  </a:graphic>
                </wp:inline>
              </w:drawing>
            </w:r>
          </w:p>
          <w:p w14:paraId="43BB57F9" w14:textId="77777777" w:rsidR="006B5103" w:rsidRDefault="006B5103">
            <w:pPr>
              <w:pStyle w:val="caption"/>
              <w:spacing w:after="120" w:afterAutospacing="0"/>
            </w:pPr>
            <w:r>
              <w:rPr>
                <w:rStyle w:val="Zwaar"/>
              </w:rPr>
              <w:t>Figuur 0.1 — De vijf documenten.</w:t>
            </w:r>
            <w:r>
              <w:t xml:space="preserve"> Elk document heeft een eigen functie. Document 0 is de inleiding en leeswijzer, Document A is de narratieve audit, Document B is de data-matrix, Document C is de visuele architectuur, Document D is de synthese. Document C toont de architectuur die aan alles ten grondslag ligt.</w:t>
            </w:r>
          </w:p>
        </w:tc>
      </w:tr>
    </w:tbl>
    <w:p w14:paraId="52590361" w14:textId="77777777" w:rsidR="006B5103" w:rsidRDefault="006B5103">
      <w:pPr>
        <w:pStyle w:val="Kop2"/>
        <w:divId w:val="2114661829"/>
        <w:rPr>
          <w:rFonts w:eastAsia="Times New Roman"/>
          <w:lang w:val="nl-NL"/>
        </w:rPr>
      </w:pPr>
      <w:bookmarkStart w:id="4" w:name="_Toc242191181"/>
      <w:r>
        <w:rPr>
          <w:rFonts w:eastAsia="Times New Roman"/>
          <w:lang w:val="nl-NL"/>
        </w:rPr>
        <w:t>De vaste grammatica</w:t>
      </w:r>
      <w:bookmarkEnd w:id="4"/>
    </w:p>
    <w:p w14:paraId="3BE38026" w14:textId="77777777" w:rsidR="006B5103" w:rsidRDefault="006B5103">
      <w:pPr>
        <w:pStyle w:val="Normaalweb"/>
        <w:divId w:val="2114661829"/>
        <w:rPr>
          <w:lang w:val="nl-NL"/>
        </w:rPr>
      </w:pPr>
      <w:r>
        <w:rPr>
          <w:lang w:val="nl-NL"/>
        </w:rPr>
        <w:t>Elk hoofdstuk van Document C gebruikt dezelfde visuele taal. Wie die taal eenmaal kent, kan elk schema lezen. Hier volgt het vocabulaire.</w:t>
      </w:r>
    </w:p>
    <w:p w14:paraId="21B7F877" w14:textId="77777777" w:rsidR="006B5103" w:rsidRDefault="006B5103">
      <w:pPr>
        <w:pStyle w:val="Kop3"/>
        <w:divId w:val="2114661829"/>
        <w:rPr>
          <w:rFonts w:eastAsia="Times New Roman"/>
          <w:lang w:val="nl-NL"/>
        </w:rPr>
      </w:pPr>
      <w:bookmarkStart w:id="5" w:name="_Toc242191182"/>
      <w:r>
        <w:rPr>
          <w:rFonts w:eastAsia="Times New Roman"/>
          <w:lang w:val="nl-NL"/>
        </w:rPr>
        <w:t>De twee werelden</w:t>
      </w:r>
      <w:bookmarkEnd w:id="5"/>
    </w:p>
    <w:p w14:paraId="29C3ABB9" w14:textId="77777777" w:rsidR="006B5103" w:rsidRDefault="006B5103">
      <w:pPr>
        <w:pStyle w:val="Normaalweb"/>
        <w:divId w:val="2114661829"/>
        <w:rPr>
          <w:lang w:val="nl-NL"/>
        </w:rPr>
      </w:pPr>
      <w:r>
        <w:rPr>
          <w:lang w:val="nl-NL"/>
        </w:rPr>
        <w:lastRenderedPageBreak/>
        <w:t xml:space="preserve">België en Nederland worden getoond als twee </w:t>
      </w:r>
      <w:r>
        <w:rPr>
          <w:rStyle w:val="Zwaar"/>
          <w:lang w:val="nl-NL"/>
        </w:rPr>
        <w:t>werelden</w:t>
      </w:r>
      <w:r>
        <w:rPr>
          <w:lang w:val="nl-NL"/>
        </w:rPr>
        <w:t xml:space="preserve">: starre, gesloten systemen die hun regels niet aanpassen voor een burger die in twee landen tegelijk leeft. Beide werelden zijn opgebouwd uit </w:t>
      </w:r>
      <w:r>
        <w:rPr>
          <w:rStyle w:val="Zwaar"/>
          <w:lang w:val="nl-NL"/>
        </w:rPr>
        <w:t>vier concentrische lagen</w:t>
      </w:r>
      <w:r>
        <w:rPr>
          <w:lang w:val="nl-NL"/>
        </w:rPr>
        <w:t>: uitvoering, toezicht, politiek, symboliek.</w:t>
      </w:r>
    </w:p>
    <w:p w14:paraId="529F9E6A" w14:textId="77777777" w:rsidR="006B5103" w:rsidRDefault="006B5103">
      <w:pPr>
        <w:pStyle w:val="Kop3"/>
        <w:divId w:val="2114661829"/>
        <w:rPr>
          <w:rFonts w:eastAsia="Times New Roman"/>
          <w:lang w:val="nl-NL"/>
        </w:rPr>
      </w:pPr>
      <w:bookmarkStart w:id="6" w:name="_Toc242191183"/>
      <w:r>
        <w:rPr>
          <w:rFonts w:eastAsia="Times New Roman"/>
          <w:lang w:val="nl-NL"/>
        </w:rPr>
        <w:t>Het membraan</w:t>
      </w:r>
      <w:bookmarkEnd w:id="6"/>
    </w:p>
    <w:p w14:paraId="508D29EA" w14:textId="77777777" w:rsidR="006B5103" w:rsidRDefault="006B5103">
      <w:pPr>
        <w:pStyle w:val="Normaalweb"/>
        <w:divId w:val="2114661829"/>
        <w:rPr>
          <w:lang w:val="nl-NL"/>
        </w:rPr>
      </w:pPr>
      <w:r>
        <w:rPr>
          <w:lang w:val="nl-NL"/>
        </w:rPr>
        <w:t xml:space="preserve">Tussen de twee werelden leeft het gezin. Het gezin is geen bol maar een </w:t>
      </w:r>
      <w:r>
        <w:rPr>
          <w:rStyle w:val="Zwaar"/>
          <w:lang w:val="nl-NL"/>
        </w:rPr>
        <w:t>membraan</w:t>
      </w:r>
      <w:r>
        <w:rPr>
          <w:lang w:val="nl-NL"/>
        </w:rPr>
        <w:t>: een flexibele, doorzichtige vorm die rekt en krimpt naargelang wat de dag vraagt. In het weekend helemaal in Nederland, op werkdagen uitgestrekt over beide werelden.</w:t>
      </w:r>
    </w:p>
    <w:p w14:paraId="528DD4F1" w14:textId="77777777" w:rsidR="006B5103" w:rsidRDefault="006B5103">
      <w:pPr>
        <w:pStyle w:val="Kop3"/>
        <w:divId w:val="2114661829"/>
        <w:rPr>
          <w:rFonts w:eastAsia="Times New Roman"/>
          <w:lang w:val="nl-NL"/>
        </w:rPr>
      </w:pPr>
      <w:bookmarkStart w:id="7" w:name="_Toc242191184"/>
      <w:r>
        <w:rPr>
          <w:rFonts w:eastAsia="Times New Roman"/>
          <w:lang w:val="nl-NL"/>
        </w:rPr>
        <w:t>De drie kanalen</w:t>
      </w:r>
      <w:bookmarkEnd w:id="7"/>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97420A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62F00B6" w14:textId="77777777" w:rsidR="006B5103" w:rsidRDefault="006B5103">
            <w:pPr>
              <w:pStyle w:val="Normaalweb"/>
              <w:spacing w:before="120"/>
              <w:jc w:val="center"/>
              <w:rPr>
                <w:sz w:val="21"/>
                <w:szCs w:val="21"/>
              </w:rPr>
            </w:pPr>
            <w:r>
              <w:rPr>
                <w:noProof/>
                <w:sz w:val="21"/>
                <w:szCs w:val="21"/>
              </w:rPr>
              <w:drawing>
                <wp:inline distT="0" distB="0" distL="0" distR="0" wp14:anchorId="0BFB918A" wp14:editId="1D2F8D04">
                  <wp:extent cx="5715000" cy="15621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5715000" cy="1562100"/>
                          </a:xfrm>
                          <a:prstGeom prst="rect">
                            <a:avLst/>
                          </a:prstGeom>
                          <a:noFill/>
                          <a:ln>
                            <a:noFill/>
                          </a:ln>
                        </pic:spPr>
                      </pic:pic>
                    </a:graphicData>
                  </a:graphic>
                </wp:inline>
              </w:drawing>
            </w:r>
          </w:p>
          <w:p w14:paraId="743B13D1" w14:textId="77777777" w:rsidR="006B5103" w:rsidRDefault="006B5103">
            <w:pPr>
              <w:pStyle w:val="caption"/>
              <w:spacing w:after="120" w:afterAutospacing="0"/>
            </w:pPr>
            <w:r>
              <w:rPr>
                <w:rStyle w:val="Zwaar"/>
              </w:rPr>
              <w:t>Figuur 0.2 — De drie kanalen.</w:t>
            </w:r>
            <w:r>
              <w:t xml:space="preserve"> Het karakter van een kanaal bepaalt of gegevens doorstromen, wringen of volledig geblokkeerd worden. Kanaal 1 werkt voor controle en heffing achteraf; niet voor de voorafgaande informatiepositie van de burger.</w:t>
            </w:r>
          </w:p>
        </w:tc>
      </w:tr>
    </w:tbl>
    <w:p w14:paraId="171482F4" w14:textId="77777777" w:rsidR="006B5103" w:rsidRDefault="006B5103">
      <w:pPr>
        <w:pStyle w:val="Kop3"/>
        <w:divId w:val="2114661829"/>
        <w:rPr>
          <w:rFonts w:eastAsia="Times New Roman"/>
          <w:lang w:val="nl-NL"/>
        </w:rPr>
      </w:pPr>
      <w:bookmarkStart w:id="8" w:name="_Toc242191185"/>
      <w:r>
        <w:rPr>
          <w:rFonts w:eastAsia="Times New Roman"/>
          <w:lang w:val="nl-NL"/>
        </w:rPr>
        <w:t>De kleuren</w:t>
      </w:r>
      <w:bookmarkEnd w:id="8"/>
    </w:p>
    <w:p w14:paraId="08F0828A" w14:textId="77777777" w:rsidR="006B5103" w:rsidRDefault="006B5103">
      <w:pPr>
        <w:pStyle w:val="Normaalweb"/>
        <w:divId w:val="2114661829"/>
        <w:rPr>
          <w:lang w:val="nl-NL"/>
        </w:rPr>
      </w:pPr>
      <w:r>
        <w:rPr>
          <w:lang w:val="nl-NL"/>
        </w:rPr>
        <w:t>In de schema's worden verbindingen gekleurd op basis van wat er gebeurt:</w:t>
      </w:r>
    </w:p>
    <w:p w14:paraId="0DCCAEF2" w14:textId="77777777" w:rsidR="006B5103" w:rsidRDefault="006B5103">
      <w:pPr>
        <w:numPr>
          <w:ilvl w:val="0"/>
          <w:numId w:val="1"/>
        </w:numPr>
        <w:spacing w:before="100" w:beforeAutospacing="1" w:after="100" w:afterAutospacing="1"/>
        <w:divId w:val="2114661829"/>
        <w:rPr>
          <w:rFonts w:eastAsia="Times New Roman"/>
          <w:lang w:val="nl-NL"/>
        </w:rPr>
      </w:pPr>
      <w:r>
        <w:rPr>
          <w:rStyle w:val="Zwaar"/>
          <w:rFonts w:eastAsia="Times New Roman"/>
          <w:lang w:val="nl-NL"/>
        </w:rPr>
        <w:t>Groen</w:t>
      </w:r>
      <w:r>
        <w:rPr>
          <w:rFonts w:eastAsia="Times New Roman"/>
          <w:lang w:val="nl-NL"/>
        </w:rPr>
        <w:t xml:space="preserve"> — de doorstroming werkt. Automatisch, zonder vertraging, zonder menselijke tussenkomst.</w:t>
      </w:r>
    </w:p>
    <w:p w14:paraId="00601FFB" w14:textId="77777777" w:rsidR="006B5103" w:rsidRDefault="006B5103">
      <w:pPr>
        <w:numPr>
          <w:ilvl w:val="0"/>
          <w:numId w:val="1"/>
        </w:numPr>
        <w:spacing w:before="100" w:beforeAutospacing="1" w:after="100" w:afterAutospacing="1"/>
        <w:divId w:val="2114661829"/>
        <w:rPr>
          <w:rFonts w:eastAsia="Times New Roman"/>
          <w:lang w:val="nl-NL"/>
        </w:rPr>
      </w:pPr>
      <w:r>
        <w:rPr>
          <w:rStyle w:val="Zwaar"/>
          <w:rFonts w:eastAsia="Times New Roman"/>
          <w:lang w:val="nl-NL"/>
        </w:rPr>
        <w:t>Oranje</w:t>
      </w:r>
      <w:r>
        <w:rPr>
          <w:rFonts w:eastAsia="Times New Roman"/>
          <w:lang w:val="nl-NL"/>
        </w:rPr>
        <w:t xml:space="preserve"> — het wringt. Er is een kanaal, maar het is smal, eenmalig of vertraagd.</w:t>
      </w:r>
    </w:p>
    <w:p w14:paraId="02B79E27" w14:textId="77777777" w:rsidR="006B5103" w:rsidRDefault="006B5103">
      <w:pPr>
        <w:numPr>
          <w:ilvl w:val="0"/>
          <w:numId w:val="1"/>
        </w:numPr>
        <w:spacing w:before="100" w:beforeAutospacing="1" w:after="100" w:afterAutospacing="1"/>
        <w:divId w:val="2114661829"/>
        <w:rPr>
          <w:rFonts w:eastAsia="Times New Roman"/>
          <w:lang w:val="nl-NL"/>
        </w:rPr>
      </w:pPr>
      <w:r>
        <w:rPr>
          <w:rStyle w:val="Zwaar"/>
          <w:rFonts w:eastAsia="Times New Roman"/>
          <w:lang w:val="nl-NL"/>
        </w:rPr>
        <w:t>Rood</w:t>
      </w:r>
      <w:r>
        <w:rPr>
          <w:rFonts w:eastAsia="Times New Roman"/>
          <w:lang w:val="nl-NL"/>
        </w:rPr>
        <w:t xml:space="preserve"> — het is geblokkeerd. Er is geen kanaal, of het kanaal is gesloten.</w:t>
      </w:r>
    </w:p>
    <w:p w14:paraId="593AF9F6" w14:textId="77777777" w:rsidR="006B5103" w:rsidRDefault="006B5103">
      <w:pPr>
        <w:pStyle w:val="Kop2"/>
        <w:divId w:val="2114661829"/>
        <w:rPr>
          <w:rFonts w:eastAsia="Times New Roman"/>
          <w:lang w:val="nl-NL"/>
        </w:rPr>
      </w:pPr>
      <w:bookmarkStart w:id="9" w:name="_Toc242191186"/>
      <w:r>
        <w:rPr>
          <w:rFonts w:eastAsia="Times New Roman"/>
          <w:lang w:val="nl-NL"/>
        </w:rPr>
        <w:t>De volgorde van dit document</w:t>
      </w:r>
      <w:bookmarkEnd w:id="9"/>
    </w:p>
    <w:p w14:paraId="469438A2" w14:textId="77777777" w:rsidR="006B5103" w:rsidRDefault="006B5103">
      <w:pPr>
        <w:pStyle w:val="Normaalweb"/>
        <w:divId w:val="2114661829"/>
        <w:rPr>
          <w:lang w:val="nl-NL"/>
        </w:rPr>
      </w:pPr>
      <w:r>
        <w:rPr>
          <w:lang w:val="nl-NL"/>
        </w:rPr>
        <w:t>Document C volgt de menselijke volgorde. Het begint bij de mens, daarna bij België (omdat de auteur Belg is), dan bij Nederland, dan tussen beide landen heen en weer, dan naar Europa, dan naar wie naar Europa kijkt, en ten slotte naar de wereld die het geheel zou moeten zien.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091942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F4D7671" w14:textId="77777777" w:rsidR="006B5103" w:rsidRDefault="006B5103">
            <w:pPr>
              <w:pStyle w:val="Normaalweb"/>
              <w:spacing w:before="120"/>
              <w:jc w:val="center"/>
              <w:rPr>
                <w:sz w:val="21"/>
                <w:szCs w:val="21"/>
              </w:rPr>
            </w:pPr>
            <w:r>
              <w:rPr>
                <w:noProof/>
                <w:sz w:val="21"/>
                <w:szCs w:val="21"/>
              </w:rPr>
              <w:lastRenderedPageBreak/>
              <w:drawing>
                <wp:inline distT="0" distB="0" distL="0" distR="0" wp14:anchorId="3D16BE84" wp14:editId="44418781">
                  <wp:extent cx="5715000" cy="21780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5715000" cy="2178050"/>
                          </a:xfrm>
                          <a:prstGeom prst="rect">
                            <a:avLst/>
                          </a:prstGeom>
                          <a:noFill/>
                          <a:ln>
                            <a:noFill/>
                          </a:ln>
                        </pic:spPr>
                      </pic:pic>
                    </a:graphicData>
                  </a:graphic>
                </wp:inline>
              </w:drawing>
            </w:r>
          </w:p>
          <w:p w14:paraId="19C5B3DB" w14:textId="77777777" w:rsidR="006B5103" w:rsidRDefault="006B5103">
            <w:pPr>
              <w:pStyle w:val="caption"/>
              <w:spacing w:after="120" w:afterAutospacing="0"/>
            </w:pPr>
            <w:r>
              <w:rPr>
                <w:rStyle w:val="Zwaar"/>
              </w:rPr>
              <w:t>Figuur 0.3 — De weg door dit document.</w:t>
            </w:r>
            <w:r>
              <w:t xml:space="preserve"> Zeven blokken, in de volgorde van de menselijke werkelijkheid: van het lichaam, via de twee landen, naar Europa, naar wie toekijkt, en ten slotte naar het slot.</w:t>
            </w:r>
          </w:p>
        </w:tc>
      </w:tr>
    </w:tbl>
    <w:p w14:paraId="7BEC78F9" w14:textId="77777777" w:rsidR="006B5103" w:rsidRDefault="006B5103">
      <w:pPr>
        <w:pStyle w:val="Kop2"/>
        <w:divId w:val="2114661829"/>
        <w:rPr>
          <w:rFonts w:eastAsia="Times New Roman"/>
          <w:lang w:val="nl-NL"/>
        </w:rPr>
      </w:pPr>
      <w:bookmarkStart w:id="10" w:name="_Toc242191187"/>
      <w:r>
        <w:rPr>
          <w:rFonts w:eastAsia="Times New Roman"/>
          <w:lang w:val="nl-NL"/>
        </w:rPr>
        <w:t>Hoe je het leest</w:t>
      </w:r>
      <w:bookmarkEnd w:id="10"/>
    </w:p>
    <w:p w14:paraId="39E9D122" w14:textId="77777777" w:rsidR="006B5103" w:rsidRDefault="006B5103">
      <w:pPr>
        <w:pStyle w:val="Normaalweb"/>
        <w:divId w:val="2114661829"/>
        <w:rPr>
          <w:lang w:val="nl-NL"/>
        </w:rPr>
      </w:pPr>
      <w:r>
        <w:rPr>
          <w:lang w:val="nl-NL"/>
        </w:rPr>
        <w:t>Document C is niet bedoeld om in één keer van voor naar achter te worden gelezen. Elk hoofdstuk staat op zichzelf. De lezer kan zelf zijn weg kiezen.</w:t>
      </w:r>
    </w:p>
    <w:p w14:paraId="5A08D5C0" w14:textId="77777777" w:rsidR="006B5103" w:rsidRDefault="006B5103">
      <w:pPr>
        <w:pStyle w:val="Normaalweb"/>
        <w:divId w:val="2114661829"/>
        <w:rPr>
          <w:lang w:val="nl-NL"/>
        </w:rPr>
      </w:pPr>
      <w:r>
        <w:rPr>
          <w:rStyle w:val="Zwaar"/>
          <w:lang w:val="nl-NL"/>
        </w:rPr>
        <w:t>Voor wie het geheel wil begrijpen:</w:t>
      </w:r>
      <w:r>
        <w:rPr>
          <w:lang w:val="nl-NL"/>
        </w:rPr>
        <w:t xml:space="preserve"> begin bij Blok I (De mens), daarna volgen de blokken in volgorde. Zo bouwt het beeld zich stap voor stap op: van de mens, via de twee landen, naar Europa, naar wie toekijkt, naar het slot.</w:t>
      </w:r>
    </w:p>
    <w:p w14:paraId="1FFCFCC5" w14:textId="77777777" w:rsidR="006B5103" w:rsidRDefault="006B5103">
      <w:pPr>
        <w:pStyle w:val="Normaalweb"/>
        <w:divId w:val="2114661829"/>
        <w:rPr>
          <w:lang w:val="nl-NL"/>
        </w:rPr>
      </w:pPr>
      <w:r>
        <w:rPr>
          <w:rStyle w:val="Zwaar"/>
          <w:lang w:val="nl-NL"/>
        </w:rPr>
        <w:t>Voor wie specifiek geïnteresseerd is in één onderwerp:</w:t>
      </w:r>
      <w:r>
        <w:rPr>
          <w:lang w:val="nl-NL"/>
        </w:rPr>
        <w:t xml:space="preserve"> kies het bijbehorende hoofdstuk. De koppelverkoop, de cascade, het UWV, CZ, de gemeente, de Belastingdienst, de Europese laag — elk heeft een eigen hoofdstuk.</w:t>
      </w:r>
    </w:p>
    <w:p w14:paraId="4779D91F" w14:textId="77777777" w:rsidR="006B5103" w:rsidRDefault="006B5103">
      <w:pPr>
        <w:pStyle w:val="Normaalweb"/>
        <w:divId w:val="2114661829"/>
        <w:rPr>
          <w:lang w:val="nl-NL"/>
        </w:rPr>
      </w:pPr>
      <w:r>
        <w:rPr>
          <w:rStyle w:val="Zwaar"/>
          <w:lang w:val="nl-NL"/>
        </w:rPr>
        <w:t>Voor wie het volledige netwerk wil zien:</w:t>
      </w:r>
      <w:r>
        <w:rPr>
          <w:lang w:val="nl-NL"/>
        </w:rPr>
        <w:t xml:space="preserve"> lees Blok I (De mens) eerst, daarna het slot. Die twee samen geven de structuur in één oogopslag.</w:t>
      </w:r>
    </w:p>
    <w:p w14:paraId="288B6603" w14:textId="77777777" w:rsidR="006B5103" w:rsidRDefault="006B5103">
      <w:pPr>
        <w:pStyle w:val="Kop2"/>
        <w:divId w:val="2114661829"/>
        <w:rPr>
          <w:rFonts w:eastAsia="Times New Roman"/>
          <w:lang w:val="nl-NL"/>
        </w:rPr>
      </w:pPr>
      <w:bookmarkStart w:id="11" w:name="_Toc242191188"/>
      <w:r>
        <w:rPr>
          <w:rFonts w:eastAsia="Times New Roman"/>
          <w:lang w:val="nl-NL"/>
        </w:rPr>
        <w:t>Wat de lezer kan verwachten</w:t>
      </w:r>
      <w:bookmarkEnd w:id="11"/>
    </w:p>
    <w:p w14:paraId="06D53C36" w14:textId="77777777" w:rsidR="006B5103" w:rsidRDefault="006B5103">
      <w:pPr>
        <w:numPr>
          <w:ilvl w:val="0"/>
          <w:numId w:val="2"/>
        </w:numPr>
        <w:spacing w:before="100" w:beforeAutospacing="1" w:after="100" w:afterAutospacing="1"/>
        <w:divId w:val="2114661829"/>
        <w:rPr>
          <w:rFonts w:eastAsia="Times New Roman"/>
          <w:lang w:val="nl-NL"/>
        </w:rPr>
      </w:pPr>
      <w:r>
        <w:rPr>
          <w:rFonts w:eastAsia="Times New Roman"/>
          <w:lang w:val="nl-NL"/>
        </w:rPr>
        <w:t>Elk schema heeft een eigen titel en een korte toelichting onder het figuur.</w:t>
      </w:r>
    </w:p>
    <w:p w14:paraId="3D73A328" w14:textId="77777777" w:rsidR="006B5103" w:rsidRDefault="006B5103">
      <w:pPr>
        <w:numPr>
          <w:ilvl w:val="0"/>
          <w:numId w:val="2"/>
        </w:numPr>
        <w:spacing w:before="100" w:beforeAutospacing="1" w:after="100" w:afterAutospacing="1"/>
        <w:divId w:val="2114661829"/>
        <w:rPr>
          <w:rFonts w:eastAsia="Times New Roman"/>
          <w:lang w:val="nl-NL"/>
        </w:rPr>
      </w:pPr>
      <w:r>
        <w:rPr>
          <w:rFonts w:eastAsia="Times New Roman"/>
          <w:lang w:val="nl-NL"/>
        </w:rPr>
        <w:t>Organisaties worden getoond als blokken of als genummerde dots op een ring. Namen zijn publiek en worden vermeld.</w:t>
      </w:r>
    </w:p>
    <w:p w14:paraId="18471092" w14:textId="77777777" w:rsidR="006B5103" w:rsidRDefault="006B5103">
      <w:pPr>
        <w:numPr>
          <w:ilvl w:val="0"/>
          <w:numId w:val="2"/>
        </w:numPr>
        <w:spacing w:before="100" w:beforeAutospacing="1" w:after="100" w:afterAutospacing="1"/>
        <w:divId w:val="2114661829"/>
        <w:rPr>
          <w:rFonts w:eastAsia="Times New Roman"/>
          <w:lang w:val="nl-NL"/>
        </w:rPr>
      </w:pPr>
      <w:r>
        <w:rPr>
          <w:rFonts w:eastAsia="Times New Roman"/>
          <w:lang w:val="nl-NL"/>
        </w:rPr>
        <w:t>Natuurlijke personen worden aangeduid met hun functie of hun symbool. Nooit met hun naam.</w:t>
      </w:r>
    </w:p>
    <w:p w14:paraId="79537F1C" w14:textId="77777777" w:rsidR="006B5103" w:rsidRDefault="006B5103">
      <w:pPr>
        <w:numPr>
          <w:ilvl w:val="0"/>
          <w:numId w:val="2"/>
        </w:numPr>
        <w:spacing w:before="100" w:beforeAutospacing="1" w:after="100" w:afterAutospacing="1"/>
        <w:divId w:val="2114661829"/>
        <w:rPr>
          <w:rFonts w:eastAsia="Times New Roman"/>
          <w:lang w:val="nl-NL"/>
        </w:rPr>
      </w:pPr>
      <w:r>
        <w:rPr>
          <w:rFonts w:eastAsia="Times New Roman"/>
          <w:lang w:val="nl-NL"/>
        </w:rPr>
        <w:t>Bedragen, datums en referentienummers komen uit Document B. Waar een bedrag of datum onzeker is, wordt dat expliciet vermeld.</w:t>
      </w:r>
    </w:p>
    <w:p w14:paraId="13405FB8" w14:textId="77777777" w:rsidR="006B5103" w:rsidRDefault="006B5103">
      <w:pPr>
        <w:numPr>
          <w:ilvl w:val="0"/>
          <w:numId w:val="2"/>
        </w:numPr>
        <w:spacing w:before="100" w:beforeAutospacing="1" w:after="100" w:afterAutospacing="1"/>
        <w:divId w:val="2114661829"/>
        <w:rPr>
          <w:rFonts w:eastAsia="Times New Roman"/>
          <w:lang w:val="nl-NL"/>
        </w:rPr>
      </w:pPr>
      <w:r>
        <w:rPr>
          <w:rFonts w:eastAsia="Times New Roman"/>
          <w:lang w:val="nl-NL"/>
        </w:rPr>
        <w:t>Waar het schema een patroon toont dat in Document D nader wordt uitgewerkt, staat een verwijzing naar het betreffende hoofdstuk in D.</w:t>
      </w:r>
    </w:p>
    <w:p w14:paraId="27A4C3C7" w14:textId="77777777" w:rsidR="006B5103" w:rsidRDefault="006B5103">
      <w:pPr>
        <w:pStyle w:val="Kop2"/>
        <w:divId w:val="2114661829"/>
        <w:rPr>
          <w:rFonts w:eastAsia="Times New Roman"/>
          <w:lang w:val="nl-NL"/>
        </w:rPr>
      </w:pPr>
      <w:bookmarkStart w:id="12" w:name="_Toc242191189"/>
      <w:r>
        <w:rPr>
          <w:rFonts w:eastAsia="Times New Roman"/>
          <w:lang w:val="nl-NL"/>
        </w:rPr>
        <w:t>De positie van Document C in het geheel</w:t>
      </w:r>
      <w:bookmarkEnd w:id="12"/>
    </w:p>
    <w:p w14:paraId="76F76A07" w14:textId="77777777" w:rsidR="006B5103" w:rsidRDefault="006B5103">
      <w:pPr>
        <w:pStyle w:val="Normaalweb"/>
        <w:divId w:val="2114661829"/>
        <w:rPr>
          <w:lang w:val="nl-NL"/>
        </w:rPr>
      </w:pPr>
      <w:r>
        <w:rPr>
          <w:lang w:val="nl-NL"/>
        </w:rPr>
        <w:lastRenderedPageBreak/>
        <w:t>Document C staat tussen Document B en Document D in. Waar B de feiten vastlegt en D de conclusies trekt, toont C de architectuur die het falen mogelijk maakt. Wie de feiten wil: B. Wie de conclusies wil: D. Wie wil begrijpen waarom de feiten tot deze conclusies leiden: C.</w:t>
      </w:r>
    </w:p>
    <w:p w14:paraId="0CAB8C5A" w14:textId="77777777" w:rsidR="006B5103" w:rsidRDefault="006B5103">
      <w:pPr>
        <w:pStyle w:val="Normaalweb"/>
        <w:divId w:val="2114661829"/>
        <w:rPr>
          <w:lang w:val="nl-NL"/>
        </w:rPr>
      </w:pPr>
      <w:r>
        <w:rPr>
          <w:lang w:val="nl-NL"/>
        </w:rPr>
        <w:t>Wat dit document toont, is de kern van het bevoegdheidsvacuüm in één oogopslag: één lichaam, twee werelden, drie kanalen. En een burger die zich in het gat tussen de twee werelden staande moet houden.</w:t>
      </w:r>
    </w:p>
    <w:p w14:paraId="2C340B46" w14:textId="77777777" w:rsidR="006B5103" w:rsidRDefault="006B5103">
      <w:pPr>
        <w:pStyle w:val="noot"/>
        <w:spacing w:after="120" w:afterAutospacing="0"/>
        <w:divId w:val="2114661829"/>
        <w:rPr>
          <w:lang w:val="nl-NL"/>
        </w:rPr>
      </w:pPr>
      <w:r>
        <w:rPr>
          <w:lang w:val="nl-NL"/>
        </w:rPr>
        <w:t>Dit is Document C — De visuele architectuur. Alle organisaties in dit document zijn rechtspersonen. Natuurlijke personen worden aangeduid met hun functie of hun symbool. De feiten zijn gebaseerd op Document B. De conclusies staan in Document D. Dit document is geen juridisch advies.</w:t>
      </w:r>
    </w:p>
    <w:p w14:paraId="38C5CEEB" w14:textId="77777777" w:rsidR="006B5103" w:rsidRDefault="006B5103">
      <w:pPr>
        <w:pStyle w:val="marker"/>
        <w:ind w:left="800" w:right="800"/>
        <w:divId w:val="2114661829"/>
        <w:rPr>
          <w:lang w:val="nl-NL"/>
        </w:rPr>
      </w:pPr>
      <w:r>
        <w:br w:type="page"/>
      </w:r>
    </w:p>
    <w:p w14:paraId="3D35A0BC" w14:textId="77777777" w:rsidR="006B5103" w:rsidRDefault="006B5103">
      <w:pPr>
        <w:pStyle w:val="Kop1"/>
        <w:divId w:val="2114661829"/>
        <w:rPr>
          <w:rFonts w:eastAsia="Times New Roman"/>
          <w:lang w:val="nl-NL"/>
        </w:rPr>
      </w:pPr>
      <w:bookmarkStart w:id="13" w:name="_Toc242191190"/>
      <w:r>
        <w:rPr>
          <w:rFonts w:eastAsia="Times New Roman"/>
          <w:lang w:val="nl-NL"/>
        </w:rPr>
        <w:t>I. De mens</w:t>
      </w:r>
      <w:bookmarkEnd w:id="13"/>
    </w:p>
    <w:p w14:paraId="4D641607" w14:textId="77777777" w:rsidR="006B5103" w:rsidRDefault="006B5103">
      <w:pPr>
        <w:pStyle w:val="Kop2"/>
        <w:divId w:val="2114661829"/>
        <w:rPr>
          <w:rFonts w:eastAsia="Times New Roman"/>
          <w:lang w:val="nl-NL"/>
        </w:rPr>
      </w:pPr>
      <w:bookmarkStart w:id="14" w:name="_Toc242191191"/>
      <w:r>
        <w:rPr>
          <w:rFonts w:eastAsia="Times New Roman"/>
          <w:lang w:val="nl-NL"/>
        </w:rPr>
        <w:t>De presentatie</w:t>
      </w:r>
      <w:bookmarkEnd w:id="14"/>
    </w:p>
    <w:p w14:paraId="13ADDA32" w14:textId="77777777" w:rsidR="006B5103" w:rsidRDefault="006B5103">
      <w:pPr>
        <w:pStyle w:val="lead"/>
        <w:divId w:val="2114661829"/>
        <w:rPr>
          <w:lang w:val="nl-NL"/>
        </w:rPr>
      </w:pPr>
      <w:r>
        <w:rPr>
          <w:lang w:val="nl-NL"/>
        </w:rPr>
        <w:t>Twee starre werelden. Eén membraan dat rekt en krimpt. Drie kanalen met elk een eigen karakter. En binnen elke wereld vier institutionele ringen die de burger moet doorlopen om iets gedaan te krijgen. Dit hoofdstuk toont het speelbord: wie waar staat, hoe de lagen zijn opgebouwd, en welke actoren in elke laag opereren.</w:t>
      </w:r>
    </w:p>
    <w:p w14:paraId="0F9866DD" w14:textId="77777777" w:rsidR="006B5103" w:rsidRDefault="006B5103">
      <w:pPr>
        <w:pStyle w:val="Kop3"/>
        <w:divId w:val="2114661829"/>
        <w:rPr>
          <w:rFonts w:eastAsia="Times New Roman"/>
          <w:lang w:val="nl-NL"/>
        </w:rPr>
      </w:pPr>
      <w:bookmarkStart w:id="15" w:name="_Toc242191192"/>
      <w:r>
        <w:rPr>
          <w:rFonts w:eastAsia="Times New Roman"/>
          <w:lang w:val="nl-NL"/>
        </w:rPr>
        <w:t>Deel I-A — De structuur</w:t>
      </w:r>
      <w:bookmarkEnd w:id="15"/>
    </w:p>
    <w:p w14:paraId="64AEF6B0" w14:textId="77777777" w:rsidR="006B5103" w:rsidRDefault="006B5103">
      <w:pPr>
        <w:pStyle w:val="Kop4"/>
        <w:divId w:val="2114661829"/>
        <w:rPr>
          <w:rFonts w:eastAsia="Times New Roman"/>
          <w:lang w:val="nl-NL"/>
        </w:rPr>
      </w:pPr>
      <w:r>
        <w:rPr>
          <w:rFonts w:eastAsia="Times New Roman"/>
          <w:lang w:val="nl-NL"/>
        </w:rPr>
        <w:t>De twee werelden</w:t>
      </w:r>
    </w:p>
    <w:p w14:paraId="273AA5F1" w14:textId="77777777" w:rsidR="006B5103" w:rsidRDefault="006B5103">
      <w:pPr>
        <w:pStyle w:val="Normaalweb"/>
        <w:divId w:val="2114661829"/>
        <w:rPr>
          <w:lang w:val="nl-NL"/>
        </w:rPr>
      </w:pPr>
      <w:r>
        <w:rPr>
          <w:lang w:val="nl-NL"/>
        </w:rPr>
        <w:t xml:space="preserve">In dit dossier worden België en Nederland aangeduid als twee </w:t>
      </w:r>
      <w:r>
        <w:rPr>
          <w:rStyle w:val="Zwaar"/>
          <w:lang w:val="nl-NL"/>
        </w:rPr>
        <w:t>werelden</w:t>
      </w:r>
      <w:r>
        <w:rPr>
          <w:lang w:val="nl-NL"/>
        </w:rPr>
        <w:t xml:space="preserve">: </w:t>
      </w:r>
      <w:r>
        <w:rPr>
          <w:rStyle w:val="badge-be1"/>
          <w:lang w:val="nl-NL"/>
        </w:rPr>
        <w:t>Wereld België</w:t>
      </w:r>
      <w:r>
        <w:rPr>
          <w:lang w:val="nl-NL"/>
        </w:rPr>
        <w:t xml:space="preserve"> en </w:t>
      </w:r>
      <w:r>
        <w:rPr>
          <w:rStyle w:val="badge-nl1"/>
          <w:lang w:val="nl-NL"/>
        </w:rPr>
        <w:t>Wereld Nederland</w:t>
      </w:r>
      <w:r>
        <w:rPr>
          <w:lang w:val="nl-NL"/>
        </w:rPr>
        <w:t>. Elke wereld is een intern sluitende, soevereine rechts- en uitvoeringsorde. Voor een burger die zijn volledige levensloop binnen één wereld voltrekt, sluiten de interne schakels in de regel op elkaar aan.</w:t>
      </w:r>
    </w:p>
    <w:p w14:paraId="0FFCC687" w14:textId="77777777" w:rsidR="006B5103" w:rsidRDefault="006B5103">
      <w:pPr>
        <w:pStyle w:val="Normaalweb"/>
        <w:divId w:val="2114661829"/>
        <w:rPr>
          <w:lang w:val="nl-NL"/>
        </w:rPr>
      </w:pPr>
      <w:r>
        <w:rPr>
          <w:lang w:val="nl-NL"/>
        </w:rPr>
        <w:t xml:space="preserve">Beide werelden zijn echter </w:t>
      </w:r>
      <w:r>
        <w:rPr>
          <w:rStyle w:val="Zwaar"/>
          <w:lang w:val="nl-NL"/>
        </w:rPr>
        <w:t>star</w:t>
      </w:r>
      <w:r>
        <w:rPr>
          <w:lang w:val="nl-NL"/>
        </w:rPr>
        <w:t>. Ze ademen niet. Ze passen hun administratieve grenzen niet aan wanneer een burger gebruikmaakt van het recht op vrij verkeer. Elke wereld toetst aanvragen aan uitsluitend nationale definities, nationale medische barèmes en territoriale voorwaarden — het woonplaatsbeginsel tegenover het werklandbeginsel. De twee werelden liggen fysiek tegen elkaar aan bij de staatsgrens en schuren langs elkaar, maar fuseren op uitvoeringsniveau nergens.</w:t>
      </w:r>
    </w:p>
    <w:p w14:paraId="6F58D074" w14:textId="77777777" w:rsidR="006B5103" w:rsidRDefault="006B5103">
      <w:pPr>
        <w:pStyle w:val="Kop4"/>
        <w:divId w:val="2114661829"/>
        <w:rPr>
          <w:rFonts w:eastAsia="Times New Roman"/>
          <w:lang w:val="nl-NL"/>
        </w:rPr>
      </w:pPr>
      <w:r>
        <w:rPr>
          <w:rFonts w:eastAsia="Times New Roman"/>
          <w:lang w:val="nl-NL"/>
        </w:rPr>
        <w:t>Het membraan</w:t>
      </w:r>
    </w:p>
    <w:p w14:paraId="3D41E0CF" w14:textId="77777777" w:rsidR="006B5103" w:rsidRDefault="006B5103">
      <w:pPr>
        <w:pStyle w:val="Normaalweb"/>
        <w:divId w:val="2114661829"/>
        <w:rPr>
          <w:lang w:val="nl-NL"/>
        </w:rPr>
      </w:pPr>
      <w:r>
        <w:rPr>
          <w:lang w:val="nl-NL"/>
        </w:rPr>
        <w:t xml:space="preserve">Tussen de twee starre werelden bevindt zich </w:t>
      </w:r>
      <w:r>
        <w:rPr>
          <w:rStyle w:val="badge-mem1"/>
          <w:lang w:val="nl-NL"/>
        </w:rPr>
        <w:t>het membraan</w:t>
      </w:r>
      <w:r>
        <w:rPr>
          <w:lang w:val="nl-NL"/>
        </w:rPr>
        <w:t>: het gezin. Anders dan de twee nationale stelsels heeft het gezin geen vaste geometrische vorm. Het is een doorzichtige, onregelmatige vorm die moet rekken en krimpen om de incompatibiliteit tussen beide systemen op te vangen. Waar de instituties star blijven, wordt volledige flexibiliteit van de burger geëist.</w:t>
      </w:r>
    </w:p>
    <w:p w14:paraId="235A49FB" w14:textId="77777777" w:rsidR="006B5103" w:rsidRDefault="006B5103">
      <w:pPr>
        <w:pStyle w:val="Normaalweb"/>
        <w:divId w:val="2114661829"/>
        <w:rPr>
          <w:lang w:val="nl-NL"/>
        </w:rPr>
      </w:pPr>
      <w:r>
        <w:rPr>
          <w:lang w:val="nl-NL"/>
        </w:rPr>
        <w:t>Het membraan kent een cyclische beweging met twee standen:</w:t>
      </w:r>
    </w:p>
    <w:p w14:paraId="59D4E16C" w14:textId="77777777" w:rsidR="006B5103" w:rsidRDefault="006B5103">
      <w:pPr>
        <w:numPr>
          <w:ilvl w:val="0"/>
          <w:numId w:val="3"/>
        </w:numPr>
        <w:spacing w:before="100" w:beforeAutospacing="1" w:after="100" w:afterAutospacing="1"/>
        <w:divId w:val="2114661829"/>
        <w:rPr>
          <w:rFonts w:eastAsia="Times New Roman"/>
          <w:lang w:val="nl-NL"/>
        </w:rPr>
      </w:pPr>
      <w:r>
        <w:rPr>
          <w:rStyle w:val="Zwaar"/>
          <w:rFonts w:eastAsia="Times New Roman"/>
          <w:lang w:val="nl-NL"/>
        </w:rPr>
        <w:t>Weekdagstand</w:t>
      </w:r>
      <w:r>
        <w:rPr>
          <w:rFonts w:eastAsia="Times New Roman"/>
          <w:lang w:val="nl-NL"/>
        </w:rPr>
        <w:t xml:space="preserve"> (doorgetrokken contour): het membraan strekt zich uit over beide werelden. Het gezin woont in Nederland, maar steekt dagelijks de grens over voor school, medische behandelingen en lopende procedures aan Belgische zijde.</w:t>
      </w:r>
    </w:p>
    <w:p w14:paraId="56D8D1C3" w14:textId="77777777" w:rsidR="006B5103" w:rsidRDefault="006B5103">
      <w:pPr>
        <w:numPr>
          <w:ilvl w:val="0"/>
          <w:numId w:val="3"/>
        </w:numPr>
        <w:spacing w:before="100" w:beforeAutospacing="1" w:after="100" w:afterAutospacing="1"/>
        <w:divId w:val="2114661829"/>
        <w:rPr>
          <w:rFonts w:eastAsia="Times New Roman"/>
          <w:lang w:val="nl-NL"/>
        </w:rPr>
      </w:pPr>
      <w:r>
        <w:rPr>
          <w:rStyle w:val="Zwaar"/>
          <w:rFonts w:eastAsia="Times New Roman"/>
          <w:lang w:val="nl-NL"/>
        </w:rPr>
        <w:t>Weekendstand</w:t>
      </w:r>
      <w:r>
        <w:rPr>
          <w:rFonts w:eastAsia="Times New Roman"/>
          <w:lang w:val="nl-NL"/>
        </w:rPr>
        <w:t xml:space="preserve"> </w:t>
      </w:r>
      <w:r>
        <w:rPr>
          <w:rFonts w:eastAsia="Times New Roman"/>
          <w:lang w:val="nl-NL"/>
        </w:rPr>
        <w:t>(gestippelde contour): het membraan trekt zich terug binnen de Nederlandse wereld. De fysieke aanwezigheid is dan volledig in Nederland, terwijl de juridische en financiële afhankelijkheid van België onverminderd doorloopt.</w:t>
      </w:r>
    </w:p>
    <w:p w14:paraId="56F40466" w14:textId="77777777" w:rsidR="006B5103" w:rsidRDefault="006B5103">
      <w:pPr>
        <w:pStyle w:val="Normaalweb"/>
        <w:divId w:val="2114661829"/>
        <w:rPr>
          <w:lang w:val="nl-NL"/>
        </w:rPr>
      </w:pPr>
      <w:r>
        <w:rPr>
          <w:lang w:val="nl-NL"/>
        </w:rPr>
        <w:t>Binnen het membraan bevinden zich drie personen, weergegeven met symbolen:</w:t>
      </w:r>
    </w:p>
    <w:p w14:paraId="6A599FBC" w14:textId="77777777" w:rsidR="006B5103" w:rsidRDefault="006B5103">
      <w:pPr>
        <w:numPr>
          <w:ilvl w:val="0"/>
          <w:numId w:val="4"/>
        </w:numPr>
        <w:spacing w:before="100" w:beforeAutospacing="1" w:after="100" w:afterAutospacing="1"/>
        <w:divId w:val="2114661829"/>
        <w:rPr>
          <w:rFonts w:eastAsia="Times New Roman"/>
          <w:lang w:val="nl-NL"/>
        </w:rPr>
      </w:pPr>
      <w:r>
        <w:rPr>
          <w:rStyle w:val="Zwaar"/>
          <w:rFonts w:eastAsia="Times New Roman"/>
          <w:lang w:val="nl-NL"/>
        </w:rPr>
        <w:t>De vader (</w:t>
      </w:r>
      <w:r>
        <w:rPr>
          <w:rStyle w:val="Zwaar"/>
          <w:rFonts w:ascii="Segoe UI Symbol" w:eastAsia="Times New Roman" w:hAnsi="Segoe UI Symbol" w:cs="Segoe UI Symbol"/>
          <w:lang w:val="nl-NL"/>
        </w:rPr>
        <w:t>♂</w:t>
      </w:r>
      <w:r>
        <w:rPr>
          <w:rStyle w:val="Zwaar"/>
          <w:rFonts w:eastAsia="Times New Roman"/>
          <w:lang w:val="nl-NL"/>
        </w:rPr>
        <w:t>)</w:t>
      </w:r>
      <w:r>
        <w:rPr>
          <w:rFonts w:eastAsia="Times New Roman"/>
          <w:lang w:val="nl-NL"/>
        </w:rPr>
        <w:t xml:space="preserve"> — Belg met Franco-Italiaanse origine, geboren in België, woonachtig in Nederland. Zijn arbeids- en ziektegeschiedenis speelt zich af in België; zijn woonplaats en een deel van zijn zorg- en uitkeringsrelaties liggen in Nederland.</w:t>
      </w:r>
    </w:p>
    <w:p w14:paraId="0B51D19B" w14:textId="77777777" w:rsidR="006B5103" w:rsidRDefault="006B5103">
      <w:pPr>
        <w:numPr>
          <w:ilvl w:val="0"/>
          <w:numId w:val="4"/>
        </w:numPr>
        <w:spacing w:before="100" w:beforeAutospacing="1" w:after="100" w:afterAutospacing="1"/>
        <w:divId w:val="2114661829"/>
        <w:rPr>
          <w:rFonts w:eastAsia="Times New Roman"/>
          <w:lang w:val="nl-NL"/>
        </w:rPr>
      </w:pPr>
      <w:r>
        <w:rPr>
          <w:rStyle w:val="Zwaar"/>
          <w:rFonts w:eastAsia="Times New Roman"/>
          <w:lang w:val="nl-NL"/>
        </w:rPr>
        <w:t>De moeder (</w:t>
      </w:r>
      <w:r>
        <w:rPr>
          <w:rStyle w:val="Zwaar"/>
          <w:rFonts w:ascii="Segoe UI Symbol" w:eastAsia="Times New Roman" w:hAnsi="Segoe UI Symbol" w:cs="Segoe UI Symbol"/>
          <w:lang w:val="nl-NL"/>
        </w:rPr>
        <w:t>♀</w:t>
      </w:r>
      <w:r>
        <w:rPr>
          <w:rStyle w:val="Zwaar"/>
          <w:rFonts w:eastAsia="Times New Roman"/>
          <w:lang w:val="nl-NL"/>
        </w:rPr>
        <w:t>)</w:t>
      </w:r>
      <w:r>
        <w:rPr>
          <w:rFonts w:eastAsia="Times New Roman"/>
          <w:lang w:val="nl-NL"/>
        </w:rPr>
        <w:t xml:space="preserve"> — Belgisch, woonachtig in Nederland. Zij werkt in België en vormt de dagelijkse logistieke en administratieve draaischijf tussen de Nederlandse woonomgeving en de Belgische instanties.</w:t>
      </w:r>
    </w:p>
    <w:p w14:paraId="5CE2E6C5" w14:textId="77777777" w:rsidR="006B5103" w:rsidRDefault="006B5103">
      <w:pPr>
        <w:numPr>
          <w:ilvl w:val="0"/>
          <w:numId w:val="4"/>
        </w:numPr>
        <w:spacing w:before="100" w:beforeAutospacing="1" w:after="100" w:afterAutospacing="1"/>
        <w:divId w:val="2114661829"/>
        <w:rPr>
          <w:rFonts w:eastAsia="Times New Roman"/>
          <w:lang w:val="nl-NL"/>
        </w:rPr>
      </w:pPr>
      <w:r>
        <w:rPr>
          <w:rStyle w:val="Zwaar"/>
          <w:rFonts w:eastAsia="Times New Roman"/>
          <w:lang w:val="nl-NL"/>
        </w:rPr>
        <w:t xml:space="preserve">De zoon (kleine </w:t>
      </w:r>
      <w:r>
        <w:rPr>
          <w:rStyle w:val="Zwaar"/>
          <w:rFonts w:ascii="Segoe UI Symbol" w:eastAsia="Times New Roman" w:hAnsi="Segoe UI Symbol" w:cs="Segoe UI Symbol"/>
          <w:lang w:val="nl-NL"/>
        </w:rPr>
        <w:t>♂</w:t>
      </w:r>
      <w:r>
        <w:rPr>
          <w:rStyle w:val="Zwaar"/>
          <w:rFonts w:eastAsia="Times New Roman"/>
          <w:lang w:val="nl-NL"/>
        </w:rPr>
        <w:t>)</w:t>
      </w:r>
      <w:r>
        <w:rPr>
          <w:rFonts w:eastAsia="Times New Roman"/>
          <w:lang w:val="nl-NL"/>
        </w:rPr>
        <w:t xml:space="preserve"> — woont in Nederland, gaat naar school in Vlaanderen. Hij beweegt dagelijks over de grens tussen het Nederlandse woonland en het Vlaamse onderwijs- en gezinsbijslagstelsel.</w:t>
      </w:r>
    </w:p>
    <w:p w14:paraId="07BC0E01" w14:textId="77777777" w:rsidR="006B5103" w:rsidRDefault="006B5103">
      <w:pPr>
        <w:pStyle w:val="Kop4"/>
        <w:divId w:val="2114661829"/>
        <w:rPr>
          <w:rFonts w:eastAsia="Times New Roman"/>
          <w:lang w:val="nl-NL"/>
        </w:rPr>
      </w:pPr>
      <w:r>
        <w:rPr>
          <w:rFonts w:eastAsia="Times New Roman"/>
          <w:lang w:val="nl-NL"/>
        </w:rPr>
        <w:t>De vier institutionele lagen</w:t>
      </w:r>
    </w:p>
    <w:p w14:paraId="5471E832" w14:textId="77777777" w:rsidR="006B5103" w:rsidRDefault="006B5103">
      <w:pPr>
        <w:pStyle w:val="Normaalweb"/>
        <w:divId w:val="2114661829"/>
        <w:rPr>
          <w:lang w:val="nl-NL"/>
        </w:rPr>
      </w:pPr>
      <w:r>
        <w:rPr>
          <w:lang w:val="nl-NL"/>
        </w:rPr>
        <w:t>Elke wereld is van buiten naar binnen opgebouwd uit vier concentrische ringen. Wie in de buitenste laag vastloopt en hogerop bescherming zoekt, beweegt van buiten naar binnen door deze vier lagen:</w:t>
      </w:r>
    </w:p>
    <w:p w14:paraId="30E5A9F8" w14:textId="77777777" w:rsidR="006B5103" w:rsidRDefault="006B5103">
      <w:pPr>
        <w:numPr>
          <w:ilvl w:val="0"/>
          <w:numId w:val="5"/>
        </w:numPr>
        <w:spacing w:before="100" w:beforeAutospacing="1" w:after="100" w:afterAutospacing="1"/>
        <w:divId w:val="2114661829"/>
        <w:rPr>
          <w:rFonts w:eastAsia="Times New Roman"/>
          <w:lang w:val="nl-NL"/>
        </w:rPr>
      </w:pPr>
      <w:r>
        <w:rPr>
          <w:rStyle w:val="Zwaar"/>
          <w:rFonts w:eastAsia="Times New Roman"/>
          <w:lang w:val="nl-NL"/>
        </w:rPr>
        <w:t>Uitvoering</w:t>
      </w:r>
      <w:r>
        <w:rPr>
          <w:rFonts w:eastAsia="Times New Roman"/>
          <w:lang w:val="nl-NL"/>
        </w:rPr>
        <w:t xml:space="preserve"> — de loketten waar de burger rechtstreeks mee te maken heeft: ziekenfondsen, zorgverzekeraars, ziekenhuizen, belastingdiensten, uitkeringsinstanties, gemeenten, nutsbedrijven. Hier worden beslissingen genomen, betalingen verricht of geblokkeerd.</w:t>
      </w:r>
    </w:p>
    <w:p w14:paraId="75B666D5" w14:textId="77777777" w:rsidR="006B5103" w:rsidRDefault="006B5103">
      <w:pPr>
        <w:numPr>
          <w:ilvl w:val="0"/>
          <w:numId w:val="5"/>
        </w:numPr>
        <w:spacing w:before="100" w:beforeAutospacing="1" w:after="100" w:afterAutospacing="1"/>
        <w:divId w:val="2114661829"/>
        <w:rPr>
          <w:rFonts w:eastAsia="Times New Roman"/>
          <w:lang w:val="nl-NL"/>
        </w:rPr>
      </w:pPr>
      <w:r>
        <w:rPr>
          <w:rStyle w:val="Zwaar"/>
          <w:rFonts w:eastAsia="Times New Roman"/>
          <w:lang w:val="nl-NL"/>
        </w:rPr>
        <w:t>Toezicht</w:t>
      </w:r>
      <w:r>
        <w:rPr>
          <w:rFonts w:eastAsia="Times New Roman"/>
          <w:lang w:val="nl-NL"/>
        </w:rPr>
        <w:t xml:space="preserve"> — de controleurs en ombudsdiensten. Zij monitoren het systeem, maar grijpen in individuele grensoverschrijdende dossiers niet dwingend in op de uitvoeringslaag.</w:t>
      </w:r>
    </w:p>
    <w:p w14:paraId="7193EE1D" w14:textId="77777777" w:rsidR="006B5103" w:rsidRDefault="006B5103">
      <w:pPr>
        <w:numPr>
          <w:ilvl w:val="0"/>
          <w:numId w:val="5"/>
        </w:numPr>
        <w:spacing w:before="100" w:beforeAutospacing="1" w:after="100" w:afterAutospacing="1"/>
        <w:divId w:val="2114661829"/>
        <w:rPr>
          <w:rFonts w:eastAsia="Times New Roman"/>
          <w:lang w:val="nl-NL"/>
        </w:rPr>
      </w:pPr>
      <w:r>
        <w:rPr>
          <w:rStyle w:val="Zwaar"/>
          <w:rFonts w:eastAsia="Times New Roman"/>
          <w:lang w:val="nl-NL"/>
        </w:rPr>
        <w:t>Politiek</w:t>
      </w:r>
      <w:r>
        <w:rPr>
          <w:rFonts w:eastAsia="Times New Roman"/>
          <w:lang w:val="nl-NL"/>
        </w:rPr>
        <w:t xml:space="preserve"> — de nationale parlementen, parlementscommissies en politieke partijen. Zij bezitten de formele macht om de wet te wijzigen, maar laten individuele systeemblokkades ongemoeid.</w:t>
      </w:r>
    </w:p>
    <w:p w14:paraId="5322CEBD" w14:textId="77777777" w:rsidR="006B5103" w:rsidRDefault="006B5103">
      <w:pPr>
        <w:numPr>
          <w:ilvl w:val="0"/>
          <w:numId w:val="5"/>
        </w:numPr>
        <w:spacing w:before="100" w:beforeAutospacing="1" w:after="100" w:afterAutospacing="1"/>
        <w:divId w:val="2114661829"/>
        <w:rPr>
          <w:rFonts w:eastAsia="Times New Roman"/>
          <w:lang w:val="nl-NL"/>
        </w:rPr>
      </w:pPr>
      <w:r>
        <w:rPr>
          <w:rStyle w:val="Zwaar"/>
          <w:rFonts w:eastAsia="Times New Roman"/>
          <w:lang w:val="nl-NL"/>
        </w:rPr>
        <w:t>Symboliek</w:t>
      </w:r>
      <w:r>
        <w:rPr>
          <w:rFonts w:eastAsia="Times New Roman"/>
          <w:lang w:val="nl-NL"/>
        </w:rPr>
        <w:t xml:space="preserve"> — de hoogste postbus van de staat: het Koninklijk Paleis in België, het Koninklijk Huis in Nederland. Deze kern bezit geen uitvoerende of corrigerende macht en stuurt verzoekschriften terug naar de politieke of uitvoerende laag.</w:t>
      </w:r>
    </w:p>
    <w:p w14:paraId="7961FA67" w14:textId="77777777" w:rsidR="006B5103" w:rsidRDefault="006B5103">
      <w:pPr>
        <w:pStyle w:val="Kop4"/>
        <w:divId w:val="2114661829"/>
        <w:rPr>
          <w:rFonts w:eastAsia="Times New Roman"/>
          <w:lang w:val="nl-NL"/>
        </w:rPr>
      </w:pPr>
      <w:r>
        <w:rPr>
          <w:rFonts w:eastAsia="Times New Roman"/>
          <w:lang w:val="nl-NL"/>
        </w:rPr>
        <w:t>De drie kanalen tussen de werelden</w:t>
      </w:r>
    </w:p>
    <w:p w14:paraId="3ED04824" w14:textId="77777777" w:rsidR="006B5103" w:rsidRDefault="006B5103">
      <w:pPr>
        <w:pStyle w:val="Normaalweb"/>
        <w:divId w:val="2114661829"/>
        <w:rPr>
          <w:lang w:val="nl-NL"/>
        </w:rPr>
      </w:pPr>
      <w:r>
        <w:rPr>
          <w:lang w:val="nl-NL"/>
        </w:rPr>
        <w:t>Hoewel de twee werelden niet fuseren, bestaan er drie structurele verbindingsassen tussen België en Nederland. Ze tonen een fundamentele asymmetrie tussen wat de staat van de burger weet en wat de staat voor de burger faciliteert.</w:t>
      </w:r>
    </w:p>
    <w:p w14:paraId="576C5755" w14:textId="77777777" w:rsidR="006B5103" w:rsidRDefault="006B5103">
      <w:pPr>
        <w:numPr>
          <w:ilvl w:val="0"/>
          <w:numId w:val="6"/>
        </w:numPr>
        <w:spacing w:before="100" w:beforeAutospacing="1" w:after="100" w:afterAutospacing="1"/>
        <w:divId w:val="2114661829"/>
        <w:rPr>
          <w:rFonts w:eastAsia="Times New Roman"/>
          <w:lang w:val="nl-NL"/>
        </w:rPr>
      </w:pPr>
      <w:r>
        <w:rPr>
          <w:rStyle w:val="Zwaar"/>
          <w:rFonts w:eastAsia="Times New Roman"/>
          <w:lang w:val="nl-NL"/>
        </w:rPr>
        <w:t>Kanaal 1 — dik groen, geautomatiseerd.</w:t>
      </w:r>
      <w:r>
        <w:rPr>
          <w:rFonts w:eastAsia="Times New Roman"/>
          <w:lang w:val="nl-NL"/>
        </w:rPr>
        <w:t xml:space="preserve"> De fiscale en administratieve data-infrastructuur van de EU: de Directive on Administrative Cooperation en de wereldinkomensuitwisseling. Fiscale gegevens stromen automatisch tussen de Belgische FOD Financiën en de Nederlandse Belastingdienst. Op het gebied van controle en heffing weet de overheid alles.</w:t>
      </w:r>
    </w:p>
    <w:p w14:paraId="725F31F1" w14:textId="77777777" w:rsidR="006B5103" w:rsidRDefault="006B5103">
      <w:pPr>
        <w:numPr>
          <w:ilvl w:val="0"/>
          <w:numId w:val="6"/>
        </w:numPr>
        <w:spacing w:before="100" w:beforeAutospacing="1" w:after="100" w:afterAutospacing="1"/>
        <w:divId w:val="2114661829"/>
        <w:rPr>
          <w:rFonts w:eastAsia="Times New Roman"/>
          <w:lang w:val="nl-NL"/>
        </w:rPr>
      </w:pPr>
      <w:r>
        <w:rPr>
          <w:rStyle w:val="Zwaar"/>
          <w:rFonts w:eastAsia="Times New Roman"/>
          <w:lang w:val="nl-NL"/>
        </w:rPr>
        <w:t>Kanaal 2 — smal oranje, eenmalig.</w:t>
      </w:r>
      <w:r>
        <w:rPr>
          <w:rFonts w:eastAsia="Times New Roman"/>
          <w:lang w:val="nl-NL"/>
        </w:rPr>
        <w:t xml:space="preserve"> De verdragspolis tussen het Belgische ziekenfonds en de Nederlandse zorgverzekeraar (S072) en het CAK. Een smalle, eenmalige administratieve buis die standaardvergoedingen afdekt en onmiddellijk wringt zodra zorg of status buiten het standaardformulier valt.</w:t>
      </w:r>
    </w:p>
    <w:p w14:paraId="490BD121" w14:textId="77777777" w:rsidR="006B5103" w:rsidRDefault="006B5103">
      <w:pPr>
        <w:numPr>
          <w:ilvl w:val="0"/>
          <w:numId w:val="6"/>
        </w:numPr>
        <w:spacing w:before="100" w:beforeAutospacing="1" w:after="100" w:afterAutospacing="1"/>
        <w:divId w:val="2114661829"/>
        <w:rPr>
          <w:rFonts w:eastAsia="Times New Roman"/>
          <w:lang w:val="nl-NL"/>
        </w:rPr>
      </w:pPr>
      <w:r>
        <w:rPr>
          <w:rStyle w:val="Zwaar"/>
          <w:rFonts w:eastAsia="Times New Roman"/>
          <w:lang w:val="nl-NL"/>
        </w:rPr>
        <w:t>Kanaal 3 — rood onderbroken, manueel.</w:t>
      </w:r>
      <w:r>
        <w:rPr>
          <w:rFonts w:eastAsia="Times New Roman"/>
          <w:lang w:val="nl-NL"/>
        </w:rPr>
        <w:t xml:space="preserve"> Het medische en sociaal-maatschappelijke vlak. Tussen Belgische en Nederlandse ziekenhuizen, huisartsen, keuringsartsen en sociale diensten bestaat geen geautomatiseerd kanaal. De lijn is onderbroken en gemarkeerd met een </w:t>
      </w:r>
      <w:r>
        <w:rPr>
          <w:rFonts w:ascii="Segoe UI Symbol" w:eastAsia="Times New Roman" w:hAnsi="Segoe UI Symbol" w:cs="Segoe UI Symbol"/>
          <w:lang w:val="nl-NL"/>
        </w:rPr>
        <w:t>✕</w:t>
      </w:r>
      <w:r>
        <w:rPr>
          <w:rFonts w:eastAsia="Times New Roman"/>
          <w:lang w:val="nl-NL"/>
        </w:rPr>
        <w:t>: het gezin moet dossiers, medische beeldvorming en attesten zelf fysiek van de ene naar de andere wereld dragen.</w:t>
      </w:r>
    </w:p>
    <w:p w14:paraId="6562AC16" w14:textId="77777777" w:rsidR="006B5103" w:rsidRDefault="006B5103">
      <w:pPr>
        <w:pStyle w:val="Kop4"/>
        <w:divId w:val="2114661829"/>
        <w:rPr>
          <w:rFonts w:eastAsia="Times New Roman"/>
          <w:lang w:val="nl-NL"/>
        </w:rPr>
      </w:pPr>
      <w:r>
        <w:rPr>
          <w:rFonts w:eastAsia="Times New Roman"/>
          <w:lang w:val="nl-NL"/>
        </w:rPr>
        <w:t>De EU-buitenlaag</w:t>
      </w:r>
    </w:p>
    <w:p w14:paraId="1570C4AD" w14:textId="77777777" w:rsidR="006B5103" w:rsidRDefault="006B5103">
      <w:pPr>
        <w:pStyle w:val="Normaalweb"/>
        <w:divId w:val="2114661829"/>
        <w:rPr>
          <w:lang w:val="nl-NL"/>
        </w:rPr>
      </w:pPr>
      <w:r>
        <w:rPr>
          <w:lang w:val="nl-NL"/>
        </w:rPr>
        <w:t xml:space="preserve">Rondom beide nationale werelden ligt </w:t>
      </w:r>
      <w:r>
        <w:rPr>
          <w:rStyle w:val="badge-eu1"/>
          <w:lang w:val="nl-NL"/>
        </w:rPr>
        <w:t>de EU-buitenlaag</w:t>
      </w:r>
      <w:r>
        <w:rPr>
          <w:lang w:val="nl-NL"/>
        </w:rPr>
        <w:t>. Deze laag omvat drie clusters: officiële Europese en verdragsrechtelijke instellingen, grensoverschrijdende bemiddelingsorganen, en de maatschappelijke resonantielaag (wetenschap, strategische procesvoering, media en VN-mensenrechten). De gestippelde lijn visualiseert het grondprobleem van het Europese sociaal recht: de EU proclameert het vrije verkeer en coördineert op papier (Verordening 883/2004), maar heeft geen eigen uitvoeringsloket dat een vastgelopen nationale keten kan openbreken.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BFB7B0D"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235DDEB" w14:textId="77777777" w:rsidR="006B5103" w:rsidRDefault="006B5103">
            <w:pPr>
              <w:pStyle w:val="Normaalweb"/>
              <w:spacing w:before="120"/>
              <w:jc w:val="center"/>
              <w:rPr>
                <w:sz w:val="21"/>
                <w:szCs w:val="21"/>
              </w:rPr>
            </w:pPr>
            <w:r>
              <w:rPr>
                <w:noProof/>
                <w:sz w:val="21"/>
                <w:szCs w:val="21"/>
              </w:rPr>
              <w:drawing>
                <wp:inline distT="0" distB="0" distL="0" distR="0" wp14:anchorId="500A340E" wp14:editId="20F82A6B">
                  <wp:extent cx="5715000" cy="44958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5715000" cy="4495800"/>
                          </a:xfrm>
                          <a:prstGeom prst="rect">
                            <a:avLst/>
                          </a:prstGeom>
                          <a:noFill/>
                          <a:ln>
                            <a:noFill/>
                          </a:ln>
                        </pic:spPr>
                      </pic:pic>
                    </a:graphicData>
                  </a:graphic>
                </wp:inline>
              </w:drawing>
            </w:r>
          </w:p>
          <w:p w14:paraId="078F3546" w14:textId="77777777" w:rsidR="006B5103" w:rsidRDefault="006B5103">
            <w:pPr>
              <w:pStyle w:val="caption"/>
              <w:spacing w:after="120" w:afterAutospacing="0"/>
            </w:pPr>
            <w:r>
              <w:rPr>
                <w:rStyle w:val="Zwaar"/>
              </w:rPr>
              <w:t>Figuur I.1 — Het speelbord.</w:t>
            </w:r>
            <w:r>
              <w:t xml:space="preserve"> Twee starre werelden (België, Nederland), elk met vier concentrische lagen (Uitvoering, Toezicht, Politiek, Symboliek). Alle actoren zijn genummerd — de legenda onder dit figuur geeft per nummer de naam en functie. In het midden overbrugt het membraan de kloof in twee standen (weekdag uitgestrekt, weekend teruggetrokken). De drie kanalen tonen de structurele spanning: dik groen (geautomatiseerd), smal oranje (eenmalig), rood onderbroken (manueel).</w:t>
            </w:r>
          </w:p>
        </w:tc>
      </w:tr>
    </w:tbl>
    <w:p w14:paraId="19AC532E" w14:textId="77777777" w:rsidR="006B5103" w:rsidRDefault="006B5103">
      <w:pPr>
        <w:pStyle w:val="Kop3"/>
        <w:divId w:val="2114661829"/>
        <w:rPr>
          <w:rFonts w:eastAsia="Times New Roman"/>
          <w:lang w:val="nl-NL"/>
        </w:rPr>
      </w:pPr>
      <w:bookmarkStart w:id="16" w:name="_Toc242191193"/>
      <w:r>
        <w:rPr>
          <w:rFonts w:eastAsia="Times New Roman"/>
          <w:lang w:val="nl-NL"/>
        </w:rPr>
        <w:t>Deel I-B — De actoren</w:t>
      </w:r>
      <w:bookmarkEnd w:id="16"/>
    </w:p>
    <w:p w14:paraId="02FFBAB2" w14:textId="77777777" w:rsidR="006B5103" w:rsidRDefault="006B5103">
      <w:pPr>
        <w:pStyle w:val="Normaalweb"/>
        <w:divId w:val="2114661829"/>
        <w:rPr>
          <w:lang w:val="nl-NL"/>
        </w:rPr>
      </w:pPr>
      <w:r>
        <w:rPr>
          <w:lang w:val="nl-NL"/>
        </w:rPr>
        <w:t>Voor lezers die België en Nederland niet kennen: hieronder staat elke organisatie die op het speelbord voorkomt, geordend per wereld en per laag. Eerst de publieke of privaatrechtelijke functie, dan de specifieke rol in dit dossier.</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D174820" w14:textId="77777777">
        <w:trPr>
          <w:divId w:val="2114661829"/>
        </w:trPr>
        <w:tc>
          <w:tcPr>
            <w:tcW w:w="0" w:type="auto"/>
            <w:tcBorders>
              <w:top w:val="single" w:sz="6" w:space="0" w:color="D5D0C5"/>
              <w:left w:val="single" w:sz="36" w:space="0" w:color="8B1E1E"/>
              <w:bottom w:val="single" w:sz="6" w:space="0" w:color="D5D0C5"/>
              <w:right w:val="single" w:sz="6" w:space="0" w:color="D5D0C5"/>
            </w:tcBorders>
            <w:shd w:val="clear" w:color="auto" w:fill="F7EDED"/>
            <w:tcMar>
              <w:top w:w="160" w:type="dxa"/>
              <w:left w:w="240" w:type="dxa"/>
              <w:bottom w:w="160" w:type="dxa"/>
              <w:right w:w="240" w:type="dxa"/>
            </w:tcMar>
            <w:hideMark/>
          </w:tcPr>
          <w:p w14:paraId="27A9EDDF" w14:textId="77777777" w:rsidR="006B5103" w:rsidRDefault="006B5103">
            <w:pPr>
              <w:spacing w:before="240" w:after="240"/>
              <w:rPr>
                <w:rFonts w:eastAsia="Times New Roman"/>
                <w:sz w:val="21"/>
                <w:szCs w:val="21"/>
              </w:rPr>
            </w:pPr>
            <w:r>
              <w:rPr>
                <w:rStyle w:val="Zwaar"/>
                <w:rFonts w:eastAsia="Times New Roman"/>
                <w:sz w:val="21"/>
                <w:szCs w:val="21"/>
              </w:rPr>
              <w:t>WERELD BELGIË</w:t>
            </w:r>
          </w:p>
        </w:tc>
      </w:tr>
    </w:tbl>
    <w:p w14:paraId="4136C260" w14:textId="77777777" w:rsidR="006B5103" w:rsidRDefault="006B5103">
      <w:pPr>
        <w:pStyle w:val="Kop4"/>
        <w:divId w:val="2114661829"/>
        <w:rPr>
          <w:rFonts w:eastAsia="Times New Roman"/>
          <w:lang w:val="nl-NL"/>
        </w:rPr>
      </w:pPr>
      <w:r>
        <w:rPr>
          <w:rFonts w:eastAsia="Times New Roman"/>
          <w:lang w:val="nl-NL"/>
        </w:rPr>
        <w:t>Uitvoering</w:t>
      </w:r>
    </w:p>
    <w:p w14:paraId="6CCBB30A" w14:textId="77777777" w:rsidR="006B5103" w:rsidRDefault="006B5103">
      <w:pPr>
        <w:divId w:val="993292133"/>
        <w:rPr>
          <w:rFonts w:eastAsia="Times New Roman"/>
          <w:lang w:val="nl-NL"/>
        </w:rPr>
      </w:pPr>
      <w:r>
        <w:rPr>
          <w:rFonts w:eastAsia="Times New Roman"/>
          <w:b/>
          <w:bCs/>
          <w:color w:val="FFFFFF"/>
          <w:sz w:val="20"/>
          <w:szCs w:val="20"/>
          <w:shd w:val="clear" w:color="auto" w:fill="8B1E1E"/>
          <w:lang w:val="nl-NL"/>
        </w:rPr>
        <w:t> 1 </w:t>
      </w:r>
      <w:r>
        <w:rPr>
          <w:rFonts w:eastAsia="Times New Roman"/>
          <w:lang w:val="nl-NL"/>
        </w:rPr>
        <w:t xml:space="preserve"> </w:t>
      </w:r>
      <w:r>
        <w:rPr>
          <w:rStyle w:val="actor-naam1"/>
          <w:rFonts w:eastAsia="Times New Roman"/>
          <w:lang w:val="nl-NL"/>
        </w:rPr>
        <w:t>Christelijke Mutualiteit (CM)</w:t>
      </w:r>
      <w:r>
        <w:rPr>
          <w:rFonts w:eastAsia="Times New Roman"/>
          <w:lang w:val="nl-NL"/>
        </w:rPr>
        <w:br/>
      </w:r>
      <w:r>
        <w:rPr>
          <w:rFonts w:eastAsia="Times New Roman"/>
          <w:lang w:val="nl-NL"/>
        </w:rPr>
        <w:t>Het grootste Belgische ziekenfonds; een privaatrechtelijke vereniging met een wettelijk publiek mandaat om de verplichte ziekte- en invaliditeitsverzekering uit te voeren en vervangingsinkomens uit te keren.</w:t>
      </w:r>
      <w:r>
        <w:rPr>
          <w:rFonts w:eastAsia="Times New Roman"/>
          <w:lang w:val="nl-NL"/>
        </w:rPr>
        <w:br/>
      </w:r>
      <w:r>
        <w:rPr>
          <w:rStyle w:val="actor-rol1"/>
          <w:rFonts w:eastAsia="Times New Roman"/>
          <w:lang w:val="nl-NL"/>
        </w:rPr>
        <w:t>Rol in dit dossier:</w:t>
      </w:r>
      <w:r>
        <w:rPr>
          <w:rFonts w:eastAsia="Times New Roman"/>
          <w:lang w:val="nl-NL"/>
        </w:rPr>
        <w:t xml:space="preserve"> Primaire poortwachter voor ziekte-uitkeringen, medische kosten en het verdragsformulier S072. Blokkeert of vertraagt dossierstromen zodra de verzekerde in Nederland woont. </w:t>
      </w:r>
    </w:p>
    <w:p w14:paraId="5DA0827D" w14:textId="77777777" w:rsidR="006B5103" w:rsidRDefault="006B5103">
      <w:pPr>
        <w:divId w:val="465634130"/>
        <w:rPr>
          <w:rFonts w:eastAsia="Times New Roman"/>
          <w:lang w:val="nl-NL"/>
        </w:rPr>
      </w:pPr>
      <w:r>
        <w:rPr>
          <w:rFonts w:eastAsia="Times New Roman"/>
          <w:b/>
          <w:bCs/>
          <w:color w:val="FFFFFF"/>
          <w:sz w:val="20"/>
          <w:szCs w:val="20"/>
          <w:shd w:val="clear" w:color="auto" w:fill="8B1E1E"/>
          <w:lang w:val="nl-NL"/>
        </w:rPr>
        <w:t> 2 </w:t>
      </w:r>
      <w:r>
        <w:rPr>
          <w:rFonts w:eastAsia="Times New Roman"/>
          <w:lang w:val="nl-NL"/>
        </w:rPr>
        <w:t xml:space="preserve"> </w:t>
      </w:r>
      <w:r>
        <w:rPr>
          <w:rStyle w:val="actor-naam1"/>
          <w:rFonts w:eastAsia="Times New Roman"/>
          <w:lang w:val="nl-NL"/>
        </w:rPr>
        <w:t>Vitaz</w:t>
      </w:r>
      <w:r>
        <w:rPr>
          <w:rFonts w:eastAsia="Times New Roman"/>
          <w:lang w:val="nl-NL"/>
        </w:rPr>
        <w:br/>
        <w:t>Algemeen tweedelijnsziekenhuis in het Waasland, dicht bij de Nederlands-Belgische grens.</w:t>
      </w:r>
      <w:r>
        <w:rPr>
          <w:rFonts w:eastAsia="Times New Roman"/>
          <w:lang w:val="nl-NL"/>
        </w:rPr>
        <w:br/>
      </w:r>
      <w:r>
        <w:rPr>
          <w:rStyle w:val="actor-rol1"/>
          <w:rFonts w:eastAsia="Times New Roman"/>
          <w:lang w:val="nl-NL"/>
        </w:rPr>
        <w:t>Rol in dit dossier:</w:t>
      </w:r>
      <w:r>
        <w:rPr>
          <w:rFonts w:eastAsia="Times New Roman"/>
          <w:lang w:val="nl-NL"/>
        </w:rPr>
        <w:t xml:space="preserve"> Eerste medische schakel in het dossier. Levert acute zorg maar geen administratieve vertaling. Klinische data blijven opgesloten in het eigen systeem. </w:t>
      </w:r>
    </w:p>
    <w:p w14:paraId="71BAD8FD" w14:textId="77777777" w:rsidR="006B5103" w:rsidRDefault="006B5103">
      <w:pPr>
        <w:divId w:val="1515194388"/>
        <w:rPr>
          <w:rFonts w:eastAsia="Times New Roman"/>
          <w:lang w:val="nl-NL"/>
        </w:rPr>
      </w:pPr>
      <w:r>
        <w:rPr>
          <w:rFonts w:eastAsia="Times New Roman"/>
          <w:b/>
          <w:bCs/>
          <w:color w:val="FFFFFF"/>
          <w:sz w:val="20"/>
          <w:szCs w:val="20"/>
          <w:shd w:val="clear" w:color="auto" w:fill="8B1E1E"/>
          <w:lang w:val="nl-NL"/>
        </w:rPr>
        <w:t> 3 </w:t>
      </w:r>
      <w:r>
        <w:rPr>
          <w:rFonts w:eastAsia="Times New Roman"/>
          <w:lang w:val="nl-NL"/>
        </w:rPr>
        <w:t xml:space="preserve"> </w:t>
      </w:r>
      <w:r>
        <w:rPr>
          <w:rStyle w:val="actor-naam1"/>
          <w:rFonts w:eastAsia="Times New Roman"/>
          <w:lang w:val="nl-NL"/>
        </w:rPr>
        <w:t>Universitair Ziekenhuis Gent (UZ Gent)</w:t>
      </w:r>
      <w:r>
        <w:rPr>
          <w:rFonts w:eastAsia="Times New Roman"/>
          <w:lang w:val="nl-NL"/>
        </w:rPr>
        <w:br/>
        <w:t>Academisch derdelijnsziekenhuis voor hooggespecialiseerde en complexe diagnostiek en behandeling.</w:t>
      </w:r>
      <w:r>
        <w:rPr>
          <w:rFonts w:eastAsia="Times New Roman"/>
          <w:lang w:val="nl-NL"/>
        </w:rPr>
        <w:br/>
      </w:r>
      <w:r>
        <w:rPr>
          <w:rStyle w:val="actor-rol1"/>
          <w:rFonts w:eastAsia="Times New Roman"/>
          <w:lang w:val="nl-NL"/>
        </w:rPr>
        <w:t>Rol in dit dossier:</w:t>
      </w:r>
      <w:r>
        <w:rPr>
          <w:rFonts w:eastAsia="Times New Roman"/>
          <w:lang w:val="nl-NL"/>
        </w:rPr>
        <w:t xml:space="preserve"> Academische overkoepeling. Levert wél de administratieve vertaling die de eerste lijn weigert, en publiceert via het eHealth-netwerk. </w:t>
      </w:r>
    </w:p>
    <w:p w14:paraId="28234B1C" w14:textId="77777777" w:rsidR="006B5103" w:rsidRDefault="006B5103">
      <w:pPr>
        <w:divId w:val="1972517126"/>
        <w:rPr>
          <w:rFonts w:eastAsia="Times New Roman"/>
          <w:lang w:val="nl-NL"/>
        </w:rPr>
      </w:pPr>
      <w:r>
        <w:rPr>
          <w:rFonts w:eastAsia="Times New Roman"/>
          <w:b/>
          <w:bCs/>
          <w:color w:val="FFFFFF"/>
          <w:sz w:val="20"/>
          <w:szCs w:val="20"/>
          <w:shd w:val="clear" w:color="auto" w:fill="8B1E1E"/>
          <w:lang w:val="nl-NL"/>
        </w:rPr>
        <w:t> 4 </w:t>
      </w:r>
      <w:r>
        <w:rPr>
          <w:rFonts w:eastAsia="Times New Roman"/>
          <w:lang w:val="nl-NL"/>
        </w:rPr>
        <w:t xml:space="preserve"> </w:t>
      </w:r>
      <w:r>
        <w:rPr>
          <w:rStyle w:val="actor-naam1"/>
          <w:rFonts w:eastAsia="Times New Roman"/>
          <w:lang w:val="nl-NL"/>
        </w:rPr>
        <w:t>Oogartsen Sint-Niklaas</w:t>
      </w:r>
      <w:r>
        <w:rPr>
          <w:rFonts w:eastAsia="Times New Roman"/>
          <w:lang w:val="nl-NL"/>
        </w:rPr>
        <w:br/>
        <w:t>Gespecialiseerde oftalmologische privépraktijk in Sint-Niklaas.</w:t>
      </w:r>
      <w:r>
        <w:rPr>
          <w:rFonts w:eastAsia="Times New Roman"/>
          <w:lang w:val="nl-NL"/>
        </w:rPr>
        <w:br/>
      </w:r>
      <w:r>
        <w:rPr>
          <w:rStyle w:val="actor-rol1"/>
          <w:rFonts w:eastAsia="Times New Roman"/>
          <w:lang w:val="nl-NL"/>
        </w:rPr>
        <w:t>Rol in dit dossier:</w:t>
      </w:r>
      <w:r>
        <w:rPr>
          <w:rFonts w:eastAsia="Times New Roman"/>
          <w:lang w:val="nl-NL"/>
        </w:rPr>
        <w:t xml:space="preserve"> Voert invasieve behandelingen uit maar registreert de gedwongen stopzetting als patiëntweigering. Geen koppeling met enig eHealth-platform. </w:t>
      </w:r>
    </w:p>
    <w:p w14:paraId="6D054BE8" w14:textId="77777777" w:rsidR="006B5103" w:rsidRDefault="006B5103">
      <w:pPr>
        <w:divId w:val="806314077"/>
        <w:rPr>
          <w:rFonts w:eastAsia="Times New Roman"/>
          <w:lang w:val="nl-NL"/>
        </w:rPr>
      </w:pPr>
      <w:r>
        <w:rPr>
          <w:rFonts w:eastAsia="Times New Roman"/>
          <w:b/>
          <w:bCs/>
          <w:color w:val="FFFFFF"/>
          <w:sz w:val="20"/>
          <w:szCs w:val="20"/>
          <w:shd w:val="clear" w:color="auto" w:fill="8B1E1E"/>
          <w:lang w:val="nl-NL"/>
        </w:rPr>
        <w:t> 5 </w:t>
      </w:r>
      <w:r>
        <w:rPr>
          <w:rFonts w:eastAsia="Times New Roman"/>
          <w:lang w:val="nl-NL"/>
        </w:rPr>
        <w:t xml:space="preserve"> </w:t>
      </w:r>
      <w:r>
        <w:rPr>
          <w:rStyle w:val="actor-naam1"/>
          <w:rFonts w:eastAsia="Times New Roman"/>
          <w:lang w:val="nl-NL"/>
        </w:rPr>
        <w:t>Huisartsenpraktijk Ter Vierschaar</w:t>
      </w:r>
      <w:r>
        <w:rPr>
          <w:rFonts w:eastAsia="Times New Roman"/>
          <w:lang w:val="nl-NL"/>
        </w:rPr>
        <w:br/>
        <w:t>Eerstelijns huisartsenpraktijk aan Belgische zijde.</w:t>
      </w:r>
      <w:r>
        <w:rPr>
          <w:rFonts w:eastAsia="Times New Roman"/>
          <w:lang w:val="nl-NL"/>
        </w:rPr>
        <w:br/>
      </w:r>
      <w:r>
        <w:rPr>
          <w:rStyle w:val="actor-rol1"/>
          <w:rFonts w:eastAsia="Times New Roman"/>
          <w:lang w:val="nl-NL"/>
        </w:rPr>
        <w:t>Rol in dit dossier:</w:t>
      </w:r>
      <w:r>
        <w:rPr>
          <w:rFonts w:eastAsia="Times New Roman"/>
          <w:lang w:val="nl-NL"/>
        </w:rPr>
        <w:t xml:space="preserve"> Overkoepelend medisch regisseur, sinds het begin betrokken. Levert de vertaling naar de administratieve systemen van beide landen. Werkt via Vitalink en SumEHR. </w:t>
      </w:r>
    </w:p>
    <w:p w14:paraId="7F3E0235" w14:textId="77777777" w:rsidR="006B5103" w:rsidRDefault="006B5103">
      <w:pPr>
        <w:divId w:val="1922249364"/>
        <w:rPr>
          <w:rFonts w:eastAsia="Times New Roman"/>
          <w:lang w:val="nl-NL"/>
        </w:rPr>
      </w:pPr>
      <w:r>
        <w:rPr>
          <w:rFonts w:eastAsia="Times New Roman"/>
          <w:b/>
          <w:bCs/>
          <w:color w:val="FFFFFF"/>
          <w:sz w:val="20"/>
          <w:szCs w:val="20"/>
          <w:shd w:val="clear" w:color="auto" w:fill="8B1E1E"/>
          <w:lang w:val="nl-NL"/>
        </w:rPr>
        <w:t> 6 </w:t>
      </w:r>
      <w:r>
        <w:rPr>
          <w:rFonts w:eastAsia="Times New Roman"/>
          <w:lang w:val="nl-NL"/>
        </w:rPr>
        <w:t xml:space="preserve"> </w:t>
      </w:r>
      <w:r>
        <w:rPr>
          <w:rStyle w:val="actor-naam1"/>
          <w:rFonts w:eastAsia="Times New Roman"/>
          <w:lang w:val="nl-NL"/>
        </w:rPr>
        <w:t>Onafhankelijke Experts BE</w:t>
      </w:r>
      <w:r>
        <w:rPr>
          <w:rFonts w:eastAsia="Times New Roman"/>
          <w:lang w:val="nl-NL"/>
        </w:rPr>
        <w:br/>
        <w:t>Zelfstandige artsen-deskundigen die medische schade en invaliditeitspercentages vaststellen in opdracht.</w:t>
      </w:r>
      <w:r>
        <w:rPr>
          <w:rFonts w:eastAsia="Times New Roman"/>
          <w:lang w:val="nl-NL"/>
        </w:rPr>
        <w:br/>
      </w:r>
      <w:r>
        <w:rPr>
          <w:rStyle w:val="actor-rol1"/>
          <w:rFonts w:eastAsia="Times New Roman"/>
          <w:lang w:val="nl-NL"/>
        </w:rPr>
        <w:t>Rol in dit dossier:</w:t>
      </w:r>
      <w:r>
        <w:rPr>
          <w:rFonts w:eastAsia="Times New Roman"/>
          <w:lang w:val="nl-NL"/>
        </w:rPr>
        <w:t xml:space="preserve"> Volledige radiostilte. Geen enkele aangeschreven expert reageert op verzoeken tot onafhankelijke beoordeling. </w:t>
      </w:r>
    </w:p>
    <w:p w14:paraId="08E7A012" w14:textId="77777777" w:rsidR="006B5103" w:rsidRDefault="006B5103">
      <w:pPr>
        <w:divId w:val="1894585969"/>
        <w:rPr>
          <w:rFonts w:eastAsia="Times New Roman"/>
          <w:lang w:val="nl-NL"/>
        </w:rPr>
      </w:pPr>
      <w:r>
        <w:rPr>
          <w:rFonts w:eastAsia="Times New Roman"/>
          <w:b/>
          <w:bCs/>
          <w:color w:val="FFFFFF"/>
          <w:sz w:val="20"/>
          <w:szCs w:val="20"/>
          <w:shd w:val="clear" w:color="auto" w:fill="8B1E1E"/>
          <w:lang w:val="nl-NL"/>
        </w:rPr>
        <w:t> 7 </w:t>
      </w:r>
      <w:r>
        <w:rPr>
          <w:rFonts w:eastAsia="Times New Roman"/>
          <w:lang w:val="nl-NL"/>
        </w:rPr>
        <w:t xml:space="preserve"> </w:t>
      </w:r>
      <w:r>
        <w:rPr>
          <w:rStyle w:val="actor-naam1"/>
          <w:rFonts w:eastAsia="Times New Roman"/>
          <w:lang w:val="nl-NL"/>
        </w:rPr>
        <w:t>Vertico Business Solutions</w:t>
      </w:r>
      <w:r>
        <w:rPr>
          <w:rFonts w:eastAsia="Times New Roman"/>
          <w:lang w:val="nl-NL"/>
        </w:rPr>
        <w:br/>
        <w:t>Belgische private werkgever.</w:t>
      </w:r>
      <w:r>
        <w:rPr>
          <w:rFonts w:eastAsia="Times New Roman"/>
          <w:lang w:val="nl-NL"/>
        </w:rPr>
        <w:br/>
      </w:r>
      <w:r>
        <w:rPr>
          <w:rStyle w:val="actor-rol1"/>
          <w:rFonts w:eastAsia="Times New Roman"/>
          <w:lang w:val="nl-NL"/>
        </w:rPr>
        <w:t>Rol in dit dossier:</w:t>
      </w:r>
      <w:r>
        <w:rPr>
          <w:rFonts w:eastAsia="Times New Roman"/>
          <w:lang w:val="nl-NL"/>
        </w:rPr>
        <w:t xml:space="preserve"> Voert de wettelijke loondoorbetaling correct uit. Levert tijdig de tewerkstellingsattesten af. De frictie begint pas bij de overdracht naar de publieke instanties. </w:t>
      </w:r>
    </w:p>
    <w:p w14:paraId="38F48CE9" w14:textId="77777777" w:rsidR="006B5103" w:rsidRDefault="006B5103">
      <w:pPr>
        <w:divId w:val="2146312379"/>
        <w:rPr>
          <w:rFonts w:eastAsia="Times New Roman"/>
          <w:lang w:val="nl-NL"/>
        </w:rPr>
      </w:pPr>
      <w:r>
        <w:rPr>
          <w:rFonts w:eastAsia="Times New Roman"/>
          <w:b/>
          <w:bCs/>
          <w:color w:val="FFFFFF"/>
          <w:sz w:val="20"/>
          <w:szCs w:val="20"/>
          <w:shd w:val="clear" w:color="auto" w:fill="8B1E1E"/>
          <w:lang w:val="nl-NL"/>
        </w:rPr>
        <w:t> 8 </w:t>
      </w:r>
      <w:r>
        <w:rPr>
          <w:rFonts w:eastAsia="Times New Roman"/>
          <w:lang w:val="nl-NL"/>
        </w:rPr>
        <w:t xml:space="preserve"> </w:t>
      </w:r>
      <w:r>
        <w:rPr>
          <w:rStyle w:val="actor-naam1"/>
          <w:rFonts w:eastAsia="Times New Roman"/>
          <w:lang w:val="nl-NL"/>
        </w:rPr>
        <w:t>FOD Sociale Zekerheid — DG Personen met een Handicap (DG HAN)</w:t>
      </w:r>
      <w:r>
        <w:rPr>
          <w:rFonts w:eastAsia="Times New Roman"/>
          <w:lang w:val="nl-NL"/>
        </w:rPr>
        <w:br/>
        <w:t>Het Belgische federale ministerie dat de ernst van een handicap medisch beoordeelt en officiële erkenningsattesten aflevert.</w:t>
      </w:r>
      <w:r>
        <w:rPr>
          <w:rFonts w:eastAsia="Times New Roman"/>
          <w:lang w:val="nl-NL"/>
        </w:rPr>
        <w:br/>
      </w:r>
      <w:r>
        <w:rPr>
          <w:rStyle w:val="actor-rol1"/>
          <w:rFonts w:eastAsia="Times New Roman"/>
          <w:lang w:val="nl-NL"/>
        </w:rPr>
        <w:t>Rol in dit dossier:</w:t>
      </w:r>
      <w:r>
        <w:rPr>
          <w:rFonts w:eastAsia="Times New Roman"/>
          <w:lang w:val="nl-NL"/>
        </w:rPr>
        <w:t xml:space="preserve"> Erkent de medische beperkingen formeel, maar koppelt de erkenning aan een binnenlandse woonplaats. Weigert zelfs een zuiver medische erkenning voor fiscale doeleinden wanneer de burger in Nederland woont. </w:t>
      </w:r>
    </w:p>
    <w:p w14:paraId="18CE8D3B" w14:textId="77777777" w:rsidR="006B5103" w:rsidRDefault="006B5103">
      <w:pPr>
        <w:divId w:val="682056681"/>
        <w:rPr>
          <w:rFonts w:eastAsia="Times New Roman"/>
          <w:lang w:val="nl-NL"/>
        </w:rPr>
      </w:pPr>
      <w:r>
        <w:rPr>
          <w:rFonts w:eastAsia="Times New Roman"/>
          <w:b/>
          <w:bCs/>
          <w:color w:val="FFFFFF"/>
          <w:sz w:val="20"/>
          <w:szCs w:val="20"/>
          <w:shd w:val="clear" w:color="auto" w:fill="8B1E1E"/>
          <w:lang w:val="nl-NL"/>
        </w:rPr>
        <w:t> 9 </w:t>
      </w:r>
      <w:r>
        <w:rPr>
          <w:rFonts w:eastAsia="Times New Roman"/>
          <w:lang w:val="nl-NL"/>
        </w:rPr>
        <w:t xml:space="preserve"> </w:t>
      </w:r>
      <w:r>
        <w:rPr>
          <w:rStyle w:val="actor-naam1"/>
          <w:rFonts w:eastAsia="Times New Roman"/>
          <w:lang w:val="nl-NL"/>
        </w:rPr>
        <w:t>FOD Financiën</w:t>
      </w:r>
      <w:r>
        <w:rPr>
          <w:rFonts w:eastAsia="Times New Roman"/>
          <w:lang w:val="nl-NL"/>
        </w:rPr>
        <w:br/>
        <w:t>De Belgische nationale belastingadministratie.</w:t>
      </w:r>
      <w:r>
        <w:rPr>
          <w:rFonts w:eastAsia="Times New Roman"/>
          <w:lang w:val="nl-NL"/>
        </w:rPr>
        <w:br/>
      </w:r>
      <w:r>
        <w:rPr>
          <w:rStyle w:val="actor-rol1"/>
          <w:rFonts w:eastAsia="Times New Roman"/>
          <w:lang w:val="nl-NL"/>
        </w:rPr>
        <w:t>Rol in dit dossier:</w:t>
      </w:r>
      <w:r>
        <w:rPr>
          <w:rFonts w:eastAsia="Times New Roman"/>
          <w:lang w:val="nl-NL"/>
        </w:rPr>
        <w:t xml:space="preserve"> Wisselt via het groene EU-kanaal automatisch inkomensdata uit met Nederland, maar beslist autonoom over fiscale vrijstellingen en eist een attest van DG HAN dat deze instantie in dit dossier niet levert. Verhoogt vervolgens de drempel (9 punten) boven wat DG HAN toekent (8 punten). </w:t>
      </w:r>
    </w:p>
    <w:p w14:paraId="470CC7F5" w14:textId="77777777" w:rsidR="006B5103" w:rsidRDefault="006B5103">
      <w:pPr>
        <w:divId w:val="720133691"/>
        <w:rPr>
          <w:rFonts w:eastAsia="Times New Roman"/>
          <w:lang w:val="nl-NL"/>
        </w:rPr>
      </w:pPr>
      <w:r>
        <w:rPr>
          <w:rFonts w:eastAsia="Times New Roman"/>
          <w:b/>
          <w:bCs/>
          <w:color w:val="FFFFFF"/>
          <w:sz w:val="20"/>
          <w:szCs w:val="20"/>
          <w:shd w:val="clear" w:color="auto" w:fill="8B1E1E"/>
          <w:lang w:val="nl-NL"/>
        </w:rPr>
        <w:t> 10 </w:t>
      </w:r>
      <w:r>
        <w:rPr>
          <w:rFonts w:eastAsia="Times New Roman"/>
          <w:lang w:val="nl-NL"/>
        </w:rPr>
        <w:t xml:space="preserve"> </w:t>
      </w:r>
      <w:r>
        <w:rPr>
          <w:rStyle w:val="actor-naam1"/>
          <w:rFonts w:eastAsia="Times New Roman"/>
          <w:lang w:val="nl-NL"/>
        </w:rPr>
        <w:t>Rijksdienst voor Arbeidsvoorziening (RVA)</w:t>
      </w:r>
      <w:r>
        <w:rPr>
          <w:rFonts w:eastAsia="Times New Roman"/>
          <w:lang w:val="nl-NL"/>
        </w:rPr>
        <w:br/>
        <w:t>De Belgische federale instelling die de werkloosheidsverzekering reguleert en Europese loopbaanattesten (PD U1) aflevert.</w:t>
      </w:r>
      <w:r>
        <w:rPr>
          <w:rFonts w:eastAsia="Times New Roman"/>
          <w:lang w:val="nl-NL"/>
        </w:rPr>
        <w:br/>
      </w:r>
      <w:r>
        <w:rPr>
          <w:rStyle w:val="actor-rol1"/>
          <w:rFonts w:eastAsia="Times New Roman"/>
          <w:lang w:val="nl-NL"/>
        </w:rPr>
        <w:t>Rol in dit dossier:</w:t>
      </w:r>
      <w:r>
        <w:rPr>
          <w:rFonts w:eastAsia="Times New Roman"/>
          <w:lang w:val="nl-NL"/>
        </w:rPr>
        <w:t xml:space="preserve"> Weigert buitenlandse loopbaangegevens in het eigen systeem te integreren. Eist voor onderwijsloopbanen een C4-formulier dat in dat statuut juridisch niet bestaat. </w:t>
      </w:r>
    </w:p>
    <w:p w14:paraId="505FCC55" w14:textId="77777777" w:rsidR="006B5103" w:rsidRDefault="006B5103">
      <w:pPr>
        <w:divId w:val="317344620"/>
        <w:rPr>
          <w:rFonts w:eastAsia="Times New Roman"/>
          <w:lang w:val="nl-NL"/>
        </w:rPr>
      </w:pPr>
      <w:r>
        <w:rPr>
          <w:rFonts w:eastAsia="Times New Roman"/>
          <w:b/>
          <w:bCs/>
          <w:color w:val="FFFFFF"/>
          <w:sz w:val="20"/>
          <w:szCs w:val="20"/>
          <w:shd w:val="clear" w:color="auto" w:fill="8B1E1E"/>
          <w:lang w:val="nl-NL"/>
        </w:rPr>
        <w:t> 11 </w:t>
      </w:r>
      <w:r>
        <w:rPr>
          <w:rFonts w:eastAsia="Times New Roman"/>
          <w:lang w:val="nl-NL"/>
        </w:rPr>
        <w:t xml:space="preserve"> </w:t>
      </w:r>
      <w:r>
        <w:rPr>
          <w:rStyle w:val="actor-naam1"/>
          <w:rFonts w:eastAsia="Times New Roman"/>
          <w:lang w:val="nl-NL"/>
        </w:rPr>
        <w:t>Parentia</w:t>
      </w:r>
      <w:r>
        <w:rPr>
          <w:rFonts w:eastAsia="Times New Roman"/>
          <w:lang w:val="nl-NL"/>
        </w:rPr>
        <w:br/>
        <w:t>Erkend Belgisch uitbetalingsorganisme voor gezinsbijslagen en het Vlaamse Groeipakket.</w:t>
      </w:r>
      <w:r>
        <w:rPr>
          <w:rFonts w:eastAsia="Times New Roman"/>
          <w:lang w:val="nl-NL"/>
        </w:rPr>
        <w:br/>
      </w:r>
      <w:r>
        <w:rPr>
          <w:rStyle w:val="actor-rol1"/>
          <w:rFonts w:eastAsia="Times New Roman"/>
          <w:lang w:val="nl-NL"/>
        </w:rPr>
        <w:t>Rol in dit dossier:</w:t>
      </w:r>
      <w:r>
        <w:rPr>
          <w:rFonts w:eastAsia="Times New Roman"/>
          <w:lang w:val="nl-NL"/>
        </w:rPr>
        <w:t xml:space="preserve"> Leest inkomensdata via de Kruispuntbank (KSZ) en is daardoor blind afhankelijk van wat het ziekenfonds (CM) doorgeeft. Wanneer CM de ziektestatus niet registreert, bevriest de sociale toeslag. </w:t>
      </w:r>
    </w:p>
    <w:p w14:paraId="062EB9EA" w14:textId="77777777" w:rsidR="006B5103" w:rsidRDefault="006B5103">
      <w:pPr>
        <w:divId w:val="426731315"/>
        <w:rPr>
          <w:rFonts w:eastAsia="Times New Roman"/>
          <w:lang w:val="nl-NL"/>
        </w:rPr>
      </w:pPr>
      <w:r>
        <w:rPr>
          <w:rFonts w:eastAsia="Times New Roman"/>
          <w:b/>
          <w:bCs/>
          <w:color w:val="FFFFFF"/>
          <w:sz w:val="20"/>
          <w:szCs w:val="20"/>
          <w:shd w:val="clear" w:color="auto" w:fill="8B1E1E"/>
          <w:lang w:val="nl-NL"/>
        </w:rPr>
        <w:t> 12 </w:t>
      </w:r>
      <w:r>
        <w:rPr>
          <w:rFonts w:eastAsia="Times New Roman"/>
          <w:lang w:val="nl-NL"/>
        </w:rPr>
        <w:t xml:space="preserve"> </w:t>
      </w:r>
      <w:r>
        <w:rPr>
          <w:rStyle w:val="actor-naam1"/>
          <w:rFonts w:eastAsia="Times New Roman"/>
          <w:lang w:val="nl-NL"/>
        </w:rPr>
        <w:t>Agentschap voor Onderwijsdiensten (AGODI)</w:t>
      </w:r>
      <w:r>
        <w:rPr>
          <w:rFonts w:eastAsia="Times New Roman"/>
          <w:lang w:val="nl-NL"/>
        </w:rPr>
        <w:br/>
        <w:t>Uitvoerend agentschap van het Vlaamse Ministerie van Onderwijs dat de loonadministratie van onderwijspersoneel verzorgt.</w:t>
      </w:r>
      <w:r>
        <w:rPr>
          <w:rFonts w:eastAsia="Times New Roman"/>
          <w:lang w:val="nl-NL"/>
        </w:rPr>
        <w:br/>
      </w:r>
      <w:r>
        <w:rPr>
          <w:rStyle w:val="actor-rol1"/>
          <w:rFonts w:eastAsia="Times New Roman"/>
          <w:lang w:val="nl-NL"/>
        </w:rPr>
        <w:t>Rol in dit dossier:</w:t>
      </w:r>
      <w:r>
        <w:rPr>
          <w:rFonts w:eastAsia="Times New Roman"/>
          <w:lang w:val="nl-NL"/>
        </w:rPr>
        <w:t xml:space="preserve"> Voert de bedrijfsvoorheffing af voor de moeder, maar weigert retroactieve fiscale correcties op basis van een federaal handicapattest. Verschuilt zich achter het schoolsecretariaat en de federale fiscus. </w:t>
      </w:r>
    </w:p>
    <w:p w14:paraId="499F021A" w14:textId="77777777" w:rsidR="006B5103" w:rsidRDefault="006B5103">
      <w:pPr>
        <w:divId w:val="1139882107"/>
        <w:rPr>
          <w:rFonts w:eastAsia="Times New Roman"/>
          <w:lang w:val="nl-NL"/>
        </w:rPr>
      </w:pPr>
      <w:r>
        <w:rPr>
          <w:rFonts w:eastAsia="Times New Roman"/>
          <w:b/>
          <w:bCs/>
          <w:color w:val="FFFFFF"/>
          <w:sz w:val="20"/>
          <w:szCs w:val="20"/>
          <w:shd w:val="clear" w:color="auto" w:fill="8B1E1E"/>
          <w:lang w:val="nl-NL"/>
        </w:rPr>
        <w:t> 13 </w:t>
      </w:r>
      <w:r>
        <w:rPr>
          <w:rFonts w:eastAsia="Times New Roman"/>
          <w:lang w:val="nl-NL"/>
        </w:rPr>
        <w:t xml:space="preserve"> </w:t>
      </w:r>
      <w:r>
        <w:rPr>
          <w:rStyle w:val="actor-naam1"/>
          <w:rFonts w:eastAsia="Times New Roman"/>
          <w:lang w:val="nl-NL"/>
        </w:rPr>
        <w:t>Algemeen Christelijk Vakverbond (ACV)</w:t>
      </w:r>
      <w:r>
        <w:rPr>
          <w:rFonts w:eastAsia="Times New Roman"/>
          <w:lang w:val="nl-NL"/>
        </w:rPr>
        <w:br/>
        <w:t>De grootste Belgische vakbond, tevens uitbetalingsinstelling en verstrekker van sociaalrechtelijke bijstand.</w:t>
      </w:r>
      <w:r>
        <w:rPr>
          <w:rFonts w:eastAsia="Times New Roman"/>
          <w:lang w:val="nl-NL"/>
        </w:rPr>
        <w:br/>
      </w:r>
      <w:r>
        <w:rPr>
          <w:rStyle w:val="actor-rol1"/>
          <w:rFonts w:eastAsia="Times New Roman"/>
          <w:lang w:val="nl-NL"/>
        </w:rPr>
        <w:t>Rol in dit dossier:</w:t>
      </w:r>
      <w:r>
        <w:rPr>
          <w:rFonts w:eastAsia="Times New Roman"/>
          <w:lang w:val="nl-NL"/>
        </w:rPr>
        <w:t xml:space="preserve"> </w:t>
      </w:r>
      <w:r>
        <w:rPr>
          <w:rFonts w:eastAsia="Times New Roman"/>
          <w:lang w:val="nl-NL"/>
        </w:rPr>
        <w:t xml:space="preserve">Erkent de systeemfout volmondig maar weigert juridische interventie tegen de CM zodra de patiënt zelf geen lidnummer heeft. Solidariteit stopt bij de individuele lidmaatschapsgrens. </w:t>
      </w:r>
    </w:p>
    <w:p w14:paraId="74206CD8" w14:textId="77777777" w:rsidR="006B5103" w:rsidRDefault="006B5103">
      <w:pPr>
        <w:pStyle w:val="Kop4"/>
        <w:divId w:val="2114661829"/>
        <w:rPr>
          <w:rFonts w:eastAsia="Times New Roman"/>
          <w:lang w:val="nl-NL"/>
        </w:rPr>
      </w:pPr>
      <w:r>
        <w:rPr>
          <w:rFonts w:eastAsia="Times New Roman"/>
          <w:lang w:val="nl-NL"/>
        </w:rPr>
        <w:t>Toezicht</w:t>
      </w:r>
    </w:p>
    <w:p w14:paraId="1AFC8CA9" w14:textId="77777777" w:rsidR="006B5103" w:rsidRDefault="006B5103">
      <w:pPr>
        <w:divId w:val="1566406172"/>
        <w:rPr>
          <w:rFonts w:eastAsia="Times New Roman"/>
          <w:lang w:val="nl-NL"/>
        </w:rPr>
      </w:pPr>
      <w:r>
        <w:rPr>
          <w:rFonts w:eastAsia="Times New Roman"/>
          <w:b/>
          <w:bCs/>
          <w:color w:val="FFFFFF"/>
          <w:sz w:val="20"/>
          <w:szCs w:val="20"/>
          <w:shd w:val="clear" w:color="auto" w:fill="8B1E1E"/>
          <w:lang w:val="nl-NL"/>
        </w:rPr>
        <w:t> 14 </w:t>
      </w:r>
      <w:r>
        <w:rPr>
          <w:rFonts w:eastAsia="Times New Roman"/>
          <w:lang w:val="nl-NL"/>
        </w:rPr>
        <w:t xml:space="preserve"> </w:t>
      </w:r>
      <w:r>
        <w:rPr>
          <w:rStyle w:val="actor-naam1"/>
          <w:rFonts w:eastAsia="Times New Roman"/>
          <w:lang w:val="nl-NL"/>
        </w:rPr>
        <w:t>Rijksinstituut voor Ziekte- en Invaliditeitsverzekering (RIZIV)</w:t>
      </w:r>
      <w:r>
        <w:rPr>
          <w:rFonts w:eastAsia="Times New Roman"/>
          <w:lang w:val="nl-NL"/>
        </w:rPr>
        <w:br/>
        <w:t>De centrale federale instelling die de verplichte ziekte- en invaliditeitsverzekering aanstuurt en financiert.</w:t>
      </w:r>
      <w:r>
        <w:rPr>
          <w:rFonts w:eastAsia="Times New Roman"/>
          <w:lang w:val="nl-NL"/>
        </w:rPr>
        <w:br/>
      </w:r>
      <w:r>
        <w:rPr>
          <w:rStyle w:val="actor-rol1"/>
          <w:rFonts w:eastAsia="Times New Roman"/>
          <w:lang w:val="nl-NL"/>
        </w:rPr>
        <w:t>Rol in dit dossier:</w:t>
      </w:r>
      <w:r>
        <w:rPr>
          <w:rFonts w:eastAsia="Times New Roman"/>
          <w:lang w:val="nl-NL"/>
        </w:rPr>
        <w:t xml:space="preserve"> Bevestigt schriftelijk dat medische erkenning losstaat van een financieel uitkeringsrecht, maar weigert in individuele dossiers dwingend in te grijpen op beslissingen van het ziekenfonds. </w:t>
      </w:r>
    </w:p>
    <w:p w14:paraId="65AD0257" w14:textId="77777777" w:rsidR="006B5103" w:rsidRDefault="006B5103">
      <w:pPr>
        <w:divId w:val="860047591"/>
        <w:rPr>
          <w:rFonts w:eastAsia="Times New Roman"/>
          <w:lang w:val="nl-NL"/>
        </w:rPr>
      </w:pPr>
      <w:r>
        <w:rPr>
          <w:rFonts w:eastAsia="Times New Roman"/>
          <w:b/>
          <w:bCs/>
          <w:color w:val="FFFFFF"/>
          <w:sz w:val="20"/>
          <w:szCs w:val="20"/>
          <w:shd w:val="clear" w:color="auto" w:fill="8B1E1E"/>
          <w:lang w:val="nl-NL"/>
        </w:rPr>
        <w:t> 15 </w:t>
      </w:r>
      <w:r>
        <w:rPr>
          <w:rFonts w:eastAsia="Times New Roman"/>
          <w:lang w:val="nl-NL"/>
        </w:rPr>
        <w:t xml:space="preserve"> </w:t>
      </w:r>
      <w:r>
        <w:rPr>
          <w:rStyle w:val="actor-naam1"/>
          <w:rFonts w:eastAsia="Times New Roman"/>
          <w:lang w:val="nl-NL"/>
        </w:rPr>
        <w:t>Controledienst voor de Ziekenfondsen (CDZ)</w:t>
      </w:r>
      <w:r>
        <w:rPr>
          <w:rFonts w:eastAsia="Times New Roman"/>
          <w:lang w:val="nl-NL"/>
        </w:rPr>
        <w:br/>
        <w:t>Federale toezichthouder op de ziekenfondsen.</w:t>
      </w:r>
      <w:r>
        <w:rPr>
          <w:rFonts w:eastAsia="Times New Roman"/>
          <w:lang w:val="nl-NL"/>
        </w:rPr>
        <w:br/>
      </w:r>
      <w:r>
        <w:rPr>
          <w:rStyle w:val="actor-rol1"/>
          <w:rFonts w:eastAsia="Times New Roman"/>
          <w:lang w:val="nl-NL"/>
        </w:rPr>
        <w:t>Rol in dit dossier:</w:t>
      </w:r>
      <w:r>
        <w:rPr>
          <w:rFonts w:eastAsia="Times New Roman"/>
          <w:lang w:val="nl-NL"/>
        </w:rPr>
        <w:t xml:space="preserve"> Verklaart zich onbevoegd voor individuele dossiers. Kwalificeert een structurele schending van het Unierecht als een individueel medisch geschil en sluit het dossier. </w:t>
      </w:r>
    </w:p>
    <w:p w14:paraId="393FA05E" w14:textId="77777777" w:rsidR="006B5103" w:rsidRDefault="006B5103">
      <w:pPr>
        <w:divId w:val="1454399670"/>
        <w:rPr>
          <w:rFonts w:eastAsia="Times New Roman"/>
          <w:lang w:val="nl-NL"/>
        </w:rPr>
      </w:pPr>
      <w:r>
        <w:rPr>
          <w:rFonts w:eastAsia="Times New Roman"/>
          <w:b/>
          <w:bCs/>
          <w:color w:val="FFFFFF"/>
          <w:sz w:val="20"/>
          <w:szCs w:val="20"/>
          <w:shd w:val="clear" w:color="auto" w:fill="8B1E1E"/>
          <w:lang w:val="nl-NL"/>
        </w:rPr>
        <w:t> 16 </w:t>
      </w:r>
      <w:r>
        <w:rPr>
          <w:rFonts w:eastAsia="Times New Roman"/>
          <w:lang w:val="nl-NL"/>
        </w:rPr>
        <w:t xml:space="preserve"> </w:t>
      </w:r>
      <w:r>
        <w:rPr>
          <w:rStyle w:val="actor-naam1"/>
          <w:rFonts w:eastAsia="Times New Roman"/>
          <w:lang w:val="nl-NL"/>
        </w:rPr>
        <w:t>Federale Ombudsman</w:t>
      </w:r>
      <w:r>
        <w:rPr>
          <w:rFonts w:eastAsia="Times New Roman"/>
          <w:lang w:val="nl-NL"/>
        </w:rPr>
        <w:br/>
        <w:t>Onafhankelijke klachtenbehandelaar van de Belgische federale overheid.</w:t>
      </w:r>
      <w:r>
        <w:rPr>
          <w:rFonts w:eastAsia="Times New Roman"/>
          <w:lang w:val="nl-NL"/>
        </w:rPr>
        <w:br/>
      </w:r>
      <w:r>
        <w:rPr>
          <w:rStyle w:val="actor-rol1"/>
          <w:rFonts w:eastAsia="Times New Roman"/>
          <w:lang w:val="nl-NL"/>
        </w:rPr>
        <w:t>Rol in dit dossier:</w:t>
      </w:r>
      <w:r>
        <w:rPr>
          <w:rFonts w:eastAsia="Times New Roman"/>
          <w:lang w:val="nl-NL"/>
        </w:rPr>
        <w:t xml:space="preserve"> Bereikt een procedurele doorbraak bij DG HAN, maar capituleert voor het administratieve verweer van de CM. Sluit het dossier definitief zonder de onderliggende impasse op te lossen. </w:t>
      </w:r>
    </w:p>
    <w:p w14:paraId="58F80B0A" w14:textId="77777777" w:rsidR="006B5103" w:rsidRDefault="006B5103">
      <w:pPr>
        <w:divId w:val="1267274181"/>
        <w:rPr>
          <w:rFonts w:eastAsia="Times New Roman"/>
          <w:lang w:val="nl-NL"/>
        </w:rPr>
      </w:pPr>
      <w:r>
        <w:rPr>
          <w:rFonts w:eastAsia="Times New Roman"/>
          <w:b/>
          <w:bCs/>
          <w:color w:val="FFFFFF"/>
          <w:sz w:val="20"/>
          <w:szCs w:val="20"/>
          <w:shd w:val="clear" w:color="auto" w:fill="8B1E1E"/>
          <w:lang w:val="nl-NL"/>
        </w:rPr>
        <w:t> 17 </w:t>
      </w:r>
      <w:r>
        <w:rPr>
          <w:rFonts w:eastAsia="Times New Roman"/>
          <w:lang w:val="nl-NL"/>
        </w:rPr>
        <w:t xml:space="preserve"> </w:t>
      </w:r>
      <w:r>
        <w:rPr>
          <w:rStyle w:val="actor-naam1"/>
          <w:rFonts w:eastAsia="Times New Roman"/>
          <w:lang w:val="nl-NL"/>
        </w:rPr>
        <w:t>Arbeidsauditoraat Gent</w:t>
      </w:r>
      <w:r>
        <w:rPr>
          <w:rFonts w:eastAsia="Times New Roman"/>
          <w:lang w:val="nl-NL"/>
        </w:rPr>
        <w:br/>
        <w:t>Het gespecialiseerde openbaar ministerie bij de arbeidsrechtbanken, bevoegd voor de sociale zekerheidswetgeving.</w:t>
      </w:r>
      <w:r>
        <w:rPr>
          <w:rFonts w:eastAsia="Times New Roman"/>
          <w:lang w:val="nl-NL"/>
        </w:rPr>
        <w:br/>
      </w:r>
      <w:r>
        <w:rPr>
          <w:rStyle w:val="actor-rol1"/>
          <w:rFonts w:eastAsia="Times New Roman"/>
          <w:lang w:val="nl-NL"/>
        </w:rPr>
        <w:t>Rol in dit dossier:</w:t>
      </w:r>
      <w:r>
        <w:rPr>
          <w:rFonts w:eastAsia="Times New Roman"/>
          <w:lang w:val="nl-NL"/>
        </w:rPr>
        <w:t xml:space="preserve"> Verklaart zich onbevoegd voor toezicht op de ziekenfondsen. Kwalificeert de administratieve impasse als een burgerlijk geschil en verwijst door naar de Arbeidsrechtbank. </w:t>
      </w:r>
    </w:p>
    <w:p w14:paraId="3ECC771E" w14:textId="77777777" w:rsidR="006B5103" w:rsidRDefault="006B5103">
      <w:pPr>
        <w:divId w:val="1327249399"/>
        <w:rPr>
          <w:rFonts w:eastAsia="Times New Roman"/>
          <w:lang w:val="nl-NL"/>
        </w:rPr>
      </w:pPr>
      <w:r>
        <w:rPr>
          <w:rFonts w:eastAsia="Times New Roman"/>
          <w:b/>
          <w:bCs/>
          <w:color w:val="FFFFFF"/>
          <w:sz w:val="20"/>
          <w:szCs w:val="20"/>
          <w:shd w:val="clear" w:color="auto" w:fill="8B1E1E"/>
          <w:lang w:val="nl-NL"/>
        </w:rPr>
        <w:t> 18 </w:t>
      </w:r>
      <w:r>
        <w:rPr>
          <w:rFonts w:eastAsia="Times New Roman"/>
          <w:lang w:val="nl-NL"/>
        </w:rPr>
        <w:t xml:space="preserve"> </w:t>
      </w:r>
      <w:r>
        <w:rPr>
          <w:rStyle w:val="actor-naam1"/>
          <w:rFonts w:eastAsia="Times New Roman"/>
          <w:lang w:val="nl-NL"/>
        </w:rPr>
        <w:t>UNIA (Interfederaal Gelijkekansencentrum)</w:t>
      </w:r>
      <w:r>
        <w:rPr>
          <w:rFonts w:eastAsia="Times New Roman"/>
          <w:lang w:val="nl-NL"/>
        </w:rPr>
        <w:br/>
        <w:t>Onafhankelijke instelling die discriminatie bestrijdt.</w:t>
      </w:r>
      <w:r>
        <w:rPr>
          <w:rFonts w:eastAsia="Times New Roman"/>
          <w:lang w:val="nl-NL"/>
        </w:rPr>
        <w:br/>
      </w:r>
      <w:r>
        <w:rPr>
          <w:rStyle w:val="actor-rol1"/>
          <w:rFonts w:eastAsia="Times New Roman"/>
          <w:lang w:val="nl-NL"/>
        </w:rPr>
        <w:t>Rol in dit dossier:</w:t>
      </w:r>
      <w:r>
        <w:rPr>
          <w:rFonts w:eastAsia="Times New Roman"/>
          <w:lang w:val="nl-NL"/>
        </w:rPr>
        <w:t xml:space="preserve"> Verklaart zich onbevoegd omdat woonplaats geen beschermd criterium is in de antidiscriminatiewetgeving. Uitsluiting die rechtstreeks uit een wet of decreet voortvloeit valt buiten het mandaat. </w:t>
      </w:r>
    </w:p>
    <w:p w14:paraId="450296BC" w14:textId="77777777" w:rsidR="006B5103" w:rsidRDefault="006B5103">
      <w:pPr>
        <w:divId w:val="367998569"/>
        <w:rPr>
          <w:rFonts w:eastAsia="Times New Roman"/>
          <w:lang w:val="nl-NL"/>
        </w:rPr>
      </w:pPr>
      <w:r>
        <w:rPr>
          <w:rFonts w:eastAsia="Times New Roman"/>
          <w:b/>
          <w:bCs/>
          <w:color w:val="FFFFFF"/>
          <w:sz w:val="20"/>
          <w:szCs w:val="20"/>
          <w:shd w:val="clear" w:color="auto" w:fill="8B1E1E"/>
          <w:lang w:val="nl-NL"/>
        </w:rPr>
        <w:t> 19 </w:t>
      </w:r>
      <w:r>
        <w:rPr>
          <w:rFonts w:eastAsia="Times New Roman"/>
          <w:lang w:val="nl-NL"/>
        </w:rPr>
        <w:t xml:space="preserve"> </w:t>
      </w:r>
      <w:r>
        <w:rPr>
          <w:rStyle w:val="actor-naam1"/>
          <w:rFonts w:eastAsia="Times New Roman"/>
          <w:lang w:val="nl-NL"/>
        </w:rPr>
        <w:t>Orde der Artsen</w:t>
      </w:r>
      <w:r>
        <w:rPr>
          <w:rFonts w:eastAsia="Times New Roman"/>
          <w:lang w:val="nl-NL"/>
        </w:rPr>
        <w:br/>
        <w:t>Publiekrechtelijke beroepsorganisatie die toezicht houdt op de medische deontologie en het tuchtrecht uitoefent.</w:t>
      </w:r>
      <w:r>
        <w:rPr>
          <w:rFonts w:eastAsia="Times New Roman"/>
          <w:lang w:val="nl-NL"/>
        </w:rPr>
        <w:br/>
      </w:r>
      <w:r>
        <w:rPr>
          <w:rStyle w:val="actor-rol1"/>
          <w:rFonts w:eastAsia="Times New Roman"/>
          <w:lang w:val="nl-NL"/>
        </w:rPr>
        <w:t>Rol in dit dossier:</w:t>
      </w:r>
      <w:r>
        <w:rPr>
          <w:rFonts w:eastAsia="Times New Roman"/>
          <w:lang w:val="nl-NL"/>
        </w:rPr>
        <w:t xml:space="preserve"> Behandelt klachten over controle- en expertiseartsen binnen een gesloten tuchtrechtelijke procedure. De patiënt is geen procespartij, en het mandaat is beperkt tot het individuele handelen van de arts. </w:t>
      </w:r>
    </w:p>
    <w:p w14:paraId="0F5D862A" w14:textId="77777777" w:rsidR="006B5103" w:rsidRDefault="006B5103">
      <w:pPr>
        <w:pStyle w:val="Kop4"/>
        <w:divId w:val="2114661829"/>
        <w:rPr>
          <w:rFonts w:eastAsia="Times New Roman"/>
          <w:lang w:val="nl-NL"/>
        </w:rPr>
      </w:pPr>
      <w:r>
        <w:rPr>
          <w:rFonts w:eastAsia="Times New Roman"/>
          <w:lang w:val="nl-NL"/>
        </w:rPr>
        <w:t>Politiek</w:t>
      </w:r>
    </w:p>
    <w:p w14:paraId="11F0A0E6" w14:textId="77777777" w:rsidR="006B5103" w:rsidRDefault="006B5103">
      <w:pPr>
        <w:divId w:val="1788892106"/>
        <w:rPr>
          <w:rFonts w:eastAsia="Times New Roman"/>
          <w:lang w:val="nl-NL"/>
        </w:rPr>
      </w:pPr>
      <w:r>
        <w:rPr>
          <w:rFonts w:eastAsia="Times New Roman"/>
          <w:b/>
          <w:bCs/>
          <w:color w:val="FFFFFF"/>
          <w:sz w:val="20"/>
          <w:szCs w:val="20"/>
          <w:shd w:val="clear" w:color="auto" w:fill="8B1E1E"/>
          <w:lang w:val="nl-NL"/>
        </w:rPr>
        <w:t> 20 </w:t>
      </w:r>
      <w:r>
        <w:rPr>
          <w:rFonts w:eastAsia="Times New Roman"/>
          <w:lang w:val="nl-NL"/>
        </w:rPr>
        <w:t xml:space="preserve"> </w:t>
      </w:r>
      <w:r>
        <w:rPr>
          <w:rStyle w:val="actor-naam1"/>
          <w:rFonts w:eastAsia="Times New Roman"/>
          <w:lang w:val="nl-NL"/>
        </w:rPr>
        <w:t>Kamer van Volksvertegenwoordigers — Commissie Sociale Zaken, Werk en Pensioenen</w:t>
      </w:r>
      <w:r>
        <w:rPr>
          <w:rFonts w:eastAsia="Times New Roman"/>
          <w:lang w:val="nl-NL"/>
        </w:rPr>
        <w:br/>
        <w:t>De vaste parlementscommissie die de federale socialezekerheidswetgeving opstelt en de bevoegde ministers controleert.</w:t>
      </w:r>
      <w:r>
        <w:rPr>
          <w:rFonts w:eastAsia="Times New Roman"/>
          <w:lang w:val="nl-NL"/>
        </w:rPr>
        <w:br/>
      </w:r>
      <w:r>
        <w:rPr>
          <w:rStyle w:val="actor-rol1"/>
          <w:rFonts w:eastAsia="Times New Roman"/>
          <w:lang w:val="nl-NL"/>
        </w:rPr>
        <w:t>Rol in dit dossier:</w:t>
      </w:r>
      <w:r>
        <w:rPr>
          <w:rFonts w:eastAsia="Times New Roman"/>
          <w:lang w:val="nl-NL"/>
        </w:rPr>
        <w:t xml:space="preserve"> Ontvangt een gedocumenteerde melding van systeemfalen, maar activeert geen parlementair instrument. Geen vraag, geen interpellatie, geen hoorzitting. </w:t>
      </w:r>
    </w:p>
    <w:p w14:paraId="57594E67" w14:textId="77777777" w:rsidR="006B5103" w:rsidRDefault="006B5103">
      <w:pPr>
        <w:divId w:val="159515045"/>
        <w:rPr>
          <w:rFonts w:eastAsia="Times New Roman"/>
          <w:lang w:val="nl-NL"/>
        </w:rPr>
      </w:pPr>
      <w:r>
        <w:rPr>
          <w:rFonts w:eastAsia="Times New Roman"/>
          <w:b/>
          <w:bCs/>
          <w:color w:val="FFFFFF"/>
          <w:sz w:val="20"/>
          <w:szCs w:val="20"/>
          <w:shd w:val="clear" w:color="auto" w:fill="8B1E1E"/>
          <w:lang w:val="nl-NL"/>
        </w:rPr>
        <w:t> 21 </w:t>
      </w:r>
      <w:r>
        <w:rPr>
          <w:rFonts w:eastAsia="Times New Roman"/>
          <w:lang w:val="nl-NL"/>
        </w:rPr>
        <w:t xml:space="preserve"> </w:t>
      </w:r>
      <w:r>
        <w:rPr>
          <w:rStyle w:val="actor-naam1"/>
          <w:rFonts w:eastAsia="Times New Roman"/>
          <w:lang w:val="nl-NL"/>
        </w:rPr>
        <w:t>Kamer van Volksvertegenwoordigers — Commissie voor de Verzoekschriften</w:t>
      </w:r>
      <w:r>
        <w:rPr>
          <w:rFonts w:eastAsia="Times New Roman"/>
          <w:lang w:val="nl-NL"/>
        </w:rPr>
        <w:br/>
        <w:t>De parlementaire commissie die het grondwettelijke petitierecht behandelt.</w:t>
      </w:r>
      <w:r>
        <w:rPr>
          <w:rFonts w:eastAsia="Times New Roman"/>
          <w:lang w:val="nl-NL"/>
        </w:rPr>
        <w:br/>
      </w:r>
      <w:r>
        <w:rPr>
          <w:rStyle w:val="actor-rol1"/>
          <w:rFonts w:eastAsia="Times New Roman"/>
          <w:lang w:val="nl-NL"/>
        </w:rPr>
        <w:t>Rol in dit dossier:</w:t>
      </w:r>
      <w:r>
        <w:rPr>
          <w:rFonts w:eastAsia="Times New Roman"/>
          <w:lang w:val="nl-NL"/>
        </w:rPr>
        <w:t xml:space="preserve"> Verklaart het verzoekschrift ontvankelijk en stuurt het door naar de bevoegde vakcommissie en de minister. Daarmee stopt de interventie. Procedurele afvinking zonder inhoudelijke actie. </w:t>
      </w:r>
    </w:p>
    <w:p w14:paraId="18219DC3" w14:textId="77777777" w:rsidR="006B5103" w:rsidRDefault="006B5103">
      <w:pPr>
        <w:divId w:val="683093602"/>
        <w:rPr>
          <w:rFonts w:eastAsia="Times New Roman"/>
          <w:lang w:val="nl-NL"/>
        </w:rPr>
      </w:pPr>
      <w:r>
        <w:rPr>
          <w:rFonts w:eastAsia="Times New Roman"/>
          <w:b/>
          <w:bCs/>
          <w:color w:val="FFFFFF"/>
          <w:sz w:val="20"/>
          <w:szCs w:val="20"/>
          <w:shd w:val="clear" w:color="auto" w:fill="8B1E1E"/>
          <w:lang w:val="nl-NL"/>
        </w:rPr>
        <w:t> 22 </w:t>
      </w:r>
      <w:r>
        <w:rPr>
          <w:rFonts w:eastAsia="Times New Roman"/>
          <w:lang w:val="nl-NL"/>
        </w:rPr>
        <w:t xml:space="preserve"> </w:t>
      </w:r>
      <w:r>
        <w:rPr>
          <w:rStyle w:val="actor-naam1"/>
          <w:rFonts w:eastAsia="Times New Roman"/>
          <w:lang w:val="nl-NL"/>
        </w:rPr>
        <w:t>Belgische Politieke Partijen</w:t>
      </w:r>
      <w:r>
        <w:rPr>
          <w:rFonts w:eastAsia="Times New Roman"/>
          <w:lang w:val="nl-NL"/>
        </w:rPr>
        <w:br/>
        <w:t>De partijen die de wetgevende en uitvoerende macht vormen.</w:t>
      </w:r>
      <w:r>
        <w:rPr>
          <w:rFonts w:eastAsia="Times New Roman"/>
          <w:lang w:val="nl-NL"/>
        </w:rPr>
        <w:br/>
      </w:r>
      <w:r>
        <w:rPr>
          <w:rStyle w:val="actor-rol1"/>
          <w:rFonts w:eastAsia="Times New Roman"/>
          <w:lang w:val="nl-NL"/>
        </w:rPr>
        <w:t>Rol in dit dossier:</w:t>
      </w:r>
      <w:r>
        <w:rPr>
          <w:rFonts w:eastAsia="Times New Roman"/>
          <w:lang w:val="nl-NL"/>
        </w:rPr>
        <w:t xml:space="preserve"> Negen partijen worden aangeschreven. Vijf produceren geen reactie. De andere vier verwijzen naar studiediensten of verklaren zich onbevoegd. Geen enkele partij activeert een parlementair instrument. </w:t>
      </w:r>
    </w:p>
    <w:p w14:paraId="5CADFB3C" w14:textId="77777777" w:rsidR="006B5103" w:rsidRDefault="006B5103">
      <w:pPr>
        <w:pStyle w:val="Kop4"/>
        <w:divId w:val="2114661829"/>
        <w:rPr>
          <w:rFonts w:eastAsia="Times New Roman"/>
          <w:lang w:val="nl-NL"/>
        </w:rPr>
      </w:pPr>
      <w:r>
        <w:rPr>
          <w:rFonts w:eastAsia="Times New Roman"/>
          <w:lang w:val="nl-NL"/>
        </w:rPr>
        <w:t>Symboliek</w:t>
      </w:r>
    </w:p>
    <w:p w14:paraId="198C0BE2" w14:textId="77777777" w:rsidR="006B5103" w:rsidRDefault="006B5103">
      <w:pPr>
        <w:divId w:val="1893693319"/>
        <w:rPr>
          <w:rFonts w:eastAsia="Times New Roman"/>
          <w:lang w:val="nl-NL"/>
        </w:rPr>
      </w:pPr>
      <w:r>
        <w:rPr>
          <w:rFonts w:eastAsia="Times New Roman"/>
          <w:b/>
          <w:bCs/>
          <w:color w:val="FFFFFF"/>
          <w:sz w:val="20"/>
          <w:szCs w:val="20"/>
          <w:shd w:val="clear" w:color="auto" w:fill="8B1E1E"/>
          <w:lang w:val="nl-NL"/>
        </w:rPr>
        <w:t> 23 </w:t>
      </w:r>
      <w:r>
        <w:rPr>
          <w:rFonts w:eastAsia="Times New Roman"/>
          <w:lang w:val="nl-NL"/>
        </w:rPr>
        <w:t xml:space="preserve"> </w:t>
      </w:r>
      <w:r>
        <w:rPr>
          <w:rStyle w:val="actor-naam1"/>
          <w:rFonts w:eastAsia="Times New Roman"/>
          <w:lang w:val="nl-NL"/>
        </w:rPr>
        <w:t>Koninklijk Paleis van België</w:t>
      </w:r>
      <w:r>
        <w:rPr>
          <w:rFonts w:eastAsia="Times New Roman"/>
          <w:lang w:val="nl-NL"/>
        </w:rPr>
        <w:br/>
        <w:t>Het kabinet van de Koning, dat verzoekschriften van burgers behandelt.</w:t>
      </w:r>
      <w:r>
        <w:rPr>
          <w:rFonts w:eastAsia="Times New Roman"/>
          <w:lang w:val="nl-NL"/>
        </w:rPr>
        <w:br/>
      </w:r>
      <w:r>
        <w:rPr>
          <w:rStyle w:val="actor-rol1"/>
          <w:rFonts w:eastAsia="Times New Roman"/>
          <w:lang w:val="nl-NL"/>
        </w:rPr>
        <w:t>Rol in dit dossier:</w:t>
      </w:r>
      <w:r>
        <w:rPr>
          <w:rFonts w:eastAsia="Times New Roman"/>
          <w:lang w:val="nl-NL"/>
        </w:rPr>
        <w:t xml:space="preserve"> Symbolische eindhalte. Bevestigt de ontvangst en stuurt door naar de bevoegde minister — waarmee de burger terug bij de uitvoeringslaag belandt. De mailserver van het Paleis is technisch onbereikbaar.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F8A0E34" w14:textId="77777777">
        <w:trPr>
          <w:divId w:val="2114661829"/>
        </w:trPr>
        <w:tc>
          <w:tcPr>
            <w:tcW w:w="0" w:type="auto"/>
            <w:tcBorders>
              <w:top w:val="single" w:sz="6" w:space="0" w:color="D5D0C5"/>
              <w:left w:val="single" w:sz="36" w:space="0" w:color="1A3C6E"/>
              <w:bottom w:val="single" w:sz="6" w:space="0" w:color="D5D0C5"/>
              <w:right w:val="single" w:sz="6" w:space="0" w:color="D5D0C5"/>
            </w:tcBorders>
            <w:shd w:val="clear" w:color="auto" w:fill="EDF2F8"/>
            <w:tcMar>
              <w:top w:w="160" w:type="dxa"/>
              <w:left w:w="240" w:type="dxa"/>
              <w:bottom w:w="160" w:type="dxa"/>
              <w:right w:w="240" w:type="dxa"/>
            </w:tcMar>
            <w:hideMark/>
          </w:tcPr>
          <w:p w14:paraId="2CB0A3D6" w14:textId="77777777" w:rsidR="006B5103" w:rsidRDefault="006B5103">
            <w:pPr>
              <w:spacing w:before="240" w:after="240"/>
              <w:rPr>
                <w:rFonts w:eastAsia="Times New Roman"/>
                <w:sz w:val="21"/>
                <w:szCs w:val="21"/>
              </w:rPr>
            </w:pPr>
            <w:r>
              <w:rPr>
                <w:rStyle w:val="Zwaar"/>
                <w:rFonts w:eastAsia="Times New Roman"/>
                <w:sz w:val="21"/>
                <w:szCs w:val="21"/>
              </w:rPr>
              <w:t>WERELD NEDERLAND</w:t>
            </w:r>
          </w:p>
        </w:tc>
      </w:tr>
    </w:tbl>
    <w:p w14:paraId="3E4FA2FA" w14:textId="77777777" w:rsidR="006B5103" w:rsidRDefault="006B5103">
      <w:pPr>
        <w:pStyle w:val="Kop4"/>
        <w:divId w:val="2114661829"/>
        <w:rPr>
          <w:rFonts w:eastAsia="Times New Roman"/>
          <w:lang w:val="nl-NL"/>
        </w:rPr>
      </w:pPr>
      <w:r>
        <w:rPr>
          <w:rFonts w:eastAsia="Times New Roman"/>
          <w:lang w:val="nl-NL"/>
        </w:rPr>
        <w:t>Uitvoering</w:t>
      </w:r>
    </w:p>
    <w:p w14:paraId="102C329B" w14:textId="77777777" w:rsidR="006B5103" w:rsidRDefault="006B5103">
      <w:pPr>
        <w:divId w:val="538081226"/>
        <w:rPr>
          <w:rFonts w:eastAsia="Times New Roman"/>
          <w:lang w:val="nl-NL"/>
        </w:rPr>
      </w:pPr>
      <w:r>
        <w:rPr>
          <w:rFonts w:eastAsia="Times New Roman"/>
          <w:b/>
          <w:bCs/>
          <w:color w:val="FFFFFF"/>
          <w:sz w:val="20"/>
          <w:szCs w:val="20"/>
          <w:shd w:val="clear" w:color="auto" w:fill="1A3C6E"/>
          <w:lang w:val="nl-NL"/>
        </w:rPr>
        <w:t> 24 </w:t>
      </w:r>
      <w:r>
        <w:rPr>
          <w:rFonts w:eastAsia="Times New Roman"/>
          <w:lang w:val="nl-NL"/>
        </w:rPr>
        <w:t xml:space="preserve"> </w:t>
      </w:r>
      <w:r>
        <w:rPr>
          <w:rStyle w:val="actor-naam1"/>
          <w:rFonts w:eastAsia="Times New Roman"/>
          <w:lang w:val="nl-NL"/>
        </w:rPr>
        <w:t>CZ (Centrale Zorgverzekeraar)</w:t>
      </w:r>
      <w:r>
        <w:rPr>
          <w:rFonts w:eastAsia="Times New Roman"/>
          <w:lang w:val="nl-NL"/>
        </w:rPr>
        <w:br/>
      </w:r>
      <w:r>
        <w:rPr>
          <w:rFonts w:eastAsia="Times New Roman"/>
          <w:lang w:val="nl-NL"/>
        </w:rPr>
        <w:t>Grote Nederlandse zorgverzekeraar die de verplichte basisverzekering uitvoert en de verdragspolis aan Nederlandse zijde beheert.</w:t>
      </w:r>
      <w:r>
        <w:rPr>
          <w:rFonts w:eastAsia="Times New Roman"/>
          <w:lang w:val="nl-NL"/>
        </w:rPr>
        <w:br/>
      </w:r>
      <w:r>
        <w:rPr>
          <w:rStyle w:val="actor-rol1"/>
          <w:rFonts w:eastAsia="Times New Roman"/>
          <w:lang w:val="nl-NL"/>
        </w:rPr>
        <w:t>Rol in dit dossier:</w:t>
      </w:r>
      <w:r>
        <w:rPr>
          <w:rFonts w:eastAsia="Times New Roman"/>
          <w:lang w:val="nl-NL"/>
        </w:rPr>
        <w:t xml:space="preserve"> Vergoedt medische rekeningen, maar weigert ziekenvervoer op basis van een perimetrie-eis die in België niet standaard wordt gemeten. Verzuimt de verdragspolis te registreren in het RIV-register. </w:t>
      </w:r>
    </w:p>
    <w:p w14:paraId="0A9E195D" w14:textId="77777777" w:rsidR="006B5103" w:rsidRDefault="006B5103">
      <w:pPr>
        <w:divId w:val="471561411"/>
        <w:rPr>
          <w:rFonts w:eastAsia="Times New Roman"/>
          <w:lang w:val="nl-NL"/>
        </w:rPr>
      </w:pPr>
      <w:r>
        <w:rPr>
          <w:rFonts w:eastAsia="Times New Roman"/>
          <w:b/>
          <w:bCs/>
          <w:color w:val="FFFFFF"/>
          <w:sz w:val="20"/>
          <w:szCs w:val="20"/>
          <w:shd w:val="clear" w:color="auto" w:fill="1A3C6E"/>
          <w:lang w:val="nl-NL"/>
        </w:rPr>
        <w:t> 25 </w:t>
      </w:r>
      <w:r>
        <w:rPr>
          <w:rFonts w:eastAsia="Times New Roman"/>
          <w:lang w:val="nl-NL"/>
        </w:rPr>
        <w:t xml:space="preserve"> </w:t>
      </w:r>
      <w:r>
        <w:rPr>
          <w:rStyle w:val="actor-naam1"/>
          <w:rFonts w:eastAsia="Times New Roman"/>
          <w:lang w:val="nl-NL"/>
        </w:rPr>
        <w:t>ZorgSaam</w:t>
      </w:r>
      <w:r>
        <w:rPr>
          <w:rFonts w:eastAsia="Times New Roman"/>
          <w:lang w:val="nl-NL"/>
        </w:rPr>
        <w:br/>
        <w:t>Regionale zorgaanbieder in Zeeuws-Vlaanderen.</w:t>
      </w:r>
      <w:r>
        <w:rPr>
          <w:rFonts w:eastAsia="Times New Roman"/>
          <w:lang w:val="nl-NL"/>
        </w:rPr>
        <w:br/>
      </w:r>
      <w:r>
        <w:rPr>
          <w:rStyle w:val="actor-rol1"/>
          <w:rFonts w:eastAsia="Times New Roman"/>
          <w:lang w:val="nl-NL"/>
        </w:rPr>
        <w:t>Rol in dit dossier:</w:t>
      </w:r>
      <w:r>
        <w:rPr>
          <w:rFonts w:eastAsia="Times New Roman"/>
          <w:lang w:val="nl-NL"/>
        </w:rPr>
        <w:t xml:space="preserve"> Levert maandenlang complexe wondzorg aan huis en documenteert 126 klinische entries. Deze rapportage is niet automatisch zichtbaar voor UWV, CZ of de Belgische sociale zekerheid. Externe Belgische documenten worden passief gearchiveerd onder een multimedia-tab. </w:t>
      </w:r>
    </w:p>
    <w:p w14:paraId="6E3FA8F9" w14:textId="77777777" w:rsidR="006B5103" w:rsidRDefault="006B5103">
      <w:pPr>
        <w:divId w:val="3366720"/>
        <w:rPr>
          <w:rFonts w:eastAsia="Times New Roman"/>
          <w:lang w:val="nl-NL"/>
        </w:rPr>
      </w:pPr>
      <w:r>
        <w:rPr>
          <w:rFonts w:eastAsia="Times New Roman"/>
          <w:b/>
          <w:bCs/>
          <w:color w:val="FFFFFF"/>
          <w:sz w:val="20"/>
          <w:szCs w:val="20"/>
          <w:shd w:val="clear" w:color="auto" w:fill="1A3C6E"/>
          <w:lang w:val="nl-NL"/>
        </w:rPr>
        <w:t> 26 </w:t>
      </w:r>
      <w:r>
        <w:rPr>
          <w:rFonts w:eastAsia="Times New Roman"/>
          <w:lang w:val="nl-NL"/>
        </w:rPr>
        <w:t xml:space="preserve"> </w:t>
      </w:r>
      <w:r>
        <w:rPr>
          <w:rStyle w:val="actor-naam1"/>
          <w:rFonts w:eastAsia="Times New Roman"/>
          <w:lang w:val="nl-NL"/>
        </w:rPr>
        <w:t>CAK (Centraal Administratie Kantoor)</w:t>
      </w:r>
      <w:r>
        <w:rPr>
          <w:rFonts w:eastAsia="Times New Roman"/>
          <w:lang w:val="nl-NL"/>
        </w:rPr>
        <w:br/>
        <w:t>Zelfstandig bestuursorgaan dat het landelijke verzekeringsregister (RIV) beheert en de verdragsregelingen uitvoert.</w:t>
      </w:r>
      <w:r>
        <w:rPr>
          <w:rFonts w:eastAsia="Times New Roman"/>
          <w:lang w:val="nl-NL"/>
        </w:rPr>
        <w:br/>
      </w:r>
      <w:r>
        <w:rPr>
          <w:rStyle w:val="actor-rol1"/>
          <w:rFonts w:eastAsia="Times New Roman"/>
          <w:lang w:val="nl-NL"/>
        </w:rPr>
        <w:t>Rol in dit dossier:</w:t>
      </w:r>
      <w:r>
        <w:rPr>
          <w:rFonts w:eastAsia="Times New Roman"/>
          <w:lang w:val="nl-NL"/>
        </w:rPr>
        <w:t xml:space="preserve"> Weigert de verdragspolis te registreren met een procedureel argument: het systeem kent alleen de "gewone" grensarbeider (werken in Nederland, wonen in het buitenland), niet de omgekeerde situatie (wonen in Nederland, werken in België). De computer kent het veld niet. </w:t>
      </w:r>
    </w:p>
    <w:p w14:paraId="1B424E66" w14:textId="77777777" w:rsidR="006B5103" w:rsidRDefault="006B5103">
      <w:pPr>
        <w:divId w:val="972369585"/>
        <w:rPr>
          <w:rFonts w:eastAsia="Times New Roman"/>
          <w:lang w:val="nl-NL"/>
        </w:rPr>
      </w:pPr>
      <w:r>
        <w:rPr>
          <w:rFonts w:eastAsia="Times New Roman"/>
          <w:b/>
          <w:bCs/>
          <w:color w:val="FFFFFF"/>
          <w:sz w:val="20"/>
          <w:szCs w:val="20"/>
          <w:shd w:val="clear" w:color="auto" w:fill="1A3C6E"/>
          <w:lang w:val="nl-NL"/>
        </w:rPr>
        <w:t> 27 </w:t>
      </w:r>
      <w:r>
        <w:rPr>
          <w:rFonts w:eastAsia="Times New Roman"/>
          <w:lang w:val="nl-NL"/>
        </w:rPr>
        <w:t xml:space="preserve"> </w:t>
      </w:r>
      <w:r>
        <w:rPr>
          <w:rStyle w:val="actor-naam1"/>
          <w:rFonts w:eastAsia="Times New Roman"/>
          <w:lang w:val="nl-NL"/>
        </w:rPr>
        <w:t>Zorginstituut Nederland (ZIN) — uitvoering</w:t>
      </w:r>
      <w:r>
        <w:rPr>
          <w:rFonts w:eastAsia="Times New Roman"/>
          <w:lang w:val="nl-NL"/>
        </w:rPr>
        <w:br/>
        <w:t>Zelfstandig bestuursorgaan onder het Ministerie van VWS.</w:t>
      </w:r>
      <w:r>
        <w:rPr>
          <w:rFonts w:eastAsia="Times New Roman"/>
          <w:lang w:val="nl-NL"/>
        </w:rPr>
        <w:br/>
      </w:r>
      <w:r>
        <w:rPr>
          <w:rStyle w:val="actor-rol1"/>
          <w:rFonts w:eastAsia="Times New Roman"/>
          <w:lang w:val="nl-NL"/>
        </w:rPr>
        <w:t>Rol in dit dossier:</w:t>
      </w:r>
      <w:r>
        <w:rPr>
          <w:rFonts w:eastAsia="Times New Roman"/>
          <w:lang w:val="nl-NL"/>
        </w:rPr>
        <w:t xml:space="preserve"> Beheert en superviseert het RIV-register op systeemniveau, maar weigert inzage in individuele persoonsgegevens. Verwijst terug naar CZ en het CAK. </w:t>
      </w:r>
    </w:p>
    <w:p w14:paraId="59C64EEF" w14:textId="77777777" w:rsidR="006B5103" w:rsidRDefault="006B5103">
      <w:pPr>
        <w:divId w:val="1545485949"/>
        <w:rPr>
          <w:rFonts w:eastAsia="Times New Roman"/>
          <w:lang w:val="nl-NL"/>
        </w:rPr>
      </w:pPr>
      <w:r>
        <w:rPr>
          <w:rFonts w:eastAsia="Times New Roman"/>
          <w:b/>
          <w:bCs/>
          <w:color w:val="FFFFFF"/>
          <w:sz w:val="20"/>
          <w:szCs w:val="20"/>
          <w:shd w:val="clear" w:color="auto" w:fill="1A3C6E"/>
          <w:lang w:val="nl-NL"/>
        </w:rPr>
        <w:t> 28 </w:t>
      </w:r>
      <w:r>
        <w:rPr>
          <w:rFonts w:eastAsia="Times New Roman"/>
          <w:lang w:val="nl-NL"/>
        </w:rPr>
        <w:t xml:space="preserve"> </w:t>
      </w:r>
      <w:r>
        <w:rPr>
          <w:rStyle w:val="actor-naam1"/>
          <w:rFonts w:eastAsia="Times New Roman"/>
          <w:lang w:val="nl-NL"/>
        </w:rPr>
        <w:t>Pallion Huisartsenpraktijk</w:t>
      </w:r>
      <w:r>
        <w:rPr>
          <w:rFonts w:eastAsia="Times New Roman"/>
          <w:lang w:val="nl-NL"/>
        </w:rPr>
        <w:br/>
        <w:t>Eerstelijns huisartsenpraktijk in Hulst.</w:t>
      </w:r>
      <w:r>
        <w:rPr>
          <w:rFonts w:eastAsia="Times New Roman"/>
          <w:lang w:val="nl-NL"/>
        </w:rPr>
        <w:br/>
      </w:r>
      <w:r>
        <w:rPr>
          <w:rStyle w:val="actor-rol1"/>
          <w:rFonts w:eastAsia="Times New Roman"/>
          <w:lang w:val="nl-NL"/>
        </w:rPr>
        <w:t>Rol in dit dossier:</w:t>
      </w:r>
      <w:r>
        <w:rPr>
          <w:rFonts w:eastAsia="Times New Roman"/>
          <w:lang w:val="nl-NL"/>
        </w:rPr>
        <w:t xml:space="preserve"> Weigert informatieve inschrijving. De Nederlandse wet verbiedt dubbele inschrijvingen over de grens. De patiënt heeft in zijn eigen woonland geen lokale medische achterwacht die zijn Belgische dossier kent. </w:t>
      </w:r>
    </w:p>
    <w:p w14:paraId="27CF034A" w14:textId="77777777" w:rsidR="006B5103" w:rsidRDefault="006B5103">
      <w:pPr>
        <w:divId w:val="1377318961"/>
        <w:rPr>
          <w:rFonts w:eastAsia="Times New Roman"/>
          <w:lang w:val="nl-NL"/>
        </w:rPr>
      </w:pPr>
      <w:r>
        <w:rPr>
          <w:rFonts w:eastAsia="Times New Roman"/>
          <w:b/>
          <w:bCs/>
          <w:color w:val="FFFFFF"/>
          <w:sz w:val="20"/>
          <w:szCs w:val="20"/>
          <w:shd w:val="clear" w:color="auto" w:fill="1A3C6E"/>
          <w:lang w:val="nl-NL"/>
        </w:rPr>
        <w:t> 29 </w:t>
      </w:r>
      <w:r>
        <w:rPr>
          <w:rFonts w:eastAsia="Times New Roman"/>
          <w:lang w:val="nl-NL"/>
        </w:rPr>
        <w:t xml:space="preserve"> </w:t>
      </w:r>
      <w:r>
        <w:rPr>
          <w:rStyle w:val="actor-naam1"/>
          <w:rFonts w:eastAsia="Times New Roman"/>
          <w:lang w:val="nl-NL"/>
        </w:rPr>
        <w:t>Onafhankelijke Experts NL</w:t>
      </w:r>
      <w:r>
        <w:rPr>
          <w:rFonts w:eastAsia="Times New Roman"/>
          <w:lang w:val="nl-NL"/>
        </w:rPr>
        <w:br/>
        <w:t>Publieke en private keuringsartsen en medische beoordelaars.</w:t>
      </w:r>
      <w:r>
        <w:rPr>
          <w:rFonts w:eastAsia="Times New Roman"/>
          <w:lang w:val="nl-NL"/>
        </w:rPr>
        <w:br/>
      </w:r>
      <w:r>
        <w:rPr>
          <w:rStyle w:val="actor-rol1"/>
          <w:rFonts w:eastAsia="Times New Roman"/>
          <w:lang w:val="nl-NL"/>
        </w:rPr>
        <w:t>Rol in dit dossier:</w:t>
      </w:r>
      <w:r>
        <w:rPr>
          <w:rFonts w:eastAsia="Times New Roman"/>
          <w:lang w:val="nl-NL"/>
        </w:rPr>
        <w:t xml:space="preserve"> De GGD weigert particulieren. Huisartsen weigeren niet-patiënten. Commerciële bureaus vragen exorbitante tarieven voor een keuring op afstand. Het systeem eist een Nederlandse medische nulmeting maar produceert geen toegankelijke weg om die te verkrijgen. </w:t>
      </w:r>
    </w:p>
    <w:p w14:paraId="4BBDE6E7" w14:textId="77777777" w:rsidR="006B5103" w:rsidRDefault="006B5103">
      <w:pPr>
        <w:divId w:val="1192034553"/>
        <w:rPr>
          <w:rFonts w:eastAsia="Times New Roman"/>
          <w:lang w:val="nl-NL"/>
        </w:rPr>
      </w:pPr>
      <w:r>
        <w:rPr>
          <w:rFonts w:eastAsia="Times New Roman"/>
          <w:b/>
          <w:bCs/>
          <w:color w:val="FFFFFF"/>
          <w:sz w:val="20"/>
          <w:szCs w:val="20"/>
          <w:shd w:val="clear" w:color="auto" w:fill="1A3C6E"/>
          <w:lang w:val="nl-NL"/>
        </w:rPr>
        <w:t> 30 </w:t>
      </w:r>
      <w:r>
        <w:rPr>
          <w:rFonts w:eastAsia="Times New Roman"/>
          <w:lang w:val="nl-NL"/>
        </w:rPr>
        <w:t xml:space="preserve"> </w:t>
      </w:r>
      <w:r>
        <w:rPr>
          <w:rStyle w:val="actor-naam1"/>
          <w:rFonts w:eastAsia="Times New Roman"/>
          <w:lang w:val="nl-NL"/>
        </w:rPr>
        <w:t>Uitvoeringsinstituut Werknemersverzekeringen (UWV)</w:t>
      </w:r>
      <w:r>
        <w:rPr>
          <w:rFonts w:eastAsia="Times New Roman"/>
          <w:lang w:val="nl-NL"/>
        </w:rPr>
        <w:br/>
        <w:t>Zelfstandig bestuursorgaan dat de werknemersverzekeringen (WIA, WW, Ziektewet) uitvoert en sociaal-medische beoordelingen verricht.</w:t>
      </w:r>
      <w:r>
        <w:rPr>
          <w:rFonts w:eastAsia="Times New Roman"/>
          <w:lang w:val="nl-NL"/>
        </w:rPr>
        <w:br/>
      </w:r>
      <w:r>
        <w:rPr>
          <w:rStyle w:val="actor-rol1"/>
          <w:rFonts w:eastAsia="Times New Roman"/>
          <w:lang w:val="nl-NL"/>
        </w:rPr>
        <w:t>Rol in dit dossier:</w:t>
      </w:r>
      <w:r>
        <w:rPr>
          <w:rFonts w:eastAsia="Times New Roman"/>
          <w:lang w:val="nl-NL"/>
        </w:rPr>
        <w:t xml:space="preserve"> Past het Vester-arrest niet toe. Hanteert een foutieve peildatum (11 mei in plaats van 11 april 2025) en weigert de medische situatie inhoudelijk te beoordelen. Levert een gebrekkig PD U1 af waarin 21 jaar Belgische loopbaan wordt gewist. </w:t>
      </w:r>
    </w:p>
    <w:p w14:paraId="4F500E86" w14:textId="77777777" w:rsidR="006B5103" w:rsidRDefault="006B5103">
      <w:pPr>
        <w:divId w:val="1206911852"/>
        <w:rPr>
          <w:rFonts w:eastAsia="Times New Roman"/>
          <w:lang w:val="nl-NL"/>
        </w:rPr>
      </w:pPr>
      <w:r>
        <w:rPr>
          <w:rFonts w:eastAsia="Times New Roman"/>
          <w:b/>
          <w:bCs/>
          <w:color w:val="FFFFFF"/>
          <w:sz w:val="20"/>
          <w:szCs w:val="20"/>
          <w:shd w:val="clear" w:color="auto" w:fill="1A3C6E"/>
          <w:lang w:val="nl-NL"/>
        </w:rPr>
        <w:t> 31 </w:t>
      </w:r>
      <w:r>
        <w:rPr>
          <w:rFonts w:eastAsia="Times New Roman"/>
          <w:lang w:val="nl-NL"/>
        </w:rPr>
        <w:t xml:space="preserve"> </w:t>
      </w:r>
      <w:r>
        <w:rPr>
          <w:rStyle w:val="actor-naam1"/>
          <w:rFonts w:eastAsia="Times New Roman"/>
          <w:lang w:val="nl-NL"/>
        </w:rPr>
        <w:t>Sociale Verzekeringsbank (SVB) met Bureau voor Belgische Zaken (BBZ)</w:t>
      </w:r>
      <w:r>
        <w:rPr>
          <w:rFonts w:eastAsia="Times New Roman"/>
          <w:lang w:val="nl-NL"/>
        </w:rPr>
        <w:br/>
        <w:t>Uitvoerder van de Nederlandse volksverzekeringen, met een gespecialiseerd bemiddelingsloket voor grensarbeiders.</w:t>
      </w:r>
      <w:r>
        <w:rPr>
          <w:rFonts w:eastAsia="Times New Roman"/>
          <w:lang w:val="nl-NL"/>
        </w:rPr>
        <w:br/>
      </w:r>
      <w:r>
        <w:rPr>
          <w:rStyle w:val="actor-rol1"/>
          <w:rFonts w:eastAsia="Times New Roman"/>
          <w:lang w:val="nl-NL"/>
        </w:rPr>
        <w:t>Rol in dit dossier:</w:t>
      </w:r>
      <w:r>
        <w:rPr>
          <w:rFonts w:eastAsia="Times New Roman"/>
          <w:lang w:val="nl-NL"/>
        </w:rPr>
        <w:t xml:space="preserve"> Kent de kinderbijslag toe aan de vader omdat de moeder in België werkt, en activeert daarmee het kindgebonden budget. Het BBZ bemiddelt tussen RIZIV en UWV, maar kan niets afdwingen. De bemiddelingsrol wordt beëindigd zonder resultaat. </w:t>
      </w:r>
    </w:p>
    <w:p w14:paraId="4D4A0604" w14:textId="77777777" w:rsidR="006B5103" w:rsidRDefault="006B5103">
      <w:pPr>
        <w:divId w:val="1267495650"/>
        <w:rPr>
          <w:rFonts w:eastAsia="Times New Roman"/>
          <w:lang w:val="nl-NL"/>
        </w:rPr>
      </w:pPr>
      <w:r>
        <w:rPr>
          <w:rFonts w:eastAsia="Times New Roman"/>
          <w:b/>
          <w:bCs/>
          <w:color w:val="FFFFFF"/>
          <w:sz w:val="20"/>
          <w:szCs w:val="20"/>
          <w:shd w:val="clear" w:color="auto" w:fill="1A3C6E"/>
          <w:lang w:val="nl-NL"/>
        </w:rPr>
        <w:t> 32 </w:t>
      </w:r>
      <w:r>
        <w:rPr>
          <w:rFonts w:eastAsia="Times New Roman"/>
          <w:lang w:val="nl-NL"/>
        </w:rPr>
        <w:t xml:space="preserve"> </w:t>
      </w:r>
      <w:r>
        <w:rPr>
          <w:rStyle w:val="actor-naam1"/>
          <w:rFonts w:eastAsia="Times New Roman"/>
          <w:lang w:val="nl-NL"/>
        </w:rPr>
        <w:t>Belastingdienst (inclusief Dienst Toeslagen)</w:t>
      </w:r>
      <w:r>
        <w:rPr>
          <w:rFonts w:eastAsia="Times New Roman"/>
          <w:lang w:val="nl-NL"/>
        </w:rPr>
        <w:br/>
        <w:t>De Nederlandse rijksbelastingdienst voor heffing van inkomstenbelasting en premies, en uitbetaling van inkomensafhankelijke toeslagen.</w:t>
      </w:r>
      <w:r>
        <w:rPr>
          <w:rFonts w:eastAsia="Times New Roman"/>
          <w:lang w:val="nl-NL"/>
        </w:rPr>
        <w:br/>
      </w:r>
      <w:r>
        <w:rPr>
          <w:rStyle w:val="actor-rol1"/>
          <w:rFonts w:eastAsia="Times New Roman"/>
          <w:lang w:val="nl-NL"/>
        </w:rPr>
        <w:t>Rol in dit dossier:</w:t>
      </w:r>
      <w:r>
        <w:rPr>
          <w:rFonts w:eastAsia="Times New Roman"/>
          <w:lang w:val="nl-NL"/>
        </w:rPr>
        <w:t xml:space="preserve"> Het online aangifteportaal is gebouwd voor een huishouden met Nederlands belastbaar inkomen. Een grensarbeidershuishouden met buitenlands inkomen produceert een nulresultaat. De zorgtoeslag blijft op nul door de RIV-blokkade; huurtoeslag en kindgebonden budget worden deels toegekend. </w:t>
      </w:r>
    </w:p>
    <w:p w14:paraId="2BD5B167" w14:textId="77777777" w:rsidR="006B5103" w:rsidRDefault="006B5103">
      <w:pPr>
        <w:divId w:val="2099909286"/>
        <w:rPr>
          <w:rFonts w:eastAsia="Times New Roman"/>
          <w:lang w:val="nl-NL"/>
        </w:rPr>
      </w:pPr>
      <w:r>
        <w:rPr>
          <w:rFonts w:eastAsia="Times New Roman"/>
          <w:b/>
          <w:bCs/>
          <w:color w:val="FFFFFF"/>
          <w:sz w:val="20"/>
          <w:szCs w:val="20"/>
          <w:shd w:val="clear" w:color="auto" w:fill="1A3C6E"/>
          <w:lang w:val="nl-NL"/>
        </w:rPr>
        <w:t> 33 </w:t>
      </w:r>
      <w:r>
        <w:rPr>
          <w:rFonts w:eastAsia="Times New Roman"/>
          <w:lang w:val="nl-NL"/>
        </w:rPr>
        <w:t xml:space="preserve"> </w:t>
      </w:r>
      <w:r>
        <w:rPr>
          <w:rStyle w:val="actor-naam1"/>
          <w:rFonts w:eastAsia="Times New Roman"/>
          <w:lang w:val="nl-NL"/>
        </w:rPr>
        <w:t>ING Nederland</w:t>
      </w:r>
      <w:r>
        <w:rPr>
          <w:rFonts w:eastAsia="Times New Roman"/>
          <w:lang w:val="nl-NL"/>
        </w:rPr>
        <w:br/>
        <w:t>Commerciële huisbank.</w:t>
      </w:r>
      <w:r>
        <w:rPr>
          <w:rFonts w:eastAsia="Times New Roman"/>
          <w:lang w:val="nl-NL"/>
        </w:rPr>
        <w:br/>
      </w:r>
      <w:r>
        <w:rPr>
          <w:rStyle w:val="actor-rol1"/>
          <w:rFonts w:eastAsia="Times New Roman"/>
          <w:lang w:val="nl-NL"/>
        </w:rPr>
        <w:t>Rol in dit dossier:</w:t>
      </w:r>
      <w:r>
        <w:rPr>
          <w:rFonts w:eastAsia="Times New Roman"/>
          <w:lang w:val="nl-NL"/>
        </w:rPr>
        <w:t xml:space="preserve"> </w:t>
      </w:r>
      <w:r>
        <w:rPr>
          <w:rFonts w:eastAsia="Times New Roman"/>
          <w:lang w:val="nl-NL"/>
        </w:rPr>
        <w:t xml:space="preserve">Biedt een betalingsregeling voor de opgelopen roodstand en creditcardschuld (ca. € 6.709 totaal), met strikte bancaire beperkingen. De bank wordt de facto schuldeiser van de falende verzorgingsstaat. </w:t>
      </w:r>
    </w:p>
    <w:p w14:paraId="4003901D" w14:textId="77777777" w:rsidR="006B5103" w:rsidRDefault="006B5103">
      <w:pPr>
        <w:divId w:val="1710062108"/>
        <w:rPr>
          <w:rFonts w:eastAsia="Times New Roman"/>
          <w:lang w:val="nl-NL"/>
        </w:rPr>
      </w:pPr>
      <w:r>
        <w:rPr>
          <w:rFonts w:eastAsia="Times New Roman"/>
          <w:b/>
          <w:bCs/>
          <w:color w:val="FFFFFF"/>
          <w:sz w:val="20"/>
          <w:szCs w:val="20"/>
          <w:shd w:val="clear" w:color="auto" w:fill="1A3C6E"/>
          <w:lang w:val="nl-NL"/>
        </w:rPr>
        <w:t> 34 </w:t>
      </w:r>
      <w:r>
        <w:rPr>
          <w:rFonts w:eastAsia="Times New Roman"/>
          <w:lang w:val="nl-NL"/>
        </w:rPr>
        <w:t xml:space="preserve"> </w:t>
      </w:r>
      <w:r>
        <w:rPr>
          <w:rStyle w:val="actor-naam1"/>
          <w:rFonts w:eastAsia="Times New Roman"/>
          <w:lang w:val="nl-NL"/>
        </w:rPr>
        <w:t>Vattenfall</w:t>
      </w:r>
      <w:r>
        <w:rPr>
          <w:rFonts w:eastAsia="Times New Roman"/>
          <w:lang w:val="nl-NL"/>
        </w:rPr>
        <w:br/>
        <w:t>Commerciële energieleverancier.</w:t>
      </w:r>
      <w:r>
        <w:rPr>
          <w:rFonts w:eastAsia="Times New Roman"/>
          <w:lang w:val="nl-NL"/>
        </w:rPr>
        <w:br/>
      </w:r>
      <w:r>
        <w:rPr>
          <w:rStyle w:val="actor-rol1"/>
          <w:rFonts w:eastAsia="Times New Roman"/>
          <w:lang w:val="nl-NL"/>
        </w:rPr>
        <w:t>Rol in dit dossier:</w:t>
      </w:r>
      <w:r>
        <w:rPr>
          <w:rFonts w:eastAsia="Times New Roman"/>
          <w:lang w:val="nl-NL"/>
        </w:rPr>
        <w:t xml:space="preserve"> Eist een medische verklaring van een onafhankelijke Nederlandse arts voor de status "medisch kwetsbare consument". Die eis is onuitvoerbaar voor een grensarbeider. Na maanden geeft de leverancier toe dat de eis onterecht was en verwijst door naar de netbeheerder. </w:t>
      </w:r>
    </w:p>
    <w:p w14:paraId="63BC7E40" w14:textId="77777777" w:rsidR="006B5103" w:rsidRDefault="006B5103">
      <w:pPr>
        <w:divId w:val="577441607"/>
        <w:rPr>
          <w:rFonts w:eastAsia="Times New Roman"/>
          <w:lang w:val="nl-NL"/>
        </w:rPr>
      </w:pPr>
      <w:r>
        <w:rPr>
          <w:rFonts w:eastAsia="Times New Roman"/>
          <w:b/>
          <w:bCs/>
          <w:color w:val="FFFFFF"/>
          <w:sz w:val="20"/>
          <w:szCs w:val="20"/>
          <w:shd w:val="clear" w:color="auto" w:fill="1A3C6E"/>
          <w:lang w:val="nl-NL"/>
        </w:rPr>
        <w:t> 35 </w:t>
      </w:r>
      <w:r>
        <w:rPr>
          <w:rFonts w:eastAsia="Times New Roman"/>
          <w:lang w:val="nl-NL"/>
        </w:rPr>
        <w:t xml:space="preserve"> </w:t>
      </w:r>
      <w:r>
        <w:rPr>
          <w:rStyle w:val="actor-naam1"/>
          <w:rFonts w:eastAsia="Times New Roman"/>
          <w:lang w:val="nl-NL"/>
        </w:rPr>
        <w:t>Stedin</w:t>
      </w:r>
      <w:r>
        <w:rPr>
          <w:rFonts w:eastAsia="Times New Roman"/>
          <w:lang w:val="nl-NL"/>
        </w:rPr>
        <w:br/>
        <w:t>Regionale netbeheerder voor gas en elektriciteit in Zeeland.</w:t>
      </w:r>
      <w:r>
        <w:rPr>
          <w:rFonts w:eastAsia="Times New Roman"/>
          <w:lang w:val="nl-NL"/>
        </w:rPr>
        <w:br/>
      </w:r>
      <w:r>
        <w:rPr>
          <w:rStyle w:val="actor-rol1"/>
          <w:rFonts w:eastAsia="Times New Roman"/>
          <w:lang w:val="nl-NL"/>
        </w:rPr>
        <w:t>Rol in dit dossier:</w:t>
      </w:r>
      <w:r>
        <w:rPr>
          <w:rFonts w:eastAsia="Times New Roman"/>
          <w:lang w:val="nl-NL"/>
        </w:rPr>
        <w:t xml:space="preserve"> Verantwoordelijk voor de fysieke leverings- en afsluitgarantie. Er bestaat geen automatische datadoorgifte tussen Vattenfall en Stedin: de patiënt moet de volledige medische bewijslast opnieuw opbouwen bij deze nieuwe private partij. </w:t>
      </w:r>
    </w:p>
    <w:p w14:paraId="514455A9" w14:textId="77777777" w:rsidR="006B5103" w:rsidRDefault="006B5103">
      <w:pPr>
        <w:divId w:val="654841295"/>
        <w:rPr>
          <w:rFonts w:eastAsia="Times New Roman"/>
          <w:lang w:val="nl-NL"/>
        </w:rPr>
      </w:pPr>
      <w:r>
        <w:rPr>
          <w:rFonts w:eastAsia="Times New Roman"/>
          <w:b/>
          <w:bCs/>
          <w:color w:val="FFFFFF"/>
          <w:sz w:val="20"/>
          <w:szCs w:val="20"/>
          <w:shd w:val="clear" w:color="auto" w:fill="1A3C6E"/>
          <w:lang w:val="nl-NL"/>
        </w:rPr>
        <w:t> 36 </w:t>
      </w:r>
      <w:r>
        <w:rPr>
          <w:rFonts w:eastAsia="Times New Roman"/>
          <w:lang w:val="nl-NL"/>
        </w:rPr>
        <w:t xml:space="preserve"> </w:t>
      </w:r>
      <w:r>
        <w:rPr>
          <w:rStyle w:val="actor-naam1"/>
          <w:rFonts w:eastAsia="Times New Roman"/>
          <w:lang w:val="nl-NL"/>
        </w:rPr>
        <w:t>Gemeente Hulst (inclusief Stichting Hulst voor Elkaar)</w:t>
      </w:r>
      <w:r>
        <w:rPr>
          <w:rFonts w:eastAsia="Times New Roman"/>
          <w:lang w:val="nl-NL"/>
        </w:rPr>
        <w:br/>
      </w:r>
      <w:r>
        <w:rPr>
          <w:rFonts w:eastAsia="Times New Roman"/>
          <w:lang w:val="nl-NL"/>
        </w:rPr>
        <w:t>Nederlandse grensgemeente en haar uitvoeringsorganisatie voor het sociaal domein (Wmo, Jeugdwet, Participatiewet).</w:t>
      </w:r>
      <w:r>
        <w:rPr>
          <w:rFonts w:eastAsia="Times New Roman"/>
          <w:lang w:val="nl-NL"/>
        </w:rPr>
        <w:br/>
      </w:r>
      <w:r>
        <w:rPr>
          <w:rStyle w:val="actor-rol1"/>
          <w:rFonts w:eastAsia="Times New Roman"/>
          <w:lang w:val="nl-NL"/>
        </w:rPr>
        <w:t>Rol in dit dossier:</w:t>
      </w:r>
      <w:r>
        <w:rPr>
          <w:rFonts w:eastAsia="Times New Roman"/>
          <w:lang w:val="nl-NL"/>
        </w:rPr>
        <w:t xml:space="preserve"> E-mails en AVG-inzageverzoeken botsen structureel op DNS-fouten. Hulpverzoeken worden na maanden ongelezen verwijderd. De gemeente weigert een administratieve overname van de Europese gehandicaptenparkeerkaart en eist een nieuwe lokale keuring. </w:t>
      </w:r>
    </w:p>
    <w:p w14:paraId="45970A43" w14:textId="77777777" w:rsidR="006B5103" w:rsidRDefault="006B5103">
      <w:pPr>
        <w:divId w:val="930506136"/>
        <w:rPr>
          <w:rFonts w:eastAsia="Times New Roman"/>
          <w:lang w:val="nl-NL"/>
        </w:rPr>
      </w:pPr>
      <w:r>
        <w:rPr>
          <w:rFonts w:eastAsia="Times New Roman"/>
          <w:b/>
          <w:bCs/>
          <w:color w:val="FFFFFF"/>
          <w:sz w:val="20"/>
          <w:szCs w:val="20"/>
          <w:shd w:val="clear" w:color="auto" w:fill="1A3C6E"/>
          <w:lang w:val="nl-NL"/>
        </w:rPr>
        <w:t> 37 </w:t>
      </w:r>
      <w:r>
        <w:rPr>
          <w:rFonts w:eastAsia="Times New Roman"/>
          <w:lang w:val="nl-NL"/>
        </w:rPr>
        <w:t xml:space="preserve"> </w:t>
      </w:r>
      <w:r>
        <w:rPr>
          <w:rStyle w:val="actor-naam1"/>
          <w:rFonts w:eastAsia="Times New Roman"/>
          <w:lang w:val="nl-NL"/>
        </w:rPr>
        <w:t>Reizen door Zeeland</w:t>
      </w:r>
      <w:r>
        <w:rPr>
          <w:rFonts w:eastAsia="Times New Roman"/>
          <w:lang w:val="nl-NL"/>
        </w:rPr>
        <w:br/>
        <w:t>Regionale vervoerscentrale voor Wmo-vervoer.</w:t>
      </w:r>
      <w:r>
        <w:rPr>
          <w:rFonts w:eastAsia="Times New Roman"/>
          <w:lang w:val="nl-NL"/>
        </w:rPr>
        <w:br/>
      </w:r>
      <w:r>
        <w:rPr>
          <w:rStyle w:val="actor-rol1"/>
          <w:rFonts w:eastAsia="Times New Roman"/>
          <w:lang w:val="nl-NL"/>
        </w:rPr>
        <w:t>Rol in dit dossier:</w:t>
      </w:r>
      <w:r>
        <w:rPr>
          <w:rFonts w:eastAsia="Times New Roman"/>
          <w:lang w:val="nl-NL"/>
        </w:rPr>
        <w:t xml:space="preserve"> Weigert ritten naar Belgische overheidsinstanties (bijv. FOD-keuring), maar accepteert ritten naar academische ziekenhuizen over de grens. Het systeem onderscheidt op bestemming, niet op afstand. De incassotermijn houdt geen rekening met het loonbetalingspatroon van grensarbeiders. </w:t>
      </w:r>
    </w:p>
    <w:p w14:paraId="4E718C53" w14:textId="77777777" w:rsidR="006B5103" w:rsidRDefault="006B5103">
      <w:pPr>
        <w:pStyle w:val="Kop4"/>
        <w:divId w:val="2114661829"/>
        <w:rPr>
          <w:rFonts w:eastAsia="Times New Roman"/>
          <w:lang w:val="nl-NL"/>
        </w:rPr>
      </w:pPr>
      <w:r>
        <w:rPr>
          <w:rFonts w:eastAsia="Times New Roman"/>
          <w:lang w:val="nl-NL"/>
        </w:rPr>
        <w:t>Toezicht</w:t>
      </w:r>
    </w:p>
    <w:p w14:paraId="752119C6" w14:textId="77777777" w:rsidR="006B5103" w:rsidRDefault="006B5103">
      <w:pPr>
        <w:divId w:val="395393310"/>
        <w:rPr>
          <w:rFonts w:eastAsia="Times New Roman"/>
          <w:lang w:val="nl-NL"/>
        </w:rPr>
      </w:pPr>
      <w:r>
        <w:rPr>
          <w:rFonts w:eastAsia="Times New Roman"/>
          <w:b/>
          <w:bCs/>
          <w:color w:val="FFFFFF"/>
          <w:sz w:val="20"/>
          <w:szCs w:val="20"/>
          <w:shd w:val="clear" w:color="auto" w:fill="1A3C6E"/>
          <w:lang w:val="nl-NL"/>
        </w:rPr>
        <w:t> 38 </w:t>
      </w:r>
      <w:r>
        <w:rPr>
          <w:rFonts w:eastAsia="Times New Roman"/>
          <w:lang w:val="nl-NL"/>
        </w:rPr>
        <w:t xml:space="preserve"> </w:t>
      </w:r>
      <w:r>
        <w:rPr>
          <w:rStyle w:val="actor-naam1"/>
          <w:rFonts w:eastAsia="Times New Roman"/>
          <w:lang w:val="nl-NL"/>
        </w:rPr>
        <w:t>De Nationale Ombudsman (NL)</w:t>
      </w:r>
      <w:r>
        <w:rPr>
          <w:rFonts w:eastAsia="Times New Roman"/>
          <w:lang w:val="nl-NL"/>
        </w:rPr>
        <w:br/>
        <w:t>Onafhankelijk Hoog College van Staat dat het handelen van Nederlandse overheidsinstanties toetst.</w:t>
      </w:r>
      <w:r>
        <w:rPr>
          <w:rFonts w:eastAsia="Times New Roman"/>
          <w:lang w:val="nl-NL"/>
        </w:rPr>
        <w:br/>
      </w:r>
      <w:r>
        <w:rPr>
          <w:rStyle w:val="actor-rol1"/>
          <w:rFonts w:eastAsia="Times New Roman"/>
          <w:lang w:val="nl-NL"/>
        </w:rPr>
        <w:t>Rol in dit dossier:</w:t>
      </w:r>
      <w:r>
        <w:rPr>
          <w:rFonts w:eastAsia="Times New Roman"/>
          <w:lang w:val="nl-NL"/>
        </w:rPr>
        <w:t xml:space="preserve"> Registreert de klacht, meldt capaciteitsproblemen en weigert actieve tussenkomst zolang er bezwaar- of beroepsprocedures lopen. Sluit het dossier definitief en registreert het als passief signaal. </w:t>
      </w:r>
    </w:p>
    <w:p w14:paraId="11E6C807" w14:textId="77777777" w:rsidR="006B5103" w:rsidRDefault="006B5103">
      <w:pPr>
        <w:divId w:val="1334524777"/>
        <w:rPr>
          <w:rFonts w:eastAsia="Times New Roman"/>
          <w:lang w:val="nl-NL"/>
        </w:rPr>
      </w:pPr>
      <w:r>
        <w:rPr>
          <w:rFonts w:eastAsia="Times New Roman"/>
          <w:b/>
          <w:bCs/>
          <w:color w:val="FFFFFF"/>
          <w:sz w:val="20"/>
          <w:szCs w:val="20"/>
          <w:shd w:val="clear" w:color="auto" w:fill="1A3C6E"/>
          <w:lang w:val="nl-NL"/>
        </w:rPr>
        <w:t> 39 </w:t>
      </w:r>
      <w:r>
        <w:rPr>
          <w:rFonts w:eastAsia="Times New Roman"/>
          <w:lang w:val="nl-NL"/>
        </w:rPr>
        <w:t xml:space="preserve"> </w:t>
      </w:r>
      <w:r>
        <w:rPr>
          <w:rStyle w:val="actor-naam1"/>
          <w:rFonts w:eastAsia="Times New Roman"/>
          <w:lang w:val="nl-NL"/>
        </w:rPr>
        <w:t>Zorginstituut Nederland (ZIN) — toezicht</w:t>
      </w:r>
      <w:r>
        <w:rPr>
          <w:rFonts w:eastAsia="Times New Roman"/>
          <w:lang w:val="nl-NL"/>
        </w:rPr>
        <w:br/>
        <w:t>Houdt systeemtoezicht op de rechtmatige uitvoering van de Zorgverzekeringswet.</w:t>
      </w:r>
      <w:r>
        <w:rPr>
          <w:rFonts w:eastAsia="Times New Roman"/>
          <w:lang w:val="nl-NL"/>
        </w:rPr>
        <w:br/>
      </w:r>
      <w:r>
        <w:rPr>
          <w:rStyle w:val="actor-rol1"/>
          <w:rFonts w:eastAsia="Times New Roman"/>
          <w:lang w:val="nl-NL"/>
        </w:rPr>
        <w:t>Rol in dit dossier:</w:t>
      </w:r>
      <w:r>
        <w:rPr>
          <w:rFonts w:eastAsia="Times New Roman"/>
          <w:lang w:val="nl-NL"/>
        </w:rPr>
        <w:t xml:space="preserve"> De instantie die het RIV-register beheert, verklaart geen inzage te hebben in individuele persoonsgegevens en weigert het register te controleren. Driehoek CZ, CAK en ZIN blijft gesloten. </w:t>
      </w:r>
    </w:p>
    <w:p w14:paraId="5D947B33" w14:textId="77777777" w:rsidR="006B5103" w:rsidRDefault="006B5103">
      <w:pPr>
        <w:pStyle w:val="Kop4"/>
        <w:divId w:val="2114661829"/>
        <w:rPr>
          <w:rFonts w:eastAsia="Times New Roman"/>
          <w:lang w:val="nl-NL"/>
        </w:rPr>
      </w:pPr>
      <w:r>
        <w:rPr>
          <w:rFonts w:eastAsia="Times New Roman"/>
          <w:lang w:val="nl-NL"/>
        </w:rPr>
        <w:t>Politiek</w:t>
      </w:r>
    </w:p>
    <w:p w14:paraId="24473862" w14:textId="77777777" w:rsidR="006B5103" w:rsidRDefault="006B5103">
      <w:pPr>
        <w:divId w:val="1350065637"/>
        <w:rPr>
          <w:rFonts w:eastAsia="Times New Roman"/>
          <w:lang w:val="nl-NL"/>
        </w:rPr>
      </w:pPr>
      <w:r>
        <w:rPr>
          <w:rFonts w:eastAsia="Times New Roman"/>
          <w:b/>
          <w:bCs/>
          <w:color w:val="FFFFFF"/>
          <w:sz w:val="20"/>
          <w:szCs w:val="20"/>
          <w:shd w:val="clear" w:color="auto" w:fill="1A3C6E"/>
          <w:lang w:val="nl-NL"/>
        </w:rPr>
        <w:t> 40 </w:t>
      </w:r>
      <w:r>
        <w:rPr>
          <w:rFonts w:eastAsia="Times New Roman"/>
          <w:lang w:val="nl-NL"/>
        </w:rPr>
        <w:t xml:space="preserve"> </w:t>
      </w:r>
      <w:r>
        <w:rPr>
          <w:rStyle w:val="actor-naam1"/>
          <w:rFonts w:eastAsia="Times New Roman"/>
          <w:lang w:val="nl-NL"/>
        </w:rPr>
        <w:t>Tweede Kamer — Vaste Commissie SZW</w:t>
      </w:r>
      <w:r>
        <w:rPr>
          <w:rFonts w:eastAsia="Times New Roman"/>
          <w:lang w:val="nl-NL"/>
        </w:rPr>
        <w:br/>
        <w:t>De parlementaire commissie die de Nederlandse sociale zekerheid controleert.</w:t>
      </w:r>
      <w:r>
        <w:rPr>
          <w:rFonts w:eastAsia="Times New Roman"/>
          <w:lang w:val="nl-NL"/>
        </w:rPr>
        <w:br/>
      </w:r>
      <w:r>
        <w:rPr>
          <w:rStyle w:val="actor-rol1"/>
          <w:rFonts w:eastAsia="Times New Roman"/>
          <w:lang w:val="nl-NL"/>
        </w:rPr>
        <w:t>Rol in dit dossier:</w:t>
      </w:r>
      <w:r>
        <w:rPr>
          <w:rFonts w:eastAsia="Times New Roman"/>
          <w:lang w:val="nl-NL"/>
        </w:rPr>
        <w:t xml:space="preserve"> Registreert de brandbrief formeel en parkeert het dossier voor een commissiedebat. Sluit individuele behandeling uitdrukkelijk uit. </w:t>
      </w:r>
    </w:p>
    <w:p w14:paraId="5B4ACDCF" w14:textId="77777777" w:rsidR="006B5103" w:rsidRDefault="006B5103">
      <w:pPr>
        <w:divId w:val="1301496668"/>
        <w:rPr>
          <w:rFonts w:eastAsia="Times New Roman"/>
          <w:lang w:val="nl-NL"/>
        </w:rPr>
      </w:pPr>
      <w:r>
        <w:rPr>
          <w:rFonts w:eastAsia="Times New Roman"/>
          <w:b/>
          <w:bCs/>
          <w:color w:val="FFFFFF"/>
          <w:sz w:val="20"/>
          <w:szCs w:val="20"/>
          <w:shd w:val="clear" w:color="auto" w:fill="1A3C6E"/>
          <w:lang w:val="nl-NL"/>
        </w:rPr>
        <w:t> 41 </w:t>
      </w:r>
      <w:r>
        <w:rPr>
          <w:rFonts w:eastAsia="Times New Roman"/>
          <w:lang w:val="nl-NL"/>
        </w:rPr>
        <w:t xml:space="preserve"> </w:t>
      </w:r>
      <w:r>
        <w:rPr>
          <w:rStyle w:val="actor-naam1"/>
          <w:rFonts w:eastAsia="Times New Roman"/>
          <w:lang w:val="nl-NL"/>
        </w:rPr>
        <w:t>Nederlandse Politieke Partijen</w:t>
      </w:r>
      <w:r>
        <w:rPr>
          <w:rFonts w:eastAsia="Times New Roman"/>
          <w:lang w:val="nl-NL"/>
        </w:rPr>
        <w:br/>
        <w:t>De volksvertegenwoordigende partijen in het Nederlandse parlement.</w:t>
      </w:r>
      <w:r>
        <w:rPr>
          <w:rFonts w:eastAsia="Times New Roman"/>
          <w:lang w:val="nl-NL"/>
        </w:rPr>
        <w:br/>
      </w:r>
      <w:r>
        <w:rPr>
          <w:rStyle w:val="actor-rol1"/>
          <w:rFonts w:eastAsia="Times New Roman"/>
          <w:lang w:val="nl-NL"/>
        </w:rPr>
        <w:t>Rol in dit dossier:</w:t>
      </w:r>
      <w:r>
        <w:rPr>
          <w:rFonts w:eastAsia="Times New Roman"/>
          <w:lang w:val="nl-NL"/>
        </w:rPr>
        <w:t xml:space="preserve"> Regeringspartijen verwijzen naar de Nationale Ombudsman. Oppositiepartijen sturen het dossier naar beleidsmedewerkers. Geen enkele partij activeert een parlementair instrument. </w:t>
      </w:r>
    </w:p>
    <w:p w14:paraId="5FC65F9B" w14:textId="77777777" w:rsidR="006B5103" w:rsidRDefault="006B5103">
      <w:pPr>
        <w:pStyle w:val="Kop4"/>
        <w:divId w:val="2114661829"/>
        <w:rPr>
          <w:rFonts w:eastAsia="Times New Roman"/>
          <w:lang w:val="nl-NL"/>
        </w:rPr>
      </w:pPr>
      <w:r>
        <w:rPr>
          <w:rFonts w:eastAsia="Times New Roman"/>
          <w:lang w:val="nl-NL"/>
        </w:rPr>
        <w:t>Symboliek</w:t>
      </w:r>
    </w:p>
    <w:p w14:paraId="584E9C3E" w14:textId="77777777" w:rsidR="006B5103" w:rsidRDefault="006B5103">
      <w:pPr>
        <w:divId w:val="1137799871"/>
        <w:rPr>
          <w:rFonts w:eastAsia="Times New Roman"/>
          <w:lang w:val="nl-NL"/>
        </w:rPr>
      </w:pPr>
      <w:r>
        <w:rPr>
          <w:rFonts w:eastAsia="Times New Roman"/>
          <w:b/>
          <w:bCs/>
          <w:color w:val="FFFFFF"/>
          <w:sz w:val="20"/>
          <w:szCs w:val="20"/>
          <w:shd w:val="clear" w:color="auto" w:fill="1A3C6E"/>
          <w:lang w:val="nl-NL"/>
        </w:rPr>
        <w:t> 42 </w:t>
      </w:r>
      <w:r>
        <w:rPr>
          <w:rFonts w:eastAsia="Times New Roman"/>
          <w:lang w:val="nl-NL"/>
        </w:rPr>
        <w:t xml:space="preserve"> </w:t>
      </w:r>
      <w:r>
        <w:rPr>
          <w:rStyle w:val="actor-naam1"/>
          <w:rFonts w:eastAsia="Times New Roman"/>
          <w:lang w:val="nl-NL"/>
        </w:rPr>
        <w:t>Koninklijk Huis</w:t>
      </w:r>
      <w:r>
        <w:rPr>
          <w:rFonts w:eastAsia="Times New Roman"/>
          <w:lang w:val="nl-NL"/>
        </w:rPr>
        <w:br/>
        <w:t>Het constitutionele ambt van het Nederlandse staatshoofd.</w:t>
      </w:r>
      <w:r>
        <w:rPr>
          <w:rFonts w:eastAsia="Times New Roman"/>
          <w:lang w:val="nl-NL"/>
        </w:rPr>
        <w:br/>
      </w:r>
      <w:r>
        <w:rPr>
          <w:rStyle w:val="actor-rol1"/>
          <w:rFonts w:eastAsia="Times New Roman"/>
          <w:lang w:val="nl-NL"/>
        </w:rPr>
        <w:t>Rol in dit dossier:</w:t>
      </w:r>
      <w:r>
        <w:rPr>
          <w:rFonts w:eastAsia="Times New Roman"/>
          <w:lang w:val="nl-NL"/>
        </w:rPr>
        <w:t xml:space="preserve"> Kabinet bevestigt de onmogelijkheid tot interventie en biedt aan het verzoekschrift door te geleiden naar de bevoegde minister. De nationale escalatieladder is uitgeput zonder inhoudelijke oplossing.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F2E6845" w14:textId="77777777">
        <w:trPr>
          <w:divId w:val="2114661829"/>
        </w:trPr>
        <w:tc>
          <w:tcPr>
            <w:tcW w:w="0" w:type="auto"/>
            <w:tcBorders>
              <w:top w:val="single" w:sz="6" w:space="0" w:color="D5D0C5"/>
              <w:left w:val="single" w:sz="36" w:space="0" w:color="0D7377"/>
              <w:bottom w:val="single" w:sz="6" w:space="0" w:color="D5D0C5"/>
              <w:right w:val="single" w:sz="6" w:space="0" w:color="D5D0C5"/>
            </w:tcBorders>
            <w:shd w:val="clear" w:color="auto" w:fill="EAF4F4"/>
            <w:tcMar>
              <w:top w:w="160" w:type="dxa"/>
              <w:left w:w="240" w:type="dxa"/>
              <w:bottom w:w="160" w:type="dxa"/>
              <w:right w:w="240" w:type="dxa"/>
            </w:tcMar>
            <w:hideMark/>
          </w:tcPr>
          <w:p w14:paraId="5ACCD5AE" w14:textId="77777777" w:rsidR="006B5103" w:rsidRDefault="006B5103">
            <w:pPr>
              <w:spacing w:before="240" w:after="240"/>
              <w:rPr>
                <w:rFonts w:eastAsia="Times New Roman"/>
                <w:sz w:val="21"/>
                <w:szCs w:val="21"/>
              </w:rPr>
            </w:pPr>
            <w:r>
              <w:rPr>
                <w:rStyle w:val="Zwaar"/>
                <w:rFonts w:eastAsia="Times New Roman"/>
                <w:sz w:val="21"/>
                <w:szCs w:val="21"/>
              </w:rPr>
              <w:t>EU-BUITENLAAG</w:t>
            </w:r>
          </w:p>
        </w:tc>
      </w:tr>
    </w:tbl>
    <w:p w14:paraId="32632D22" w14:textId="77777777" w:rsidR="006B5103" w:rsidRDefault="006B5103">
      <w:pPr>
        <w:pStyle w:val="Kop4"/>
        <w:divId w:val="2114661829"/>
        <w:rPr>
          <w:rFonts w:eastAsia="Times New Roman"/>
          <w:lang w:val="nl-NL"/>
        </w:rPr>
      </w:pPr>
      <w:r>
        <w:rPr>
          <w:rFonts w:eastAsia="Times New Roman"/>
          <w:lang w:val="nl-NL"/>
        </w:rPr>
        <w:t>Instellingen</w:t>
      </w:r>
    </w:p>
    <w:p w14:paraId="21C733D1" w14:textId="77777777" w:rsidR="006B5103" w:rsidRDefault="006B5103">
      <w:pPr>
        <w:divId w:val="87780162"/>
        <w:rPr>
          <w:rFonts w:eastAsia="Times New Roman"/>
          <w:lang w:val="nl-NL"/>
        </w:rPr>
      </w:pPr>
      <w:r>
        <w:rPr>
          <w:rFonts w:eastAsia="Times New Roman"/>
          <w:b/>
          <w:bCs/>
          <w:color w:val="FFFFFF"/>
          <w:sz w:val="20"/>
          <w:szCs w:val="20"/>
          <w:shd w:val="clear" w:color="auto" w:fill="0D7377"/>
          <w:lang w:val="nl-NL"/>
        </w:rPr>
        <w:t> 43 </w:t>
      </w:r>
      <w:r>
        <w:rPr>
          <w:rFonts w:eastAsia="Times New Roman"/>
          <w:lang w:val="nl-NL"/>
        </w:rPr>
        <w:t xml:space="preserve"> </w:t>
      </w:r>
      <w:r>
        <w:rPr>
          <w:rStyle w:val="actor-naam1"/>
          <w:rFonts w:eastAsia="Times New Roman"/>
          <w:lang w:val="nl-NL"/>
        </w:rPr>
        <w:t>Europese Commissie — DG EMPL</w:t>
      </w:r>
      <w:r>
        <w:rPr>
          <w:rFonts w:eastAsia="Times New Roman"/>
          <w:lang w:val="nl-NL"/>
        </w:rPr>
        <w:br/>
        <w:t>Het uitvoerend orgaan van de EU dat toeziet op de toepassing van het Unierecht.</w:t>
      </w:r>
      <w:r>
        <w:rPr>
          <w:rFonts w:eastAsia="Times New Roman"/>
          <w:lang w:val="nl-NL"/>
        </w:rPr>
        <w:br/>
      </w:r>
      <w:r>
        <w:rPr>
          <w:rStyle w:val="actor-rol1"/>
          <w:rFonts w:eastAsia="Times New Roman"/>
          <w:lang w:val="nl-NL"/>
        </w:rPr>
        <w:t>Rol in dit dossier:</w:t>
      </w:r>
      <w:r>
        <w:rPr>
          <w:rFonts w:eastAsia="Times New Roman"/>
          <w:lang w:val="nl-NL"/>
        </w:rPr>
        <w:t xml:space="preserve"> </w:t>
      </w:r>
      <w:r>
        <w:rPr>
          <w:rFonts w:eastAsia="Times New Roman"/>
          <w:lang w:val="nl-NL"/>
        </w:rPr>
        <w:t xml:space="preserve">Registreert de klacht, voegt meerdere klachten samen, maar heeft geen handhavingsbevoegdheid in individuele gevallen. Kan alleen een inbreukprocedure starten — een traject van jaren. </w:t>
      </w:r>
    </w:p>
    <w:p w14:paraId="721B90D2" w14:textId="77777777" w:rsidR="006B5103" w:rsidRDefault="006B5103">
      <w:pPr>
        <w:divId w:val="1512065960"/>
        <w:rPr>
          <w:rFonts w:eastAsia="Times New Roman"/>
          <w:lang w:val="nl-NL"/>
        </w:rPr>
      </w:pPr>
      <w:r>
        <w:rPr>
          <w:rFonts w:eastAsia="Times New Roman"/>
          <w:b/>
          <w:bCs/>
          <w:color w:val="FFFFFF"/>
          <w:sz w:val="20"/>
          <w:szCs w:val="20"/>
          <w:shd w:val="clear" w:color="auto" w:fill="0D7377"/>
          <w:lang w:val="nl-NL"/>
        </w:rPr>
        <w:t> 44 </w:t>
      </w:r>
      <w:r>
        <w:rPr>
          <w:rFonts w:eastAsia="Times New Roman"/>
          <w:lang w:val="nl-NL"/>
        </w:rPr>
        <w:t xml:space="preserve"> </w:t>
      </w:r>
      <w:r>
        <w:rPr>
          <w:rStyle w:val="actor-naam1"/>
          <w:rFonts w:eastAsia="Times New Roman"/>
          <w:lang w:val="nl-NL"/>
        </w:rPr>
        <w:t>Europees Parlement — Commissie Verzoekschriften (PETI)</w:t>
      </w:r>
      <w:r>
        <w:rPr>
          <w:rFonts w:eastAsia="Times New Roman"/>
          <w:lang w:val="nl-NL"/>
        </w:rPr>
        <w:br/>
        <w:t>De commissie die petities van EU-burgers behandelt.</w:t>
      </w:r>
      <w:r>
        <w:rPr>
          <w:rFonts w:eastAsia="Times New Roman"/>
          <w:lang w:val="nl-NL"/>
        </w:rPr>
        <w:br/>
      </w:r>
      <w:r>
        <w:rPr>
          <w:rStyle w:val="actor-rol1"/>
          <w:rFonts w:eastAsia="Times New Roman"/>
          <w:lang w:val="nl-NL"/>
        </w:rPr>
        <w:t>Rol in dit dossier:</w:t>
      </w:r>
      <w:r>
        <w:rPr>
          <w:rFonts w:eastAsia="Times New Roman"/>
          <w:lang w:val="nl-NL"/>
        </w:rPr>
        <w:t xml:space="preserve"> Verklaart een petitie ontvankelijk, publiceert een samenvatting, stelt de petitie open voor medeondertekenaars. Kan echter geen nationale uitvoeringsbesluiten terugdraaien. </w:t>
      </w:r>
    </w:p>
    <w:p w14:paraId="268FB576" w14:textId="77777777" w:rsidR="006B5103" w:rsidRDefault="006B5103">
      <w:pPr>
        <w:divId w:val="336882261"/>
        <w:rPr>
          <w:rFonts w:eastAsia="Times New Roman"/>
          <w:lang w:val="nl-NL"/>
        </w:rPr>
      </w:pPr>
      <w:r>
        <w:rPr>
          <w:rFonts w:eastAsia="Times New Roman"/>
          <w:b/>
          <w:bCs/>
          <w:color w:val="FFFFFF"/>
          <w:sz w:val="20"/>
          <w:szCs w:val="20"/>
          <w:shd w:val="clear" w:color="auto" w:fill="0D7377"/>
          <w:lang w:val="nl-NL"/>
        </w:rPr>
        <w:t> 45 </w:t>
      </w:r>
      <w:r>
        <w:rPr>
          <w:rFonts w:eastAsia="Times New Roman"/>
          <w:lang w:val="nl-NL"/>
        </w:rPr>
        <w:t xml:space="preserve"> </w:t>
      </w:r>
      <w:r>
        <w:rPr>
          <w:rStyle w:val="actor-naam1"/>
          <w:rFonts w:eastAsia="Times New Roman"/>
          <w:lang w:val="nl-NL"/>
        </w:rPr>
        <w:t>Europese Ombudsman</w:t>
      </w:r>
      <w:r>
        <w:rPr>
          <w:rFonts w:eastAsia="Times New Roman"/>
          <w:lang w:val="nl-NL"/>
        </w:rPr>
        <w:br/>
        <w:t>Onafhankelijke klachtenbehandelaar voor EU-instellingen.</w:t>
      </w:r>
      <w:r>
        <w:rPr>
          <w:rFonts w:eastAsia="Times New Roman"/>
          <w:lang w:val="nl-NL"/>
        </w:rPr>
        <w:br/>
      </w:r>
      <w:r>
        <w:rPr>
          <w:rStyle w:val="actor-rol1"/>
          <w:rFonts w:eastAsia="Times New Roman"/>
          <w:lang w:val="nl-NL"/>
        </w:rPr>
        <w:t>Rol in dit dossier:</w:t>
      </w:r>
      <w:r>
        <w:rPr>
          <w:rFonts w:eastAsia="Times New Roman"/>
          <w:lang w:val="nl-NL"/>
        </w:rPr>
        <w:t xml:space="preserve"> Verklaart een klacht over SOLVIT niet-ontvankelijk: SOLVIT is een nationale dienst, geen EU-instelling. Het falen van SOLVIT valt in een jurisdictioneel vacuüm. </w:t>
      </w:r>
    </w:p>
    <w:p w14:paraId="72313C5E" w14:textId="77777777" w:rsidR="006B5103" w:rsidRDefault="006B5103">
      <w:pPr>
        <w:divId w:val="1869639589"/>
        <w:rPr>
          <w:rFonts w:eastAsia="Times New Roman"/>
          <w:lang w:val="nl-NL"/>
        </w:rPr>
      </w:pPr>
      <w:r>
        <w:rPr>
          <w:rFonts w:eastAsia="Times New Roman"/>
          <w:b/>
          <w:bCs/>
          <w:color w:val="FFFFFF"/>
          <w:sz w:val="20"/>
          <w:szCs w:val="20"/>
          <w:shd w:val="clear" w:color="auto" w:fill="0D7377"/>
          <w:lang w:val="nl-NL"/>
        </w:rPr>
        <w:t> 46 </w:t>
      </w:r>
      <w:r>
        <w:rPr>
          <w:rFonts w:eastAsia="Times New Roman"/>
          <w:lang w:val="nl-NL"/>
        </w:rPr>
        <w:t xml:space="preserve"> </w:t>
      </w:r>
      <w:r>
        <w:rPr>
          <w:rStyle w:val="actor-naam1"/>
          <w:rFonts w:eastAsia="Times New Roman"/>
          <w:lang w:val="nl-NL"/>
        </w:rPr>
        <w:t>Europese Raad (EUCO)</w:t>
      </w:r>
      <w:r>
        <w:rPr>
          <w:rFonts w:eastAsia="Times New Roman"/>
          <w:lang w:val="nl-NL"/>
        </w:rPr>
        <w:br/>
        <w:t>Het hoogste politieke orgaan van de EU, gevormd door de staatshoofden en regeringsleiders.</w:t>
      </w:r>
      <w:r>
        <w:rPr>
          <w:rFonts w:eastAsia="Times New Roman"/>
          <w:lang w:val="nl-NL"/>
        </w:rPr>
        <w:br/>
      </w:r>
      <w:r>
        <w:rPr>
          <w:rStyle w:val="actor-rol1"/>
          <w:rFonts w:eastAsia="Times New Roman"/>
          <w:lang w:val="nl-NL"/>
        </w:rPr>
        <w:t>Rol in dit dossier:</w:t>
      </w:r>
      <w:r>
        <w:rPr>
          <w:rFonts w:eastAsia="Times New Roman"/>
          <w:lang w:val="nl-NL"/>
        </w:rPr>
        <w:t xml:space="preserve"> Bepaalt de strategische koers op de lange termijn, maar heeft geen contactmechanisme voor individuele burgers. Is te ver verwijderd van de uitvoeringspraktijk om een rol te spelen. </w:t>
      </w:r>
    </w:p>
    <w:p w14:paraId="65E5CD72" w14:textId="77777777" w:rsidR="006B5103" w:rsidRDefault="006B5103">
      <w:pPr>
        <w:divId w:val="894505286"/>
        <w:rPr>
          <w:rFonts w:eastAsia="Times New Roman"/>
          <w:lang w:val="nl-NL"/>
        </w:rPr>
      </w:pPr>
      <w:r>
        <w:rPr>
          <w:rFonts w:eastAsia="Times New Roman"/>
          <w:b/>
          <w:bCs/>
          <w:color w:val="FFFFFF"/>
          <w:sz w:val="20"/>
          <w:szCs w:val="20"/>
          <w:shd w:val="clear" w:color="auto" w:fill="0D7377"/>
          <w:lang w:val="nl-NL"/>
        </w:rPr>
        <w:t> 47 </w:t>
      </w:r>
      <w:r>
        <w:rPr>
          <w:rFonts w:eastAsia="Times New Roman"/>
          <w:lang w:val="nl-NL"/>
        </w:rPr>
        <w:t xml:space="preserve"> </w:t>
      </w:r>
      <w:r>
        <w:rPr>
          <w:rStyle w:val="actor-naam1"/>
          <w:rFonts w:eastAsia="Times New Roman"/>
          <w:lang w:val="nl-NL"/>
        </w:rPr>
        <w:t>Europees Hof voor de Rechten van de Mens (EHRM)</w:t>
      </w:r>
      <w:r>
        <w:rPr>
          <w:rFonts w:eastAsia="Times New Roman"/>
          <w:lang w:val="nl-NL"/>
        </w:rPr>
        <w:br/>
        <w:t>Internationaal gerechtshof van de Raad van Europa.</w:t>
      </w:r>
      <w:r>
        <w:rPr>
          <w:rFonts w:eastAsia="Times New Roman"/>
          <w:lang w:val="nl-NL"/>
        </w:rPr>
        <w:br/>
      </w:r>
      <w:r>
        <w:rPr>
          <w:rStyle w:val="actor-rol1"/>
          <w:rFonts w:eastAsia="Times New Roman"/>
          <w:lang w:val="nl-NL"/>
        </w:rPr>
        <w:t>Rol in dit dossier:</w:t>
      </w:r>
      <w:r>
        <w:rPr>
          <w:rFonts w:eastAsia="Times New Roman"/>
          <w:lang w:val="nl-NL"/>
        </w:rPr>
        <w:t xml:space="preserve"> Verklaart de klacht onontvankelijk omdat de nationale rechtsmiddelen niet volledig zijn uitgeput. Reduceert het transnationale probleem tot een geschil tegen de Belgische staat alleen. </w:t>
      </w:r>
    </w:p>
    <w:p w14:paraId="3C076C73" w14:textId="77777777" w:rsidR="006B5103" w:rsidRDefault="006B5103">
      <w:pPr>
        <w:divId w:val="967709583"/>
        <w:rPr>
          <w:rFonts w:eastAsia="Times New Roman"/>
          <w:lang w:val="nl-NL"/>
        </w:rPr>
      </w:pPr>
      <w:r>
        <w:rPr>
          <w:rFonts w:eastAsia="Times New Roman"/>
          <w:b/>
          <w:bCs/>
          <w:color w:val="FFFFFF"/>
          <w:sz w:val="20"/>
          <w:szCs w:val="20"/>
          <w:shd w:val="clear" w:color="auto" w:fill="0D7377"/>
          <w:lang w:val="nl-NL"/>
        </w:rPr>
        <w:t> 48 </w:t>
      </w:r>
      <w:r>
        <w:rPr>
          <w:rFonts w:eastAsia="Times New Roman"/>
          <w:lang w:val="nl-NL"/>
        </w:rPr>
        <w:t xml:space="preserve"> </w:t>
      </w:r>
      <w:r>
        <w:rPr>
          <w:rStyle w:val="actor-naam1"/>
          <w:rFonts w:eastAsia="Times New Roman"/>
          <w:lang w:val="nl-NL"/>
        </w:rPr>
        <w:t>Europese Arbeidsautoriteit (ELA)</w:t>
      </w:r>
      <w:r>
        <w:rPr>
          <w:rFonts w:eastAsia="Times New Roman"/>
          <w:lang w:val="nl-NL"/>
        </w:rPr>
        <w:br/>
        <w:t>Gespecialiseerd EU-agentschap voor eerlijke arbeidsmobiliteit en coördinatie van sociale zekerheid.</w:t>
      </w:r>
      <w:r>
        <w:rPr>
          <w:rFonts w:eastAsia="Times New Roman"/>
          <w:lang w:val="nl-NL"/>
        </w:rPr>
        <w:br/>
      </w:r>
      <w:r>
        <w:rPr>
          <w:rStyle w:val="actor-rol1"/>
          <w:rFonts w:eastAsia="Times New Roman"/>
          <w:lang w:val="nl-NL"/>
        </w:rPr>
        <w:t>Rol in dit dossier:</w:t>
      </w:r>
      <w:r>
        <w:rPr>
          <w:rFonts w:eastAsia="Times New Roman"/>
          <w:lang w:val="nl-NL"/>
        </w:rPr>
        <w:t xml:space="preserve"> Bemiddelt uitsluitend op verzoek van nationale overheden zelf, niet op verzoek van individuele burgers. De gespecialiseerde nooduitgang blijft gesloten voor wie hem het hardst nodig heeft. </w:t>
      </w:r>
    </w:p>
    <w:p w14:paraId="03D8500C" w14:textId="77777777" w:rsidR="006B5103" w:rsidRDefault="006B5103">
      <w:pPr>
        <w:pStyle w:val="Kop4"/>
        <w:divId w:val="2114661829"/>
        <w:rPr>
          <w:rFonts w:eastAsia="Times New Roman"/>
          <w:lang w:val="nl-NL"/>
        </w:rPr>
      </w:pPr>
      <w:r>
        <w:rPr>
          <w:rFonts w:eastAsia="Times New Roman"/>
          <w:lang w:val="nl-NL"/>
        </w:rPr>
        <w:t>Bemiddeling</w:t>
      </w:r>
    </w:p>
    <w:p w14:paraId="1C838ECA" w14:textId="77777777" w:rsidR="006B5103" w:rsidRDefault="006B5103">
      <w:pPr>
        <w:divId w:val="1909076860"/>
        <w:rPr>
          <w:rFonts w:eastAsia="Times New Roman"/>
          <w:lang w:val="nl-NL"/>
        </w:rPr>
      </w:pPr>
      <w:r>
        <w:rPr>
          <w:rFonts w:eastAsia="Times New Roman"/>
          <w:b/>
          <w:bCs/>
          <w:color w:val="FFFFFF"/>
          <w:sz w:val="20"/>
          <w:szCs w:val="20"/>
          <w:shd w:val="clear" w:color="auto" w:fill="0D7377"/>
          <w:lang w:val="nl-NL"/>
        </w:rPr>
        <w:t> 49 </w:t>
      </w:r>
      <w:r>
        <w:rPr>
          <w:rFonts w:eastAsia="Times New Roman"/>
          <w:lang w:val="nl-NL"/>
        </w:rPr>
        <w:t xml:space="preserve"> </w:t>
      </w:r>
      <w:r>
        <w:rPr>
          <w:rStyle w:val="actor-naam1"/>
          <w:rFonts w:eastAsia="Times New Roman"/>
          <w:lang w:val="nl-NL"/>
        </w:rPr>
        <w:t>SOLVIT Nederland</w:t>
      </w:r>
      <w:r>
        <w:rPr>
          <w:rFonts w:eastAsia="Times New Roman"/>
          <w:lang w:val="nl-NL"/>
        </w:rPr>
        <w:br/>
        <w:t>Het Nederlandse nationale centrum van het Europese informele probleemoplossingsnetwerk.</w:t>
      </w:r>
      <w:r>
        <w:rPr>
          <w:rFonts w:eastAsia="Times New Roman"/>
          <w:lang w:val="nl-NL"/>
        </w:rPr>
        <w:br/>
      </w:r>
      <w:r>
        <w:rPr>
          <w:rStyle w:val="actor-rol1"/>
          <w:rFonts w:eastAsia="Times New Roman"/>
          <w:lang w:val="nl-NL"/>
        </w:rPr>
        <w:t>Rol in dit dossier:</w:t>
      </w:r>
      <w:r>
        <w:rPr>
          <w:rFonts w:eastAsia="Times New Roman"/>
          <w:lang w:val="nl-NL"/>
        </w:rPr>
        <w:t xml:space="preserve"> Sluit beide dossiers met het oordeel dat de nationale referteperiodes correct zijn toegepast. Weigert het Vester-arrest te toetsen. Weigert doorverwijzing naar de ELA. </w:t>
      </w:r>
    </w:p>
    <w:p w14:paraId="7E099839" w14:textId="77777777" w:rsidR="006B5103" w:rsidRDefault="006B5103">
      <w:pPr>
        <w:divId w:val="976036619"/>
        <w:rPr>
          <w:rFonts w:eastAsia="Times New Roman"/>
          <w:lang w:val="nl-NL"/>
        </w:rPr>
      </w:pPr>
      <w:r>
        <w:rPr>
          <w:rFonts w:eastAsia="Times New Roman"/>
          <w:b/>
          <w:bCs/>
          <w:color w:val="FFFFFF"/>
          <w:sz w:val="20"/>
          <w:szCs w:val="20"/>
          <w:shd w:val="clear" w:color="auto" w:fill="0D7377"/>
          <w:lang w:val="nl-NL"/>
        </w:rPr>
        <w:t> 50 </w:t>
      </w:r>
      <w:r>
        <w:rPr>
          <w:rFonts w:eastAsia="Times New Roman"/>
          <w:lang w:val="nl-NL"/>
        </w:rPr>
        <w:t xml:space="preserve"> </w:t>
      </w:r>
      <w:r>
        <w:rPr>
          <w:rStyle w:val="actor-naam1"/>
          <w:rFonts w:eastAsia="Times New Roman"/>
          <w:lang w:val="nl-NL"/>
        </w:rPr>
        <w:t>SOLVIT België</w:t>
      </w:r>
      <w:r>
        <w:rPr>
          <w:rFonts w:eastAsia="Times New Roman"/>
          <w:lang w:val="nl-NL"/>
        </w:rPr>
        <w:br/>
        <w:t>Het Belgische nationale SOLVIT-centrum.</w:t>
      </w:r>
      <w:r>
        <w:rPr>
          <w:rFonts w:eastAsia="Times New Roman"/>
          <w:lang w:val="nl-NL"/>
        </w:rPr>
        <w:br/>
      </w:r>
      <w:r>
        <w:rPr>
          <w:rStyle w:val="actor-rol1"/>
          <w:rFonts w:eastAsia="Times New Roman"/>
          <w:lang w:val="nl-NL"/>
        </w:rPr>
        <w:t>Rol in dit dossier:</w:t>
      </w:r>
      <w:r>
        <w:rPr>
          <w:rFonts w:eastAsia="Times New Roman"/>
          <w:lang w:val="nl-NL"/>
        </w:rPr>
        <w:t xml:space="preserve"> Verklaart zich onbevoegd voor een inhoudelijke analyse en verwijst terug naar SOLVIT Nederland. Weigert eveneens doorverwijzing naar de ELA. Cirkelverwijzing tussen twee nationale SOLVIT-centra. </w:t>
      </w:r>
    </w:p>
    <w:p w14:paraId="5121AF6D" w14:textId="77777777" w:rsidR="006B5103" w:rsidRDefault="006B5103">
      <w:pPr>
        <w:divId w:val="1869221093"/>
        <w:rPr>
          <w:rFonts w:eastAsia="Times New Roman"/>
          <w:lang w:val="nl-NL"/>
        </w:rPr>
      </w:pPr>
      <w:r>
        <w:rPr>
          <w:rFonts w:eastAsia="Times New Roman"/>
          <w:b/>
          <w:bCs/>
          <w:color w:val="FFFFFF"/>
          <w:sz w:val="20"/>
          <w:szCs w:val="20"/>
          <w:shd w:val="clear" w:color="auto" w:fill="0D7377"/>
          <w:lang w:val="nl-NL"/>
        </w:rPr>
        <w:t> 51 </w:t>
      </w:r>
      <w:r>
        <w:rPr>
          <w:rFonts w:eastAsia="Times New Roman"/>
          <w:lang w:val="nl-NL"/>
        </w:rPr>
        <w:t xml:space="preserve"> </w:t>
      </w:r>
      <w:r>
        <w:rPr>
          <w:rStyle w:val="actor-naam1"/>
          <w:rFonts w:eastAsia="Times New Roman"/>
          <w:lang w:val="nl-NL"/>
        </w:rPr>
        <w:t>Benelux Unie</w:t>
      </w:r>
      <w:r>
        <w:rPr>
          <w:rFonts w:eastAsia="Times New Roman"/>
          <w:lang w:val="nl-NL"/>
        </w:rPr>
        <w:br/>
        <w:t>Intergouvernementeel samenwerkingsverband tussen België, Nederland en Luxemburg.</w:t>
      </w:r>
      <w:r>
        <w:rPr>
          <w:rFonts w:eastAsia="Times New Roman"/>
          <w:lang w:val="nl-NL"/>
        </w:rPr>
        <w:br/>
      </w:r>
      <w:r>
        <w:rPr>
          <w:rStyle w:val="actor-rol1"/>
          <w:rFonts w:eastAsia="Times New Roman"/>
          <w:lang w:val="nl-NL"/>
        </w:rPr>
        <w:t>Rol in dit dossier:</w:t>
      </w:r>
      <w:r>
        <w:rPr>
          <w:rFonts w:eastAsia="Times New Roman"/>
          <w:lang w:val="nl-NL"/>
        </w:rPr>
        <w:t xml:space="preserve"> Bevestigt de problematiek na zorgvuldige lezing, maar behandelt geen individuele dossiers en heeft geen bevoegdheid om EU-regelgeving te wijzigen. </w:t>
      </w:r>
    </w:p>
    <w:p w14:paraId="1453D805" w14:textId="77777777" w:rsidR="006B5103" w:rsidRDefault="006B5103">
      <w:pPr>
        <w:divId w:val="1114135508"/>
        <w:rPr>
          <w:rFonts w:eastAsia="Times New Roman"/>
          <w:lang w:val="nl-NL"/>
        </w:rPr>
      </w:pPr>
      <w:r>
        <w:rPr>
          <w:rFonts w:eastAsia="Times New Roman"/>
          <w:b/>
          <w:bCs/>
          <w:color w:val="FFFFFF"/>
          <w:sz w:val="20"/>
          <w:szCs w:val="20"/>
          <w:shd w:val="clear" w:color="auto" w:fill="0D7377"/>
          <w:lang w:val="nl-NL"/>
        </w:rPr>
        <w:t> 52 </w:t>
      </w:r>
      <w:r>
        <w:rPr>
          <w:rFonts w:eastAsia="Times New Roman"/>
          <w:lang w:val="nl-NL"/>
        </w:rPr>
        <w:t xml:space="preserve"> </w:t>
      </w:r>
      <w:r>
        <w:rPr>
          <w:rStyle w:val="actor-naam1"/>
          <w:rFonts w:eastAsia="Times New Roman"/>
          <w:lang w:val="nl-NL"/>
        </w:rPr>
        <w:t>GrensInfoPunt (GIP)</w:t>
      </w:r>
      <w:r>
        <w:rPr>
          <w:rFonts w:eastAsia="Times New Roman"/>
          <w:lang w:val="nl-NL"/>
        </w:rPr>
        <w:br/>
        <w:t>Euregionale informatiedienst voor grensarbeiders.</w:t>
      </w:r>
      <w:r>
        <w:rPr>
          <w:rFonts w:eastAsia="Times New Roman"/>
          <w:lang w:val="nl-NL"/>
        </w:rPr>
        <w:br/>
      </w:r>
      <w:r>
        <w:rPr>
          <w:rStyle w:val="actor-rol1"/>
          <w:rFonts w:eastAsia="Times New Roman"/>
          <w:lang w:val="nl-NL"/>
        </w:rPr>
        <w:t>Rol in dit dossier:</w:t>
      </w:r>
      <w:r>
        <w:rPr>
          <w:rFonts w:eastAsia="Times New Roman"/>
          <w:lang w:val="nl-NL"/>
        </w:rPr>
        <w:t xml:space="preserve"> </w:t>
      </w:r>
      <w:r>
        <w:rPr>
          <w:rFonts w:eastAsia="Times New Roman"/>
          <w:lang w:val="nl-NL"/>
        </w:rPr>
        <w:t xml:space="preserve">Verstrekt accurate theoretische informatie, maar beschikt over nul uitvoerende macht. Weigert een gedocumenteerde systeemfout aan te melden als grensbelemmering, met een beroep op neutraliteit. </w:t>
      </w:r>
    </w:p>
    <w:p w14:paraId="6F92EF1C" w14:textId="77777777" w:rsidR="006B5103" w:rsidRDefault="006B5103">
      <w:pPr>
        <w:pStyle w:val="Kop4"/>
        <w:divId w:val="2114661829"/>
        <w:rPr>
          <w:rFonts w:eastAsia="Times New Roman"/>
          <w:lang w:val="nl-NL"/>
        </w:rPr>
      </w:pPr>
      <w:r>
        <w:rPr>
          <w:rFonts w:eastAsia="Times New Roman"/>
          <w:lang w:val="nl-NL"/>
        </w:rPr>
        <w:t>Maatschappelijke resonantie</w:t>
      </w:r>
    </w:p>
    <w:p w14:paraId="72EC0752" w14:textId="77777777" w:rsidR="006B5103" w:rsidRDefault="006B5103">
      <w:pPr>
        <w:divId w:val="1892644509"/>
        <w:rPr>
          <w:rFonts w:eastAsia="Times New Roman"/>
          <w:lang w:val="nl-NL"/>
        </w:rPr>
      </w:pPr>
      <w:r>
        <w:rPr>
          <w:rFonts w:eastAsia="Times New Roman"/>
          <w:b/>
          <w:bCs/>
          <w:color w:val="FFFFFF"/>
          <w:sz w:val="20"/>
          <w:szCs w:val="20"/>
          <w:shd w:val="clear" w:color="auto" w:fill="0D7377"/>
          <w:lang w:val="nl-NL"/>
        </w:rPr>
        <w:t> 53 </w:t>
      </w:r>
      <w:r>
        <w:rPr>
          <w:rFonts w:eastAsia="Times New Roman"/>
          <w:lang w:val="nl-NL"/>
        </w:rPr>
        <w:t xml:space="preserve"> </w:t>
      </w:r>
      <w:r>
        <w:rPr>
          <w:rStyle w:val="actor-naam1"/>
          <w:rFonts w:eastAsia="Times New Roman"/>
          <w:lang w:val="nl-NL"/>
        </w:rPr>
        <w:t>Strategische Belangenbehartiging (PILP e.a.)</w:t>
      </w:r>
      <w:r>
        <w:rPr>
          <w:rFonts w:eastAsia="Times New Roman"/>
          <w:lang w:val="nl-NL"/>
        </w:rPr>
        <w:br/>
        <w:t>Mensenrechtenorganisaties en rechtshulpinitiatieven.</w:t>
      </w:r>
      <w:r>
        <w:rPr>
          <w:rFonts w:eastAsia="Times New Roman"/>
          <w:lang w:val="nl-NL"/>
        </w:rPr>
        <w:br/>
      </w:r>
      <w:r>
        <w:rPr>
          <w:rStyle w:val="actor-rol1"/>
          <w:rFonts w:eastAsia="Times New Roman"/>
          <w:lang w:val="nl-NL"/>
        </w:rPr>
        <w:t>Rol in dit dossier:</w:t>
      </w:r>
      <w:r>
        <w:rPr>
          <w:rFonts w:eastAsia="Times New Roman"/>
          <w:lang w:val="nl-NL"/>
        </w:rPr>
        <w:t xml:space="preserve"> Ontvangen het dossier, erkennen de waarde, gebruiken het als brandstof voor toekomstige procedures. Bieden geen acute curatieve oplossing voor het individuele dossier. </w:t>
      </w:r>
    </w:p>
    <w:p w14:paraId="63E1C242" w14:textId="77777777" w:rsidR="006B5103" w:rsidRDefault="006B5103">
      <w:pPr>
        <w:divId w:val="543905888"/>
        <w:rPr>
          <w:rFonts w:eastAsia="Times New Roman"/>
          <w:lang w:val="nl-NL"/>
        </w:rPr>
      </w:pPr>
      <w:r>
        <w:rPr>
          <w:rFonts w:eastAsia="Times New Roman"/>
          <w:b/>
          <w:bCs/>
          <w:color w:val="FFFFFF"/>
          <w:sz w:val="20"/>
          <w:szCs w:val="20"/>
          <w:shd w:val="clear" w:color="auto" w:fill="0D7377"/>
          <w:lang w:val="nl-NL"/>
        </w:rPr>
        <w:t> 54 </w:t>
      </w:r>
      <w:r>
        <w:rPr>
          <w:rFonts w:eastAsia="Times New Roman"/>
          <w:lang w:val="nl-NL"/>
        </w:rPr>
        <w:t xml:space="preserve"> </w:t>
      </w:r>
      <w:r>
        <w:rPr>
          <w:rStyle w:val="actor-naam1"/>
          <w:rFonts w:eastAsia="Times New Roman"/>
          <w:lang w:val="nl-NL"/>
        </w:rPr>
        <w:t>Academische Observatielaag (ITEM e.a.)</w:t>
      </w:r>
      <w:r>
        <w:rPr>
          <w:rFonts w:eastAsia="Times New Roman"/>
          <w:lang w:val="nl-NL"/>
        </w:rPr>
        <w:br/>
        <w:t>Wetenschappelijke kennisinstituten voor grensoverschrijdende samenwerking.</w:t>
      </w:r>
      <w:r>
        <w:rPr>
          <w:rFonts w:eastAsia="Times New Roman"/>
          <w:lang w:val="nl-NL"/>
        </w:rPr>
        <w:br/>
      </w:r>
      <w:r>
        <w:rPr>
          <w:rStyle w:val="actor-rol1"/>
          <w:rFonts w:eastAsia="Times New Roman"/>
          <w:lang w:val="nl-NL"/>
        </w:rPr>
        <w:t>Rol in dit dossier:</w:t>
      </w:r>
      <w:r>
        <w:rPr>
          <w:rFonts w:eastAsia="Times New Roman"/>
          <w:lang w:val="nl-NL"/>
        </w:rPr>
        <w:t xml:space="preserve"> Publiceren doorlopend over grensoverschrijdend falen, maar reageren maandenlang niet op een actieve casus. Wanneer het dossier in het najaar van 2026 de academische drempel overschrijdt, opent het instituut een inhoudelijke bestudering. </w:t>
      </w:r>
    </w:p>
    <w:p w14:paraId="66E6465A" w14:textId="77777777" w:rsidR="006B5103" w:rsidRDefault="006B5103">
      <w:pPr>
        <w:divId w:val="2061897202"/>
        <w:rPr>
          <w:rFonts w:eastAsia="Times New Roman"/>
          <w:lang w:val="nl-NL"/>
        </w:rPr>
      </w:pPr>
      <w:r>
        <w:rPr>
          <w:rFonts w:eastAsia="Times New Roman"/>
          <w:b/>
          <w:bCs/>
          <w:color w:val="FFFFFF"/>
          <w:sz w:val="20"/>
          <w:szCs w:val="20"/>
          <w:shd w:val="clear" w:color="auto" w:fill="0D7377"/>
          <w:lang w:val="nl-NL"/>
        </w:rPr>
        <w:t> 55 </w:t>
      </w:r>
      <w:r>
        <w:rPr>
          <w:rFonts w:eastAsia="Times New Roman"/>
          <w:lang w:val="nl-NL"/>
        </w:rPr>
        <w:t xml:space="preserve"> </w:t>
      </w:r>
      <w:r>
        <w:rPr>
          <w:rStyle w:val="actor-naam1"/>
          <w:rFonts w:eastAsia="Times New Roman"/>
          <w:lang w:val="nl-NL"/>
        </w:rPr>
        <w:t>Media en Publieke Intellectuelen</w:t>
      </w:r>
      <w:r>
        <w:rPr>
          <w:rFonts w:eastAsia="Times New Roman"/>
          <w:lang w:val="nl-NL"/>
        </w:rPr>
        <w:br/>
        <w:t>Onderzoeksjournalistiek en publieke opiniemakers.</w:t>
      </w:r>
      <w:r>
        <w:rPr>
          <w:rFonts w:eastAsia="Times New Roman"/>
          <w:lang w:val="nl-NL"/>
        </w:rPr>
        <w:br/>
      </w:r>
      <w:r>
        <w:rPr>
          <w:rStyle w:val="actor-rol1"/>
          <w:rFonts w:eastAsia="Times New Roman"/>
          <w:lang w:val="nl-NL"/>
        </w:rPr>
        <w:t>Rol in dit dossier:</w:t>
      </w:r>
      <w:r>
        <w:rPr>
          <w:rFonts w:eastAsia="Times New Roman"/>
          <w:lang w:val="nl-NL"/>
        </w:rPr>
        <w:t xml:space="preserve"> Krijgen het dossier aangeboden. Resonantie is vluchtig: een artikel genereert kortstondige druk maar verandert de architectuur niet. Algoritmes lezen geen kranten. </w:t>
      </w:r>
    </w:p>
    <w:p w14:paraId="2B25C583" w14:textId="77777777" w:rsidR="006B5103" w:rsidRDefault="006B5103">
      <w:pPr>
        <w:divId w:val="2025593646"/>
        <w:rPr>
          <w:rFonts w:eastAsia="Times New Roman"/>
          <w:lang w:val="nl-NL"/>
        </w:rPr>
      </w:pPr>
      <w:r>
        <w:rPr>
          <w:rFonts w:eastAsia="Times New Roman"/>
          <w:b/>
          <w:bCs/>
          <w:color w:val="FFFFFF"/>
          <w:sz w:val="20"/>
          <w:szCs w:val="20"/>
          <w:shd w:val="clear" w:color="auto" w:fill="0D7377"/>
          <w:lang w:val="nl-NL"/>
        </w:rPr>
        <w:t> 56 </w:t>
      </w:r>
      <w:r>
        <w:rPr>
          <w:rFonts w:eastAsia="Times New Roman"/>
          <w:lang w:val="nl-NL"/>
        </w:rPr>
        <w:t xml:space="preserve"> </w:t>
      </w:r>
      <w:r>
        <w:rPr>
          <w:rStyle w:val="actor-naam1"/>
          <w:rFonts w:eastAsia="Times New Roman"/>
          <w:lang w:val="nl-NL"/>
        </w:rPr>
        <w:t>OHCHR / Verenigde Naties</w:t>
      </w:r>
      <w:r>
        <w:rPr>
          <w:rFonts w:eastAsia="Times New Roman"/>
          <w:lang w:val="nl-NL"/>
        </w:rPr>
        <w:br/>
        <w:t>Het mensenrechtenorgaan van de VN, inclusief het CRPD-comité.</w:t>
      </w:r>
      <w:r>
        <w:rPr>
          <w:rFonts w:eastAsia="Times New Roman"/>
          <w:lang w:val="nl-NL"/>
        </w:rPr>
        <w:br/>
      </w:r>
      <w:r>
        <w:rPr>
          <w:rStyle w:val="actor-rol1"/>
          <w:rFonts w:eastAsia="Times New Roman"/>
          <w:lang w:val="nl-NL"/>
        </w:rPr>
        <w:t>Rol in dit dossier:</w:t>
      </w:r>
      <w:r>
        <w:rPr>
          <w:rFonts w:eastAsia="Times New Roman"/>
          <w:lang w:val="nl-NL"/>
        </w:rPr>
        <w:t xml:space="preserve"> Stelt de internationale mensenrechtennormen waaraan België en Nederland zich hebben verbonden. Heeft geen toezichthoudende machtsmiddelen om een falende nationale uitvoeringsinstantie te corrigeren. </w:t>
      </w:r>
    </w:p>
    <w:p w14:paraId="6316EBC2" w14:textId="77777777" w:rsidR="006B5103" w:rsidRDefault="006B5103">
      <w:pPr>
        <w:pStyle w:val="Kop3"/>
        <w:divId w:val="2114661829"/>
        <w:rPr>
          <w:rFonts w:eastAsia="Times New Roman"/>
          <w:lang w:val="nl-NL"/>
        </w:rPr>
      </w:pPr>
      <w:bookmarkStart w:id="17" w:name="_Toc242191194"/>
      <w:r>
        <w:rPr>
          <w:rFonts w:eastAsia="Times New Roman"/>
          <w:lang w:val="nl-NL"/>
        </w:rPr>
        <w:t>Deel I-C — De verhoudingen</w:t>
      </w:r>
      <w:bookmarkEnd w:id="17"/>
    </w:p>
    <w:p w14:paraId="015F6206" w14:textId="77777777" w:rsidR="006B5103" w:rsidRDefault="006B5103">
      <w:pPr>
        <w:pStyle w:val="Normaalweb"/>
        <w:divId w:val="2114661829"/>
        <w:rPr>
          <w:lang w:val="nl-NL"/>
        </w:rPr>
      </w:pPr>
      <w:r>
        <w:rPr>
          <w:lang w:val="nl-NL"/>
        </w:rPr>
        <w:t>De actoren op het speelbord zijn geen losse eenheden. Ze staan in vaste gezags- en dataverhoudingen die de ruimte bepalen waarbinnen het gezin moet opereren. De kern van het bevoegdheidsvacuüm is dat deze verhoudingen zo zijn ingericht dat geen enkele actor eindverantwoordelijkheid draagt voor het geheel.</w:t>
      </w:r>
    </w:p>
    <w:tbl>
      <w:tblPr>
        <w:tblW w:w="5000" w:type="pct"/>
        <w:tblCellMar>
          <w:top w:w="15" w:type="dxa"/>
          <w:left w:w="15" w:type="dxa"/>
          <w:bottom w:w="15" w:type="dxa"/>
          <w:right w:w="15" w:type="dxa"/>
        </w:tblCellMar>
        <w:tblLook w:val="04A0" w:firstRow="1" w:lastRow="0" w:firstColumn="1" w:lastColumn="0" w:noHBand="0" w:noVBand="1"/>
      </w:tblPr>
      <w:tblGrid>
        <w:gridCol w:w="2173"/>
        <w:gridCol w:w="2355"/>
        <w:gridCol w:w="2355"/>
        <w:gridCol w:w="2173"/>
      </w:tblGrid>
      <w:tr w:rsidR="00000000" w14:paraId="7910A4EA" w14:textId="77777777">
        <w:trPr>
          <w:divId w:val="2114661829"/>
          <w:tblHeader/>
        </w:trPr>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3402CE9"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Verhouding</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007D159"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Formeel gezag</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6F6F516"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Feitelijke praktijk</w:t>
            </w:r>
          </w:p>
        </w:tc>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B2517D9"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Gevolg voor het gezin</w:t>
            </w:r>
          </w:p>
        </w:tc>
      </w:tr>
      <w:tr w:rsidR="00000000" w14:paraId="45C0145C"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9390FC" w14:textId="77777777" w:rsidR="006B5103" w:rsidRDefault="006B5103">
            <w:pPr>
              <w:spacing w:before="200" w:after="360"/>
              <w:rPr>
                <w:rFonts w:eastAsia="Times New Roman"/>
                <w:sz w:val="21"/>
                <w:szCs w:val="21"/>
              </w:rPr>
            </w:pPr>
            <w:r>
              <w:rPr>
                <w:rStyle w:val="Zwaar"/>
                <w:rFonts w:eastAsia="Times New Roman"/>
                <w:sz w:val="21"/>
                <w:szCs w:val="21"/>
              </w:rPr>
              <w:t>Toezichthouder ↔ uitvoerder</w:t>
            </w:r>
            <w:r>
              <w:rPr>
                <w:rFonts w:eastAsia="Times New Roman"/>
                <w:sz w:val="21"/>
                <w:szCs w:val="21"/>
              </w:rPr>
              <w:br/>
            </w:r>
            <w:r>
              <w:rPr>
                <w:rStyle w:val="badge-be1"/>
                <w:rFonts w:eastAsia="Times New Roman"/>
                <w:sz w:val="21"/>
                <w:szCs w:val="21"/>
              </w:rPr>
              <w:t>BE</w:t>
            </w:r>
            <w:r>
              <w:rPr>
                <w:rFonts w:eastAsia="Times New Roman"/>
                <w:sz w:val="21"/>
                <w:szCs w:val="21"/>
              </w:rPr>
              <w:t xml:space="preserve"> RIZIV, CDZ → CM</w:t>
            </w:r>
            <w:r>
              <w:rPr>
                <w:rFonts w:eastAsia="Times New Roman"/>
                <w:sz w:val="21"/>
                <w:szCs w:val="21"/>
              </w:rPr>
              <w:br/>
            </w:r>
            <w:r>
              <w:rPr>
                <w:rStyle w:val="badge-nl1"/>
                <w:rFonts w:eastAsia="Times New Roman"/>
                <w:sz w:val="21"/>
                <w:szCs w:val="21"/>
              </w:rPr>
              <w:t>NL</w:t>
            </w:r>
            <w:r>
              <w:rPr>
                <w:rFonts w:eastAsia="Times New Roman"/>
                <w:sz w:val="21"/>
                <w:szCs w:val="21"/>
              </w:rPr>
              <w:t xml:space="preserve"> ZIN → CZ</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2DBD48" w14:textId="77777777" w:rsidR="006B5103" w:rsidRDefault="006B5103">
            <w:pPr>
              <w:spacing w:before="200" w:after="360"/>
              <w:rPr>
                <w:rFonts w:eastAsia="Times New Roman"/>
                <w:sz w:val="21"/>
                <w:szCs w:val="21"/>
              </w:rPr>
            </w:pPr>
            <w:r>
              <w:rPr>
                <w:rFonts w:eastAsia="Times New Roman"/>
                <w:sz w:val="21"/>
                <w:szCs w:val="21"/>
              </w:rPr>
              <w:t>Toezichthouders reguleren de uitvoerders en kunnen richtlijnen uitvaardigen.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C353AA" w14:textId="77777777" w:rsidR="006B5103" w:rsidRDefault="006B5103">
            <w:pPr>
              <w:spacing w:before="200" w:after="360"/>
              <w:rPr>
                <w:rFonts w:eastAsia="Times New Roman"/>
                <w:sz w:val="21"/>
                <w:szCs w:val="21"/>
              </w:rPr>
            </w:pPr>
            <w:r>
              <w:rPr>
                <w:rFonts w:eastAsia="Times New Roman"/>
                <w:sz w:val="21"/>
                <w:szCs w:val="21"/>
              </w:rPr>
              <w:t>Geen dwingend interventiemandaat in individuele dossiers. De uitvoerder beslist autonoom aan het loket.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F6D78CD" w14:textId="77777777" w:rsidR="006B5103" w:rsidRDefault="006B5103">
            <w:pPr>
              <w:spacing w:before="200" w:after="360"/>
              <w:rPr>
                <w:rFonts w:eastAsia="Times New Roman"/>
                <w:sz w:val="21"/>
                <w:szCs w:val="21"/>
              </w:rPr>
            </w:pPr>
            <w:r>
              <w:rPr>
                <w:rFonts w:eastAsia="Times New Roman"/>
                <w:sz w:val="21"/>
                <w:szCs w:val="21"/>
              </w:rPr>
              <w:t>Klachten bij de toezichthouder lossen een concrete blokkade niet op.</w:t>
            </w:r>
          </w:p>
        </w:tc>
      </w:tr>
      <w:tr w:rsidR="00000000" w14:paraId="44AB4D7B"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4D9D6A0" w14:textId="77777777" w:rsidR="006B5103" w:rsidRDefault="006B5103">
            <w:pPr>
              <w:spacing w:before="200" w:after="360"/>
              <w:rPr>
                <w:rFonts w:eastAsia="Times New Roman"/>
                <w:sz w:val="21"/>
                <w:szCs w:val="21"/>
              </w:rPr>
            </w:pPr>
            <w:r>
              <w:rPr>
                <w:rStyle w:val="Zwaar"/>
                <w:rFonts w:eastAsia="Times New Roman"/>
                <w:sz w:val="21"/>
                <w:szCs w:val="21"/>
              </w:rPr>
              <w:t>Federale ministeries ↔ federale ministeries</w:t>
            </w:r>
            <w:r>
              <w:rPr>
                <w:rFonts w:eastAsia="Times New Roman"/>
                <w:sz w:val="21"/>
                <w:szCs w:val="21"/>
              </w:rPr>
              <w:br/>
            </w:r>
            <w:r>
              <w:rPr>
                <w:rStyle w:val="badge-be1"/>
                <w:rFonts w:eastAsia="Times New Roman"/>
                <w:sz w:val="21"/>
                <w:szCs w:val="21"/>
              </w:rPr>
              <w:t>BE</w:t>
            </w:r>
            <w:r>
              <w:rPr>
                <w:rFonts w:eastAsia="Times New Roman"/>
                <w:sz w:val="21"/>
                <w:szCs w:val="21"/>
              </w:rPr>
              <w:t xml:space="preserve"> FOD SZ → FOD Fin</w:t>
            </w:r>
            <w:r>
              <w:rPr>
                <w:rFonts w:eastAsia="Times New Roman"/>
                <w:sz w:val="21"/>
                <w:szCs w:val="21"/>
              </w:rPr>
              <w:br/>
            </w:r>
            <w:r>
              <w:rPr>
                <w:rStyle w:val="badge-nl1"/>
                <w:rFonts w:eastAsia="Times New Roman"/>
                <w:sz w:val="21"/>
                <w:szCs w:val="21"/>
              </w:rPr>
              <w:t>NL</w:t>
            </w:r>
            <w:r>
              <w:rPr>
                <w:rFonts w:eastAsia="Times New Roman"/>
                <w:sz w:val="21"/>
                <w:szCs w:val="21"/>
              </w:rPr>
              <w:t xml:space="preserve"> </w:t>
            </w:r>
            <w:r>
              <w:rPr>
                <w:rFonts w:eastAsia="Times New Roman"/>
                <w:sz w:val="21"/>
                <w:szCs w:val="21"/>
              </w:rPr>
              <w:t>SVB → Toeslagen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40BA3B8" w14:textId="77777777" w:rsidR="006B5103" w:rsidRDefault="006B5103">
            <w:pPr>
              <w:spacing w:before="200" w:after="360"/>
              <w:rPr>
                <w:rFonts w:eastAsia="Times New Roman"/>
                <w:sz w:val="21"/>
                <w:szCs w:val="21"/>
              </w:rPr>
            </w:pPr>
            <w:r>
              <w:rPr>
                <w:rFonts w:eastAsia="Times New Roman"/>
                <w:sz w:val="21"/>
                <w:szCs w:val="21"/>
              </w:rPr>
              <w:t>Nevengeschikte diensten met eigen wettelijke mandaten.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94C3C1" w14:textId="77777777" w:rsidR="006B5103" w:rsidRDefault="006B5103">
            <w:pPr>
              <w:spacing w:before="200" w:after="360"/>
              <w:rPr>
                <w:rFonts w:eastAsia="Times New Roman"/>
                <w:sz w:val="21"/>
                <w:szCs w:val="21"/>
              </w:rPr>
            </w:pPr>
            <w:r>
              <w:rPr>
                <w:rFonts w:eastAsia="Times New Roman"/>
                <w:sz w:val="21"/>
                <w:szCs w:val="21"/>
              </w:rPr>
              <w:t>Elke dienst beslist autonoom binnen zijn eigen wettelijke kader. Attesten van de ene binden de andere niet.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F268AE5" w14:textId="77777777" w:rsidR="006B5103" w:rsidRDefault="006B5103">
            <w:pPr>
              <w:spacing w:before="200" w:after="360"/>
              <w:rPr>
                <w:rFonts w:eastAsia="Times New Roman"/>
                <w:sz w:val="21"/>
                <w:szCs w:val="21"/>
              </w:rPr>
            </w:pPr>
            <w:r>
              <w:rPr>
                <w:rFonts w:eastAsia="Times New Roman"/>
                <w:sz w:val="21"/>
                <w:szCs w:val="21"/>
              </w:rPr>
              <w:t>Medische erkenning leidt niet automatisch tot fiscale bescherming.</w:t>
            </w:r>
          </w:p>
        </w:tc>
      </w:tr>
      <w:tr w:rsidR="00000000" w14:paraId="40A300B0"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C83CCD" w14:textId="77777777" w:rsidR="006B5103" w:rsidRDefault="006B5103">
            <w:pPr>
              <w:spacing w:before="200" w:after="360"/>
              <w:rPr>
                <w:rFonts w:eastAsia="Times New Roman"/>
                <w:sz w:val="21"/>
                <w:szCs w:val="21"/>
              </w:rPr>
            </w:pPr>
            <w:r>
              <w:rPr>
                <w:rStyle w:val="Zwaar"/>
                <w:rFonts w:eastAsia="Times New Roman"/>
                <w:sz w:val="21"/>
                <w:szCs w:val="21"/>
              </w:rPr>
              <w:t>Data-keten</w:t>
            </w:r>
            <w:r>
              <w:rPr>
                <w:rFonts w:eastAsia="Times New Roman"/>
                <w:sz w:val="21"/>
                <w:szCs w:val="21"/>
              </w:rPr>
              <w:br/>
              <w:t>CM → KSZ → Parentia / 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ED16B7F" w14:textId="77777777" w:rsidR="006B5103" w:rsidRDefault="006B5103">
            <w:pPr>
              <w:spacing w:before="200" w:after="360"/>
              <w:rPr>
                <w:rFonts w:eastAsia="Times New Roman"/>
                <w:sz w:val="21"/>
                <w:szCs w:val="21"/>
              </w:rPr>
            </w:pPr>
            <w:r>
              <w:rPr>
                <w:rFonts w:eastAsia="Times New Roman"/>
                <w:sz w:val="21"/>
                <w:szCs w:val="21"/>
              </w:rPr>
              <w:t>Wettelijke gegevensuitwisseling via de Kruispuntbank en het Europese EESSI-netwerk.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15DE0C" w14:textId="77777777" w:rsidR="006B5103" w:rsidRDefault="006B5103">
            <w:pPr>
              <w:spacing w:before="200" w:after="360"/>
              <w:rPr>
                <w:rFonts w:eastAsia="Times New Roman"/>
                <w:sz w:val="21"/>
                <w:szCs w:val="21"/>
              </w:rPr>
            </w:pPr>
            <w:r>
              <w:rPr>
                <w:rFonts w:eastAsia="Times New Roman"/>
                <w:sz w:val="21"/>
                <w:szCs w:val="21"/>
              </w:rPr>
              <w:t>Parentia en SVB zijn blind afhankelijk van de broncode die CM invoert. Wanneer CM niet levert, valt de hele keten stil.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8F45664" w14:textId="77777777" w:rsidR="006B5103" w:rsidRDefault="006B5103">
            <w:pPr>
              <w:spacing w:before="200" w:after="360"/>
              <w:rPr>
                <w:rFonts w:eastAsia="Times New Roman"/>
                <w:sz w:val="21"/>
                <w:szCs w:val="21"/>
              </w:rPr>
            </w:pPr>
            <w:r>
              <w:rPr>
                <w:rFonts w:eastAsia="Times New Roman"/>
                <w:sz w:val="21"/>
                <w:szCs w:val="21"/>
              </w:rPr>
              <w:t>Gezinsbijslag en sociale toeslagen bevriezen zonder dat de begunstigde iets kan forceren.</w:t>
            </w:r>
          </w:p>
        </w:tc>
      </w:tr>
      <w:tr w:rsidR="00000000" w14:paraId="0F834124"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5E28EB" w14:textId="77777777" w:rsidR="006B5103" w:rsidRDefault="006B5103">
            <w:pPr>
              <w:spacing w:before="200" w:after="360"/>
              <w:rPr>
                <w:rFonts w:eastAsia="Times New Roman"/>
                <w:sz w:val="21"/>
                <w:szCs w:val="21"/>
              </w:rPr>
            </w:pPr>
            <w:r>
              <w:rPr>
                <w:rStyle w:val="Zwaar"/>
                <w:rFonts w:eastAsia="Times New Roman"/>
                <w:sz w:val="21"/>
                <w:szCs w:val="21"/>
              </w:rPr>
              <w:t>EU-infrastructuur</w:t>
            </w:r>
            <w:r>
              <w:rPr>
                <w:rFonts w:eastAsia="Times New Roman"/>
                <w:sz w:val="21"/>
                <w:szCs w:val="21"/>
              </w:rPr>
              <w:br/>
            </w:r>
            <w:r>
              <w:rPr>
                <w:rStyle w:val="badge-eu1"/>
                <w:rFonts w:eastAsia="Times New Roman"/>
                <w:sz w:val="21"/>
                <w:szCs w:val="21"/>
              </w:rPr>
              <w:t>Kanaal 1</w:t>
            </w:r>
            <w:r>
              <w:rPr>
                <w:rFonts w:eastAsia="Times New Roman"/>
                <w:sz w:val="21"/>
                <w:szCs w:val="21"/>
              </w:rPr>
              <w:t xml:space="preserve"> FOD Fin ↔ Belastingdienst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549610" w14:textId="77777777" w:rsidR="006B5103" w:rsidRDefault="006B5103">
            <w:pPr>
              <w:spacing w:before="200" w:after="360"/>
              <w:rPr>
                <w:rFonts w:eastAsia="Times New Roman"/>
                <w:sz w:val="21"/>
                <w:szCs w:val="21"/>
              </w:rPr>
            </w:pPr>
            <w:r>
              <w:rPr>
                <w:rFonts w:eastAsia="Times New Roman"/>
                <w:sz w:val="21"/>
                <w:szCs w:val="21"/>
              </w:rPr>
              <w:t>Gekoppeld via EU-richtlijnen (DAC) en het bilateraal belastingverdrag.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0DC3B8" w14:textId="77777777" w:rsidR="006B5103" w:rsidRDefault="006B5103">
            <w:pPr>
              <w:spacing w:before="200" w:after="360"/>
              <w:rPr>
                <w:rFonts w:eastAsia="Times New Roman"/>
                <w:sz w:val="21"/>
                <w:szCs w:val="21"/>
              </w:rPr>
            </w:pPr>
            <w:r>
              <w:rPr>
                <w:rFonts w:eastAsia="Times New Roman"/>
                <w:sz w:val="21"/>
                <w:szCs w:val="21"/>
              </w:rPr>
              <w:t>Volledig geautomatiseerde uitwisseling over wereldinkomen. Maximale transparantie voor heffing en terugvordering.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A1A56DD" w14:textId="77777777" w:rsidR="006B5103" w:rsidRDefault="006B5103">
            <w:pPr>
              <w:spacing w:before="200" w:after="360"/>
              <w:rPr>
                <w:rFonts w:eastAsia="Times New Roman"/>
                <w:sz w:val="21"/>
                <w:szCs w:val="21"/>
              </w:rPr>
            </w:pPr>
            <w:r>
              <w:rPr>
                <w:rFonts w:eastAsia="Times New Roman"/>
                <w:sz w:val="21"/>
                <w:szCs w:val="21"/>
              </w:rPr>
              <w:t>De EU weet alles over inkomsten, maar biedt geen vangnet bij het wegvallen ervan.</w:t>
            </w:r>
          </w:p>
        </w:tc>
      </w:tr>
      <w:tr w:rsidR="00000000" w14:paraId="120CFBE1"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66C849" w14:textId="77777777" w:rsidR="006B5103" w:rsidRDefault="006B5103">
            <w:pPr>
              <w:spacing w:before="200" w:after="360"/>
              <w:rPr>
                <w:rFonts w:eastAsia="Times New Roman"/>
                <w:sz w:val="21"/>
                <w:szCs w:val="21"/>
              </w:rPr>
            </w:pPr>
            <w:r>
              <w:rPr>
                <w:rStyle w:val="Zwaar"/>
                <w:rFonts w:eastAsia="Times New Roman"/>
                <w:sz w:val="21"/>
                <w:szCs w:val="21"/>
              </w:rPr>
              <w:t>Verdragskanaal</w:t>
            </w:r>
            <w:r>
              <w:rPr>
                <w:rFonts w:eastAsia="Times New Roman"/>
                <w:sz w:val="21"/>
                <w:szCs w:val="21"/>
              </w:rPr>
              <w:br/>
            </w:r>
            <w:r>
              <w:rPr>
                <w:rStyle w:val="badge-mem1"/>
                <w:rFonts w:eastAsia="Times New Roman"/>
                <w:sz w:val="21"/>
                <w:szCs w:val="21"/>
              </w:rPr>
              <w:t>Kanaal 2</w:t>
            </w:r>
            <w:r>
              <w:rPr>
                <w:rFonts w:eastAsia="Times New Roman"/>
                <w:sz w:val="21"/>
                <w:szCs w:val="21"/>
              </w:rPr>
              <w:t xml:space="preserve"> CM ↔ CZ / CAK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71E79ED" w14:textId="77777777" w:rsidR="006B5103" w:rsidRDefault="006B5103">
            <w:pPr>
              <w:spacing w:before="200" w:after="360"/>
              <w:rPr>
                <w:rFonts w:eastAsia="Times New Roman"/>
                <w:sz w:val="21"/>
                <w:szCs w:val="21"/>
              </w:rPr>
            </w:pPr>
            <w:r>
              <w:rPr>
                <w:rFonts w:eastAsia="Times New Roman"/>
                <w:sz w:val="21"/>
                <w:szCs w:val="21"/>
              </w:rPr>
              <w:t>Gekoppeld via formulier S072 (Verordening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7385809" w14:textId="77777777" w:rsidR="006B5103" w:rsidRDefault="006B5103">
            <w:pPr>
              <w:spacing w:before="200" w:after="360"/>
              <w:rPr>
                <w:rFonts w:eastAsia="Times New Roman"/>
                <w:sz w:val="21"/>
                <w:szCs w:val="21"/>
              </w:rPr>
            </w:pPr>
            <w:r>
              <w:rPr>
                <w:rFonts w:eastAsia="Times New Roman"/>
                <w:sz w:val="21"/>
                <w:szCs w:val="21"/>
              </w:rPr>
              <w:t>Smal, eenmalig kanaal. Wringt zodra zorg of status buiten het standaardformulier valt.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7960A11" w14:textId="77777777" w:rsidR="006B5103" w:rsidRDefault="006B5103">
            <w:pPr>
              <w:spacing w:before="200" w:after="360"/>
              <w:rPr>
                <w:rFonts w:eastAsia="Times New Roman"/>
                <w:sz w:val="21"/>
                <w:szCs w:val="21"/>
              </w:rPr>
            </w:pPr>
            <w:r>
              <w:rPr>
                <w:rFonts w:eastAsia="Times New Roman"/>
                <w:sz w:val="21"/>
                <w:szCs w:val="21"/>
              </w:rPr>
              <w:t>Voortdurende frictie over machtigingen, pakketgrenzen en eigen bijdragen.</w:t>
            </w:r>
          </w:p>
        </w:tc>
      </w:tr>
      <w:tr w:rsidR="00000000" w14:paraId="4B50F9DD"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727A814" w14:textId="77777777" w:rsidR="006B5103" w:rsidRDefault="006B5103">
            <w:pPr>
              <w:spacing w:before="200" w:after="360"/>
              <w:rPr>
                <w:rFonts w:eastAsia="Times New Roman"/>
                <w:sz w:val="21"/>
                <w:szCs w:val="21"/>
              </w:rPr>
            </w:pPr>
            <w:r>
              <w:rPr>
                <w:rStyle w:val="Zwaar"/>
                <w:rFonts w:eastAsia="Times New Roman"/>
                <w:sz w:val="21"/>
                <w:szCs w:val="21"/>
              </w:rPr>
              <w:t>Medisch vlak</w:t>
            </w:r>
            <w:r>
              <w:rPr>
                <w:rFonts w:eastAsia="Times New Roman"/>
                <w:sz w:val="21"/>
                <w:szCs w:val="21"/>
              </w:rPr>
              <w:br/>
            </w:r>
            <w:r>
              <w:rPr>
                <w:rStyle w:val="badge-mem1"/>
                <w:rFonts w:eastAsia="Times New Roman"/>
                <w:sz w:val="21"/>
                <w:szCs w:val="21"/>
              </w:rPr>
              <w:t>Kanaal 3</w:t>
            </w:r>
            <w:r>
              <w:rPr>
                <w:rFonts w:eastAsia="Times New Roman"/>
                <w:sz w:val="21"/>
                <w:szCs w:val="21"/>
              </w:rPr>
              <w:t xml:space="preserve"> Vitaz · UZ Gent ↔ ZorgSaam · Pallion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767C9BA" w14:textId="77777777" w:rsidR="006B5103" w:rsidRDefault="006B5103">
            <w:pPr>
              <w:spacing w:before="200" w:after="360"/>
              <w:rPr>
                <w:rFonts w:eastAsia="Times New Roman"/>
                <w:sz w:val="21"/>
                <w:szCs w:val="21"/>
              </w:rPr>
            </w:pPr>
            <w:r>
              <w:rPr>
                <w:rFonts w:eastAsia="Times New Roman"/>
                <w:sz w:val="21"/>
                <w:szCs w:val="21"/>
              </w:rPr>
              <w:t>Geen koppeling over de landsgrens.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3B2C2D5" w14:textId="77777777" w:rsidR="006B5103" w:rsidRDefault="006B5103">
            <w:pPr>
              <w:spacing w:before="200" w:after="360"/>
              <w:rPr>
                <w:rFonts w:eastAsia="Times New Roman"/>
                <w:sz w:val="21"/>
                <w:szCs w:val="21"/>
              </w:rPr>
            </w:pPr>
            <w:r>
              <w:rPr>
                <w:rFonts w:eastAsia="Times New Roman"/>
                <w:sz w:val="21"/>
                <w:szCs w:val="21"/>
              </w:rPr>
              <w:t>Nationale EPD-systemen zijn hermetisch gesloten bij de staatsgrens.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E92C30" w14:textId="77777777" w:rsidR="006B5103" w:rsidRDefault="006B5103">
            <w:pPr>
              <w:spacing w:before="200" w:after="360"/>
              <w:rPr>
                <w:rFonts w:eastAsia="Times New Roman"/>
                <w:sz w:val="21"/>
                <w:szCs w:val="21"/>
              </w:rPr>
            </w:pPr>
            <w:r>
              <w:rPr>
                <w:rFonts w:eastAsia="Times New Roman"/>
                <w:sz w:val="21"/>
                <w:szCs w:val="21"/>
              </w:rPr>
              <w:t>Het gezin draagt zelf de dossiers. De patiënt wordt de enige kabel tussen twee systemen.</w:t>
            </w:r>
          </w:p>
        </w:tc>
      </w:tr>
      <w:tr w:rsidR="00000000" w14:paraId="4F05ECC4"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C8E779C" w14:textId="77777777" w:rsidR="006B5103" w:rsidRDefault="006B5103">
            <w:pPr>
              <w:spacing w:before="200" w:after="360"/>
              <w:rPr>
                <w:rFonts w:eastAsia="Times New Roman"/>
                <w:sz w:val="21"/>
                <w:szCs w:val="21"/>
              </w:rPr>
            </w:pPr>
            <w:r>
              <w:rPr>
                <w:rStyle w:val="Zwaar"/>
                <w:rFonts w:eastAsia="Times New Roman"/>
                <w:sz w:val="21"/>
                <w:szCs w:val="21"/>
              </w:rPr>
              <w:t>Politiek ↔ uitvoering</w:t>
            </w:r>
            <w:r>
              <w:rPr>
                <w:rFonts w:eastAsia="Times New Roman"/>
                <w:sz w:val="21"/>
                <w:szCs w:val="21"/>
              </w:rPr>
              <w:br/>
              <w:t>Kamer BE &amp; Tweede Kamer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08FA432" w14:textId="77777777" w:rsidR="006B5103" w:rsidRDefault="006B5103">
            <w:pPr>
              <w:spacing w:before="200" w:after="360"/>
              <w:rPr>
                <w:rFonts w:eastAsia="Times New Roman"/>
                <w:sz w:val="21"/>
                <w:szCs w:val="21"/>
              </w:rPr>
            </w:pPr>
            <w:r>
              <w:rPr>
                <w:rFonts w:eastAsia="Times New Roman"/>
                <w:sz w:val="21"/>
                <w:szCs w:val="21"/>
              </w:rPr>
              <w:t>Parlementen zijn de hoogste wetgever en controleren de regering.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9AC3D8" w14:textId="77777777" w:rsidR="006B5103" w:rsidRDefault="006B5103">
            <w:pPr>
              <w:spacing w:before="200" w:after="360"/>
              <w:rPr>
                <w:rFonts w:eastAsia="Times New Roman"/>
                <w:sz w:val="21"/>
                <w:szCs w:val="21"/>
              </w:rPr>
            </w:pPr>
            <w:r>
              <w:rPr>
                <w:rFonts w:eastAsia="Times New Roman"/>
                <w:sz w:val="21"/>
                <w:szCs w:val="21"/>
              </w:rPr>
              <w:t>Politiek grijpt niet in bij individuele uitvoeringsdossiers.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957F95B" w14:textId="77777777" w:rsidR="006B5103" w:rsidRDefault="006B5103">
            <w:pPr>
              <w:spacing w:before="200" w:after="360"/>
              <w:rPr>
                <w:rFonts w:eastAsia="Times New Roman"/>
                <w:sz w:val="21"/>
                <w:szCs w:val="21"/>
              </w:rPr>
            </w:pPr>
            <w:r>
              <w:rPr>
                <w:rFonts w:eastAsia="Times New Roman"/>
                <w:sz w:val="21"/>
                <w:szCs w:val="21"/>
              </w:rPr>
              <w:t>Structurele weeffouten in de wet blijven in de uitvoering bestaan.</w:t>
            </w:r>
          </w:p>
        </w:tc>
      </w:tr>
      <w:tr w:rsidR="00000000" w14:paraId="57C9538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58EF20" w14:textId="77777777" w:rsidR="006B5103" w:rsidRDefault="006B5103">
            <w:pPr>
              <w:spacing w:before="200" w:after="360"/>
              <w:rPr>
                <w:rFonts w:eastAsia="Times New Roman"/>
                <w:sz w:val="21"/>
                <w:szCs w:val="21"/>
              </w:rPr>
            </w:pPr>
            <w:r>
              <w:rPr>
                <w:rStyle w:val="Zwaar"/>
                <w:rFonts w:eastAsia="Times New Roman"/>
                <w:sz w:val="21"/>
                <w:szCs w:val="21"/>
              </w:rPr>
              <w:t>EU ↔ lidstaten</w:t>
            </w:r>
            <w:r>
              <w:rPr>
                <w:rFonts w:eastAsia="Times New Roman"/>
                <w:sz w:val="21"/>
                <w:szCs w:val="21"/>
              </w:rPr>
              <w:br/>
            </w:r>
            <w:r>
              <w:rPr>
                <w:rStyle w:val="badge-eu1"/>
                <w:rFonts w:eastAsia="Times New Roman"/>
                <w:sz w:val="21"/>
                <w:szCs w:val="21"/>
              </w:rPr>
              <w:t>EU-buitenlaag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BDA62E3" w14:textId="77777777" w:rsidR="006B5103" w:rsidRDefault="006B5103">
            <w:pPr>
              <w:spacing w:before="200" w:after="360"/>
              <w:rPr>
                <w:rFonts w:eastAsia="Times New Roman"/>
                <w:sz w:val="21"/>
                <w:szCs w:val="21"/>
              </w:rPr>
            </w:pPr>
            <w:r>
              <w:rPr>
                <w:rFonts w:eastAsia="Times New Roman"/>
                <w:sz w:val="21"/>
                <w:szCs w:val="21"/>
              </w:rPr>
              <w:t>Unierecht heeft voorrang op nationaal recht (Verordening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106426" w14:textId="77777777" w:rsidR="006B5103" w:rsidRDefault="006B5103">
            <w:pPr>
              <w:spacing w:before="200" w:after="360"/>
              <w:rPr>
                <w:rFonts w:eastAsia="Times New Roman"/>
                <w:sz w:val="21"/>
                <w:szCs w:val="21"/>
              </w:rPr>
            </w:pPr>
            <w:r>
              <w:rPr>
                <w:rFonts w:eastAsia="Times New Roman"/>
                <w:sz w:val="21"/>
                <w:szCs w:val="21"/>
              </w:rPr>
              <w:t>De EU mist een eigen uitvoeringsloket. SOLVIT is vrijblijvend. ELA weigert burgers.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3DEDCCC" w14:textId="77777777" w:rsidR="006B5103" w:rsidRDefault="006B5103">
            <w:pPr>
              <w:spacing w:before="200" w:after="360"/>
              <w:rPr>
                <w:rFonts w:eastAsia="Times New Roman"/>
                <w:sz w:val="21"/>
                <w:szCs w:val="21"/>
              </w:rPr>
            </w:pPr>
            <w:r>
              <w:rPr>
                <w:rFonts w:eastAsia="Times New Roman"/>
                <w:sz w:val="21"/>
                <w:szCs w:val="21"/>
              </w:rPr>
              <w:t>Cirkelverwijzing tussen Brussel en de nationale hoofdsteden.</w:t>
            </w:r>
          </w:p>
        </w:tc>
      </w:tr>
      <w:tr w:rsidR="00000000" w14:paraId="49F1697D"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963E94" w14:textId="77777777" w:rsidR="006B5103" w:rsidRDefault="006B5103">
            <w:pPr>
              <w:spacing w:before="200" w:after="360"/>
              <w:rPr>
                <w:rFonts w:eastAsia="Times New Roman"/>
                <w:sz w:val="21"/>
                <w:szCs w:val="21"/>
              </w:rPr>
            </w:pPr>
            <w:r>
              <w:rPr>
                <w:rStyle w:val="Zwaar"/>
                <w:rFonts w:eastAsia="Times New Roman"/>
                <w:sz w:val="21"/>
                <w:szCs w:val="21"/>
              </w:rPr>
              <w:t>Symboliek</w:t>
            </w:r>
            <w:r>
              <w:rPr>
                <w:rFonts w:eastAsia="Times New Roman"/>
                <w:sz w:val="21"/>
                <w:szCs w:val="21"/>
              </w:rPr>
              <w:br/>
              <w:t>Koninklijk Paleis BE &amp; Koninklijk Huis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EB9A1E" w14:textId="77777777" w:rsidR="006B5103" w:rsidRDefault="006B5103">
            <w:pPr>
              <w:spacing w:before="200" w:after="360"/>
              <w:rPr>
                <w:rFonts w:eastAsia="Times New Roman"/>
                <w:sz w:val="21"/>
                <w:szCs w:val="21"/>
              </w:rPr>
            </w:pPr>
            <w:r>
              <w:rPr>
                <w:rFonts w:eastAsia="Times New Roman"/>
                <w:sz w:val="21"/>
                <w:szCs w:val="21"/>
              </w:rPr>
              <w:t>Constitutioneel staatshoofd, geen uitvoerende macht.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8844F61" w14:textId="77777777" w:rsidR="006B5103" w:rsidRDefault="006B5103">
            <w:pPr>
              <w:spacing w:before="200" w:after="360"/>
              <w:rPr>
                <w:rFonts w:eastAsia="Times New Roman"/>
                <w:sz w:val="21"/>
                <w:szCs w:val="21"/>
              </w:rPr>
            </w:pPr>
            <w:r>
              <w:rPr>
                <w:rFonts w:eastAsia="Times New Roman"/>
                <w:sz w:val="21"/>
                <w:szCs w:val="21"/>
              </w:rPr>
              <w:t>Ceremoniële postbus. Verzoekschriften worden doorgeleid naar de minister.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E63E51" w14:textId="77777777" w:rsidR="006B5103" w:rsidRDefault="006B5103">
            <w:pPr>
              <w:spacing w:before="200" w:after="360"/>
              <w:rPr>
                <w:rFonts w:eastAsia="Times New Roman"/>
                <w:sz w:val="21"/>
                <w:szCs w:val="21"/>
              </w:rPr>
            </w:pPr>
            <w:r>
              <w:rPr>
                <w:rFonts w:eastAsia="Times New Roman"/>
                <w:sz w:val="21"/>
                <w:szCs w:val="21"/>
              </w:rPr>
              <w:t>Eindhalte stuurt brieven terug naar de startpositie in Laag 1.</w:t>
            </w:r>
          </w:p>
        </w:tc>
      </w:tr>
    </w:tbl>
    <w:p w14:paraId="4D68C5DD" w14:textId="77777777" w:rsidR="006B5103" w:rsidRDefault="006B5103">
      <w:pPr>
        <w:pStyle w:val="noot"/>
        <w:spacing w:after="120" w:afterAutospacing="0"/>
        <w:divId w:val="2114661829"/>
        <w:rPr>
          <w:lang w:val="nl-NL"/>
        </w:rPr>
      </w:pPr>
      <w:r>
        <w:rPr>
          <w:lang w:val="nl-NL"/>
        </w:rPr>
        <w:t>Alle organisaties die in dit hoofdstuk worden genoemd zijn rechtspersonen; hun namen zijn publiek en worden vermeld in Document B. Natuurlijke personen worden uitsluitend aangeduid met hun functie of met een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xml:space="preserve">, kleine </w:t>
      </w:r>
      <w:r>
        <w:rPr>
          <w:rFonts w:ascii="Segoe UI Symbol" w:hAnsi="Segoe UI Symbol" w:cs="Segoe UI Symbol"/>
          <w:lang w:val="nl-NL"/>
        </w:rPr>
        <w:t>♂</w:t>
      </w:r>
      <w:r>
        <w:rPr>
          <w:lang w:val="nl-NL"/>
        </w:rPr>
        <w:t>). Dit is zowel een methodologische keuze als een verplichting onder de Algemene Verordening Gegevensbescherming. De auteur van dit dossier is de pati</w:t>
      </w:r>
      <w:r>
        <w:rPr>
          <w:rFonts w:cs="Aptos"/>
          <w:lang w:val="nl-NL"/>
        </w:rPr>
        <w:t>ë</w:t>
      </w:r>
      <w:r>
        <w:rPr>
          <w:lang w:val="nl-NL"/>
        </w:rPr>
        <w:t>nt over wie het gaat; zijn eigen medische en administratieve gegevens mag hij publiceren.</w:t>
      </w:r>
    </w:p>
    <w:p w14:paraId="6DF42316" w14:textId="77777777" w:rsidR="006B5103" w:rsidRDefault="006B5103">
      <w:pPr>
        <w:pStyle w:val="marker"/>
        <w:ind w:left="800" w:right="800"/>
        <w:divId w:val="2114661829"/>
        <w:rPr>
          <w:lang w:val="nl-NL"/>
        </w:rPr>
      </w:pPr>
      <w:r>
        <w:br w:type="page"/>
      </w:r>
    </w:p>
    <w:p w14:paraId="68F2262D" w14:textId="77777777" w:rsidR="006B5103" w:rsidRDefault="006B5103">
      <w:pPr>
        <w:pStyle w:val="Kop2"/>
        <w:divId w:val="2114661829"/>
        <w:rPr>
          <w:rFonts w:eastAsia="Times New Roman"/>
          <w:lang w:val="nl-NL"/>
        </w:rPr>
      </w:pPr>
      <w:bookmarkStart w:id="18" w:name="_Toc242191195"/>
      <w:r>
        <w:rPr>
          <w:rFonts w:eastAsia="Times New Roman"/>
          <w:lang w:val="nl-NL"/>
        </w:rPr>
        <w:t>De cascade</w:t>
      </w:r>
      <w:bookmarkEnd w:id="18"/>
    </w:p>
    <w:p w14:paraId="2CAF6E48" w14:textId="77777777" w:rsidR="006B5103" w:rsidRDefault="006B5103">
      <w:pPr>
        <w:pStyle w:val="lead"/>
        <w:divId w:val="2114661829"/>
        <w:rPr>
          <w:lang w:val="nl-NL"/>
        </w:rPr>
      </w:pPr>
      <w:r>
        <w:rPr>
          <w:lang w:val="nl-NL"/>
        </w:rPr>
        <w:t>Blok II toont straks de potjes, het mechanisme en de beslissing. Dit hoofdstuk toont wat er gebeurt wanneer het mechanisme en de beslissing samenkomen op één gezin, in één tijdlijn, met één zichtbaar gevolg: een lege bankrekening.</w:t>
      </w:r>
    </w:p>
    <w:p w14:paraId="61268324" w14:textId="77777777" w:rsidR="006B5103" w:rsidRDefault="006B5103">
      <w:pPr>
        <w:pStyle w:val="Kop3"/>
        <w:divId w:val="2114661829"/>
        <w:rPr>
          <w:rFonts w:eastAsia="Times New Roman"/>
          <w:lang w:val="nl-NL"/>
        </w:rPr>
      </w:pPr>
      <w:bookmarkStart w:id="19" w:name="_Toc242191196"/>
      <w:r>
        <w:rPr>
          <w:rFonts w:eastAsia="Times New Roman"/>
          <w:lang w:val="nl-NL"/>
        </w:rPr>
        <w:t>Frame 1 — De trigger</w:t>
      </w:r>
      <w:bookmarkEnd w:id="19"/>
    </w:p>
    <w:p w14:paraId="1D81E4C1" w14:textId="77777777" w:rsidR="006B5103" w:rsidRDefault="006B5103">
      <w:pPr>
        <w:pStyle w:val="tijd"/>
        <w:divId w:val="2114661829"/>
        <w:rPr>
          <w:lang w:val="nl-NL"/>
        </w:rPr>
      </w:pPr>
      <w:r>
        <w:rPr>
          <w:lang w:val="nl-NL"/>
        </w:rPr>
        <w:t>11 april 2025 · week 1</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A8D0957"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B319070" w14:textId="77777777" w:rsidR="006B5103" w:rsidRDefault="006B5103">
            <w:pPr>
              <w:pStyle w:val="Normaalweb"/>
              <w:spacing w:before="120"/>
              <w:jc w:val="center"/>
              <w:rPr>
                <w:sz w:val="21"/>
                <w:szCs w:val="21"/>
              </w:rPr>
            </w:pPr>
            <w:r>
              <w:rPr>
                <w:noProof/>
                <w:sz w:val="21"/>
                <w:szCs w:val="21"/>
              </w:rPr>
              <w:drawing>
                <wp:inline distT="0" distB="0" distL="0" distR="0" wp14:anchorId="57B6E851" wp14:editId="6B801A71">
                  <wp:extent cx="5715000" cy="14859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5715000" cy="1485900"/>
                          </a:xfrm>
                          <a:prstGeom prst="rect">
                            <a:avLst/>
                          </a:prstGeom>
                          <a:noFill/>
                          <a:ln>
                            <a:noFill/>
                          </a:ln>
                        </pic:spPr>
                      </pic:pic>
                    </a:graphicData>
                  </a:graphic>
                </wp:inline>
              </w:drawing>
            </w:r>
          </w:p>
          <w:p w14:paraId="577EE7BC" w14:textId="77777777" w:rsidR="006B5103" w:rsidRDefault="006B5103">
            <w:pPr>
              <w:pStyle w:val="caption"/>
              <w:spacing w:after="120" w:afterAutospacing="0"/>
            </w:pPr>
            <w:r>
              <w:t>Het lichaam valt binnen. Medisch verslag en factuur splitsen zich: het verslag blijft in het ziekenhuis, de factuur gaat naar het ziekenfonds. Het remgeld gaat rechtstreeks van de bankrekening.</w:t>
            </w:r>
          </w:p>
        </w:tc>
      </w:tr>
    </w:tbl>
    <w:p w14:paraId="4FAC139D" w14:textId="77777777" w:rsidR="006B5103" w:rsidRDefault="006B5103">
      <w:pPr>
        <w:pStyle w:val="Kop3"/>
        <w:divId w:val="2114661829"/>
        <w:rPr>
          <w:rFonts w:eastAsia="Times New Roman"/>
          <w:lang w:val="nl-NL"/>
        </w:rPr>
      </w:pPr>
      <w:bookmarkStart w:id="20" w:name="_Toc242191197"/>
      <w:r>
        <w:rPr>
          <w:rFonts w:eastAsia="Times New Roman"/>
          <w:lang w:val="nl-NL"/>
        </w:rPr>
        <w:t>Frame 2 — Wat blijft stromen</w:t>
      </w:r>
      <w:bookmarkEnd w:id="20"/>
    </w:p>
    <w:p w14:paraId="1779530B" w14:textId="77777777" w:rsidR="006B5103" w:rsidRDefault="006B5103">
      <w:pPr>
        <w:pStyle w:val="tijd"/>
        <w:divId w:val="2114661829"/>
        <w:rPr>
          <w:lang w:val="nl-NL"/>
        </w:rPr>
      </w:pPr>
      <w:r>
        <w:rPr>
          <w:lang w:val="nl-NL"/>
        </w:rPr>
        <w:t>doorlopend · vanaf dag 1</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4BD513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4737AC7" w14:textId="77777777" w:rsidR="006B5103" w:rsidRDefault="006B5103">
            <w:pPr>
              <w:pStyle w:val="Normaalweb"/>
              <w:spacing w:before="120"/>
              <w:jc w:val="center"/>
              <w:rPr>
                <w:sz w:val="21"/>
                <w:szCs w:val="21"/>
              </w:rPr>
            </w:pPr>
            <w:r>
              <w:rPr>
                <w:noProof/>
                <w:sz w:val="21"/>
                <w:szCs w:val="21"/>
              </w:rPr>
              <w:drawing>
                <wp:inline distT="0" distB="0" distL="0" distR="0" wp14:anchorId="2801DA5C" wp14:editId="2C835D82">
                  <wp:extent cx="5715000" cy="17145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5715000" cy="1714500"/>
                          </a:xfrm>
                          <a:prstGeom prst="rect">
                            <a:avLst/>
                          </a:prstGeom>
                          <a:noFill/>
                          <a:ln>
                            <a:noFill/>
                          </a:ln>
                        </pic:spPr>
                      </pic:pic>
                    </a:graphicData>
                  </a:graphic>
                </wp:inline>
              </w:drawing>
            </w:r>
          </w:p>
          <w:p w14:paraId="7D39FD74" w14:textId="77777777" w:rsidR="006B5103" w:rsidRDefault="006B5103">
            <w:pPr>
              <w:pStyle w:val="caption"/>
              <w:spacing w:after="120" w:afterAutospacing="0"/>
            </w:pPr>
            <w:r>
              <w:t>Eén lijn blijft onafgebroken stromen: de moeder. Alles wat de vader aanbrengt, stopt.</w:t>
            </w:r>
          </w:p>
        </w:tc>
      </w:tr>
    </w:tbl>
    <w:p w14:paraId="5DE076A0" w14:textId="77777777" w:rsidR="006B5103" w:rsidRDefault="006B5103">
      <w:pPr>
        <w:pStyle w:val="Kop3"/>
        <w:divId w:val="2114661829"/>
        <w:rPr>
          <w:rFonts w:eastAsia="Times New Roman"/>
          <w:lang w:val="nl-NL"/>
        </w:rPr>
      </w:pPr>
      <w:bookmarkStart w:id="21" w:name="_Toc242191198"/>
      <w:r>
        <w:rPr>
          <w:rFonts w:eastAsia="Times New Roman"/>
          <w:lang w:val="nl-NL"/>
        </w:rPr>
        <w:t>Frame 3 — Wat weglekt</w:t>
      </w:r>
      <w:bookmarkEnd w:id="21"/>
    </w:p>
    <w:p w14:paraId="0733D050" w14:textId="77777777" w:rsidR="006B5103" w:rsidRDefault="006B5103">
      <w:pPr>
        <w:pStyle w:val="tijd"/>
        <w:divId w:val="2114661829"/>
        <w:rPr>
          <w:lang w:val="nl-NL"/>
        </w:rPr>
      </w:pPr>
      <w:r>
        <w:rPr>
          <w:lang w:val="nl-NL"/>
        </w:rPr>
        <w:t>april 2025 · doorlopend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7888F8B"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9CB4E06" w14:textId="77777777" w:rsidR="006B5103" w:rsidRDefault="006B5103">
            <w:pPr>
              <w:pStyle w:val="Normaalweb"/>
              <w:spacing w:before="120"/>
              <w:jc w:val="center"/>
              <w:rPr>
                <w:sz w:val="21"/>
                <w:szCs w:val="21"/>
              </w:rPr>
            </w:pPr>
            <w:r>
              <w:rPr>
                <w:noProof/>
                <w:sz w:val="21"/>
                <w:szCs w:val="21"/>
              </w:rPr>
              <w:drawing>
                <wp:inline distT="0" distB="0" distL="0" distR="0" wp14:anchorId="5425CAFA" wp14:editId="46A712D4">
                  <wp:extent cx="5715000" cy="18288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5715000" cy="1828800"/>
                          </a:xfrm>
                          <a:prstGeom prst="rect">
                            <a:avLst/>
                          </a:prstGeom>
                          <a:noFill/>
                          <a:ln>
                            <a:noFill/>
                          </a:ln>
                        </pic:spPr>
                      </pic:pic>
                    </a:graphicData>
                  </a:graphic>
                </wp:inline>
              </w:drawing>
            </w:r>
          </w:p>
          <w:p w14:paraId="377D2887" w14:textId="77777777" w:rsidR="006B5103" w:rsidRDefault="006B5103">
            <w:pPr>
              <w:pStyle w:val="caption"/>
              <w:spacing w:after="120" w:afterAutospacing="0"/>
            </w:pPr>
            <w:r>
              <w:t>Terwijl het loon van de moeder binnenkomt, lekt het er aan de andere kant uit. Klein en voorspelbaar, of groot en plots. Het reservoir loopt leeg.</w:t>
            </w:r>
          </w:p>
        </w:tc>
      </w:tr>
    </w:tbl>
    <w:p w14:paraId="2CF7B2CB" w14:textId="77777777" w:rsidR="006B5103" w:rsidRDefault="006B5103">
      <w:pPr>
        <w:pStyle w:val="Kop3"/>
        <w:divId w:val="2114661829"/>
        <w:rPr>
          <w:rFonts w:eastAsia="Times New Roman"/>
          <w:lang w:val="nl-NL"/>
        </w:rPr>
      </w:pPr>
      <w:bookmarkStart w:id="22" w:name="_Toc242191199"/>
      <w:r>
        <w:rPr>
          <w:rFonts w:eastAsia="Times New Roman"/>
          <w:lang w:val="nl-NL"/>
        </w:rPr>
        <w:t>Frame 4 — Wat niet binnenkomt</w:t>
      </w:r>
      <w:bookmarkEnd w:id="22"/>
    </w:p>
    <w:p w14:paraId="3592F3C8" w14:textId="77777777" w:rsidR="006B5103" w:rsidRDefault="006B5103">
      <w:pPr>
        <w:pStyle w:val="tijd"/>
        <w:divId w:val="2114661829"/>
        <w:rPr>
          <w:lang w:val="nl-NL"/>
        </w:rPr>
      </w:pPr>
      <w:r>
        <w:rPr>
          <w:lang w:val="nl-NL"/>
        </w:rPr>
        <w:t>mei 2025 — september 2026 · geblokkeerd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68CA4E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19F17EC" w14:textId="77777777" w:rsidR="006B5103" w:rsidRDefault="006B5103">
            <w:pPr>
              <w:pStyle w:val="Normaalweb"/>
              <w:spacing w:before="120"/>
              <w:jc w:val="center"/>
              <w:rPr>
                <w:sz w:val="21"/>
                <w:szCs w:val="21"/>
              </w:rPr>
            </w:pPr>
            <w:r>
              <w:rPr>
                <w:noProof/>
                <w:sz w:val="21"/>
                <w:szCs w:val="21"/>
              </w:rPr>
              <w:drawing>
                <wp:inline distT="0" distB="0" distL="0" distR="0" wp14:anchorId="257EE803" wp14:editId="128A1740">
                  <wp:extent cx="5715000" cy="22860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p w14:paraId="2F659187" w14:textId="77777777" w:rsidR="006B5103" w:rsidRDefault="006B5103">
            <w:pPr>
              <w:pStyle w:val="caption"/>
              <w:spacing w:after="120" w:afterAutospacing="0"/>
            </w:pPr>
            <w:r>
              <w:t>Vijf kanalen zouden moeten stromen om het wegvallen van het loon op te vangen. Vier blokkeren. Eén klein kanaal — kinderbijslag — houdt het gezin net boven nul.</w:t>
            </w:r>
          </w:p>
        </w:tc>
      </w:tr>
    </w:tbl>
    <w:p w14:paraId="3C9E5ED3" w14:textId="77777777" w:rsidR="006B5103" w:rsidRDefault="006B5103">
      <w:pPr>
        <w:pStyle w:val="Kop3"/>
        <w:divId w:val="2114661829"/>
        <w:rPr>
          <w:rFonts w:eastAsia="Times New Roman"/>
          <w:lang w:val="nl-NL"/>
        </w:rPr>
      </w:pPr>
      <w:bookmarkStart w:id="23" w:name="_Toc242191200"/>
      <w:r>
        <w:rPr>
          <w:rFonts w:eastAsia="Times New Roman"/>
          <w:lang w:val="nl-NL"/>
        </w:rPr>
        <w:t>Frame 5 — Het resultaat</w:t>
      </w:r>
      <w:bookmarkEnd w:id="23"/>
    </w:p>
    <w:p w14:paraId="22A88DA2" w14:textId="77777777" w:rsidR="006B5103" w:rsidRDefault="006B5103">
      <w:pPr>
        <w:pStyle w:val="tijd"/>
        <w:divId w:val="2114661829"/>
        <w:rPr>
          <w:lang w:val="nl-NL"/>
        </w:rPr>
      </w:pPr>
      <w:r>
        <w:rPr>
          <w:lang w:val="nl-NL"/>
        </w:rPr>
        <w:t>najaar 2026 · achttien maanden later</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312467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74E568B" w14:textId="77777777" w:rsidR="006B5103" w:rsidRDefault="006B5103">
            <w:pPr>
              <w:pStyle w:val="Normaalweb"/>
              <w:spacing w:before="120"/>
              <w:jc w:val="center"/>
              <w:rPr>
                <w:sz w:val="21"/>
                <w:szCs w:val="21"/>
              </w:rPr>
            </w:pPr>
            <w:r>
              <w:rPr>
                <w:noProof/>
                <w:sz w:val="21"/>
                <w:szCs w:val="21"/>
              </w:rPr>
              <w:drawing>
                <wp:inline distT="0" distB="0" distL="0" distR="0" wp14:anchorId="1F9E5E24" wp14:editId="56AAA99F">
                  <wp:extent cx="5715000" cy="19431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5715000" cy="1943100"/>
                          </a:xfrm>
                          <a:prstGeom prst="rect">
                            <a:avLst/>
                          </a:prstGeom>
                          <a:noFill/>
                          <a:ln>
                            <a:noFill/>
                          </a:ln>
                        </pic:spPr>
                      </pic:pic>
                    </a:graphicData>
                  </a:graphic>
                </wp:inline>
              </w:drawing>
            </w:r>
          </w:p>
          <w:p w14:paraId="535AF267" w14:textId="77777777" w:rsidR="006B5103" w:rsidRDefault="006B5103">
            <w:pPr>
              <w:pStyle w:val="caption"/>
              <w:spacing w:after="120" w:afterAutospacing="0"/>
            </w:pPr>
            <w:r>
              <w:t>Achttien maanden later staat de rekening onder nul. De commerciële bank biedt een oplossing met sancties. Het incassobureau is ingeschakeld. En het systeem dat dit had moeten opvangen, levert nog steeds niets.</w:t>
            </w:r>
          </w:p>
        </w:tc>
      </w:tr>
    </w:tbl>
    <w:p w14:paraId="4F251B8A" w14:textId="77777777" w:rsidR="006B5103" w:rsidRDefault="006B5103">
      <w:pPr>
        <w:divId w:val="2114661829"/>
        <w:rPr>
          <w:rFonts w:eastAsia="Times New Roman"/>
          <w:vanish/>
          <w:lang w:val="nl-NL"/>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149FFCD"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5D9E69B4" w14:textId="77777777" w:rsidR="006B5103" w:rsidRDefault="006B5103">
            <w:pPr>
              <w:spacing w:before="240" w:after="240"/>
              <w:rPr>
                <w:rFonts w:eastAsia="Times New Roman"/>
                <w:szCs w:val="22"/>
              </w:rPr>
            </w:pPr>
            <w:r>
              <w:rPr>
                <w:rFonts w:eastAsia="Times New Roman"/>
                <w:szCs w:val="22"/>
              </w:rPr>
              <w:t xml:space="preserve">De cascade is geen keten van fouten. Het is één mechanisme dat in vijfvoud reageert op één gebeurtenis. Elke schakel heeft een eigen wet, een eigen loket, een eigen logica. Geen enkele schakel ziet de volgende. En de bankrekening is de enige plek waar alle schakels samenkomen — als resultaat, niet als oorzaak. </w:t>
            </w:r>
          </w:p>
        </w:tc>
      </w:tr>
    </w:tbl>
    <w:p w14:paraId="2EE7140B" w14:textId="77777777" w:rsidR="006B5103" w:rsidRDefault="006B5103">
      <w:pPr>
        <w:pStyle w:val="noot"/>
        <w:spacing w:after="120" w:afterAutospacing="0"/>
        <w:divId w:val="2114661829"/>
        <w:rPr>
          <w:lang w:val="nl-NL"/>
        </w:rPr>
      </w:pPr>
      <w:r>
        <w:rPr>
          <w:lang w:val="nl-NL"/>
        </w:rPr>
        <w:t>De feiten zijn gebaseerd op Document B. Bedragen zijn terug te vinden in de feitelijke entries per organisatie. Natuurlijke personen worden aangeduid met symbolen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organisaties met hun publieke naam.</w:t>
      </w:r>
    </w:p>
    <w:p w14:paraId="09169AC7" w14:textId="77777777" w:rsidR="006B5103" w:rsidRDefault="006B5103">
      <w:pPr>
        <w:pStyle w:val="marker"/>
        <w:ind w:left="800" w:right="800"/>
        <w:divId w:val="2114661829"/>
        <w:rPr>
          <w:lang w:val="nl-NL"/>
        </w:rPr>
      </w:pPr>
      <w:r>
        <w:br w:type="page"/>
      </w:r>
    </w:p>
    <w:p w14:paraId="7049D13B" w14:textId="77777777" w:rsidR="006B5103" w:rsidRDefault="006B5103">
      <w:pPr>
        <w:pStyle w:val="Kop1"/>
        <w:divId w:val="2114661829"/>
        <w:rPr>
          <w:rFonts w:eastAsia="Times New Roman"/>
          <w:lang w:val="nl-NL"/>
        </w:rPr>
      </w:pPr>
      <w:bookmarkStart w:id="24" w:name="_Toc242191201"/>
      <w:r>
        <w:rPr>
          <w:rFonts w:eastAsia="Times New Roman"/>
          <w:lang w:val="nl-NL"/>
        </w:rPr>
        <w:t>II. België</w:t>
      </w:r>
      <w:bookmarkEnd w:id="24"/>
    </w:p>
    <w:p w14:paraId="5AECAC35" w14:textId="77777777" w:rsidR="006B5103" w:rsidRDefault="006B5103">
      <w:pPr>
        <w:pStyle w:val="Kop2"/>
        <w:divId w:val="2114661829"/>
        <w:rPr>
          <w:rFonts w:eastAsia="Times New Roman"/>
          <w:lang w:val="nl-NL"/>
        </w:rPr>
      </w:pPr>
      <w:bookmarkStart w:id="25" w:name="_Toc242191202"/>
      <w:r>
        <w:rPr>
          <w:rFonts w:eastAsia="Times New Roman"/>
          <w:lang w:val="nl-NL"/>
        </w:rPr>
        <w:t>De potjes en de koppelverkoop</w:t>
      </w:r>
      <w:bookmarkEnd w:id="25"/>
    </w:p>
    <w:p w14:paraId="44975D1F" w14:textId="77777777" w:rsidR="006B5103" w:rsidRDefault="006B5103">
      <w:pPr>
        <w:pStyle w:val="lead"/>
        <w:divId w:val="2114661829"/>
        <w:rPr>
          <w:lang w:val="nl-NL"/>
        </w:rPr>
      </w:pPr>
      <w:r>
        <w:rPr>
          <w:lang w:val="nl-NL"/>
        </w:rPr>
        <w:t>Een gezin dat door ziekte zijn inkomen verliest, kan in België en Nederland een reeks tegemoetkomingen aanvragen. Deze zijn verspreid over twee landen, twee fiscale stelsels, twee socialezekerheidsstelsels en twee uitkeringslogica's. Dit hoofdstuk inventariseert eerst welke potjes er zijn. Daarna toont het waarom de meeste potjes gesloten blijven — niet door één oorzaak, maar door een mechaniek die in beide landen terugkomt.</w:t>
      </w:r>
    </w:p>
    <w:p w14:paraId="7DDC4F5E" w14:textId="77777777" w:rsidR="006B5103" w:rsidRDefault="006B5103">
      <w:pPr>
        <w:pStyle w:val="Kop3"/>
        <w:divId w:val="2114661829"/>
        <w:rPr>
          <w:rFonts w:eastAsia="Times New Roman"/>
          <w:lang w:val="nl-NL"/>
        </w:rPr>
      </w:pPr>
      <w:bookmarkStart w:id="26" w:name="_Toc242191203"/>
      <w:r>
        <w:rPr>
          <w:rFonts w:eastAsia="Times New Roman"/>
          <w:lang w:val="nl-NL"/>
        </w:rPr>
        <w:t>Deel II-A — De potjes</w:t>
      </w:r>
      <w:bookmarkEnd w:id="26"/>
    </w:p>
    <w:p w14:paraId="07DDB294" w14:textId="77777777" w:rsidR="006B5103" w:rsidRDefault="006B5103">
      <w:pPr>
        <w:pStyle w:val="Normaalweb"/>
        <w:divId w:val="2114661829"/>
        <w:rPr>
          <w:lang w:val="nl-NL"/>
        </w:rPr>
      </w:pPr>
      <w:r>
        <w:rPr>
          <w:lang w:val="nl-NL"/>
        </w:rPr>
        <w:t>Het gezin heeft in theorie recht op of kan in theorie aanspraak maken op de volgende tegemoetkomingen. De status per potje is gebaseerd op Document B.</w:t>
      </w:r>
    </w:p>
    <w:p w14:paraId="5F187AC1" w14:textId="77777777" w:rsidR="006B5103" w:rsidRDefault="006B5103">
      <w:pPr>
        <w:pStyle w:val="Kop4"/>
        <w:divId w:val="2114661829"/>
        <w:rPr>
          <w:rFonts w:eastAsia="Times New Roman"/>
          <w:lang w:val="nl-NL"/>
        </w:rPr>
      </w:pPr>
      <w:r>
        <w:rPr>
          <w:rFonts w:eastAsia="Times New Roman"/>
          <w:lang w:val="nl-NL"/>
        </w:rPr>
        <w:t>Belgische potjes</w:t>
      </w:r>
    </w:p>
    <w:tbl>
      <w:tblPr>
        <w:tblW w:w="5000" w:type="pct"/>
        <w:tblCellMar>
          <w:top w:w="15" w:type="dxa"/>
          <w:left w:w="15" w:type="dxa"/>
          <w:bottom w:w="15" w:type="dxa"/>
          <w:right w:w="15" w:type="dxa"/>
        </w:tblCellMar>
        <w:tblLook w:val="04A0" w:firstRow="1" w:lastRow="0" w:firstColumn="1" w:lastColumn="0" w:noHBand="0" w:noVBand="1"/>
      </w:tblPr>
      <w:tblGrid>
        <w:gridCol w:w="2549"/>
        <w:gridCol w:w="1768"/>
        <w:gridCol w:w="2427"/>
        <w:gridCol w:w="2312"/>
      </w:tblGrid>
      <w:tr w:rsidR="00000000" w14:paraId="1798E5FD" w14:textId="77777777">
        <w:trPr>
          <w:divId w:val="2114661829"/>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92A37A6"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Potje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3A5A69B"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Beheerder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4F57734"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Voorwaarde</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7EAD923"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788FC410"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BBDF51" w14:textId="77777777" w:rsidR="006B5103" w:rsidRDefault="006B5103">
            <w:pPr>
              <w:spacing w:before="200" w:after="360"/>
              <w:rPr>
                <w:rFonts w:eastAsia="Times New Roman"/>
                <w:sz w:val="21"/>
                <w:szCs w:val="21"/>
              </w:rPr>
            </w:pPr>
            <w:r>
              <w:rPr>
                <w:rStyle w:val="Zwaar"/>
                <w:rFonts w:eastAsia="Times New Roman"/>
                <w:sz w:val="21"/>
                <w:szCs w:val="21"/>
              </w:rPr>
              <w:t>Ziekte-uitkering</w:t>
            </w:r>
            <w:r>
              <w:rPr>
                <w:rFonts w:eastAsia="Times New Roman"/>
                <w:sz w:val="21"/>
                <w:szCs w:val="21"/>
              </w:rPr>
              <w:t xml:space="preserve"> (arbeidsongeschiktheid, eerste jaar)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5732069" w14:textId="77777777" w:rsidR="006B5103" w:rsidRDefault="006B5103">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AF2AE4" w14:textId="77777777" w:rsidR="006B5103" w:rsidRDefault="006B5103">
            <w:pPr>
              <w:spacing w:before="200" w:after="360"/>
              <w:rPr>
                <w:rFonts w:eastAsia="Times New Roman"/>
                <w:sz w:val="21"/>
                <w:szCs w:val="21"/>
              </w:rPr>
            </w:pPr>
            <w:r>
              <w:rPr>
                <w:rFonts w:eastAsia="Times New Roman"/>
                <w:sz w:val="21"/>
                <w:szCs w:val="21"/>
              </w:rPr>
              <w:t>Arbeidsongeschikt verklaard + wachttijd vervuld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70D695D"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wachttijd 180 dagen niet toegepast met Europese samentelling</w:t>
            </w:r>
          </w:p>
        </w:tc>
      </w:tr>
      <w:tr w:rsidR="00000000" w14:paraId="624D8CC0"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618B41" w14:textId="77777777" w:rsidR="006B5103" w:rsidRDefault="006B5103">
            <w:pPr>
              <w:spacing w:before="200" w:after="360"/>
              <w:rPr>
                <w:rFonts w:eastAsia="Times New Roman"/>
                <w:sz w:val="21"/>
                <w:szCs w:val="21"/>
              </w:rPr>
            </w:pPr>
            <w:r>
              <w:rPr>
                <w:rStyle w:val="Zwaar"/>
                <w:rFonts w:eastAsia="Times New Roman"/>
                <w:sz w:val="21"/>
                <w:szCs w:val="21"/>
              </w:rPr>
              <w:t>Invaliditeitsuitkering</w:t>
            </w:r>
            <w:r>
              <w:rPr>
                <w:rFonts w:eastAsia="Times New Roman"/>
                <w:sz w:val="21"/>
                <w:szCs w:val="21"/>
              </w:rPr>
              <w:t xml:space="preserve"> (na 1 jaar arbeidsongeschiktheid)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F2816C1" w14:textId="77777777" w:rsidR="006B5103" w:rsidRDefault="006B5103">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FDB14B" w14:textId="77777777" w:rsidR="006B5103" w:rsidRDefault="006B5103">
            <w:pPr>
              <w:spacing w:before="200" w:after="360"/>
              <w:rPr>
                <w:rFonts w:eastAsia="Times New Roman"/>
                <w:sz w:val="21"/>
                <w:szCs w:val="21"/>
              </w:rPr>
            </w:pPr>
            <w:r>
              <w:rPr>
                <w:rFonts w:eastAsia="Times New Roman"/>
                <w:sz w:val="21"/>
                <w:szCs w:val="21"/>
              </w:rPr>
              <w:t>Automatische overgang na 365 dagen arbeidsongeschiktheid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2877984"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fictieve einddatum voorkomt overgang</w:t>
            </w:r>
          </w:p>
        </w:tc>
      </w:tr>
      <w:tr w:rsidR="00000000" w14:paraId="7D609D8C"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41D8CBF" w14:textId="77777777" w:rsidR="006B5103" w:rsidRDefault="006B5103">
            <w:pPr>
              <w:spacing w:before="200" w:after="360"/>
              <w:rPr>
                <w:rFonts w:eastAsia="Times New Roman"/>
                <w:sz w:val="21"/>
                <w:szCs w:val="21"/>
              </w:rPr>
            </w:pPr>
            <w:r>
              <w:rPr>
                <w:rStyle w:val="Zwaar"/>
                <w:rFonts w:eastAsia="Times New Roman"/>
                <w:sz w:val="21"/>
                <w:szCs w:val="21"/>
              </w:rPr>
              <w:t>IVT</w:t>
            </w:r>
            <w:r>
              <w:rPr>
                <w:rFonts w:eastAsia="Times New Roman"/>
                <w:sz w:val="21"/>
                <w:szCs w:val="21"/>
              </w:rPr>
              <w:t xml:space="preserve"> (inkomensvervangende tegemoetkoming)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AD63EA" w14:textId="77777777" w:rsidR="006B5103" w:rsidRDefault="006B5103">
            <w:pPr>
              <w:spacing w:before="200" w:after="360"/>
              <w:rPr>
                <w:rFonts w:eastAsia="Times New Roman"/>
                <w:sz w:val="21"/>
                <w:szCs w:val="21"/>
              </w:rPr>
            </w:pPr>
            <w:r>
              <w:rPr>
                <w:rFonts w:eastAsia="Times New Roman"/>
                <w:sz w:val="21"/>
                <w:szCs w:val="21"/>
              </w:rPr>
              <w:t>FOD Sociale Zekerheid / DG HAN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DECA64" w14:textId="77777777" w:rsidR="006B5103" w:rsidRDefault="006B5103">
            <w:pPr>
              <w:spacing w:before="200" w:after="360"/>
              <w:rPr>
                <w:rFonts w:eastAsia="Times New Roman"/>
                <w:sz w:val="21"/>
                <w:szCs w:val="21"/>
              </w:rPr>
            </w:pPr>
            <w:r>
              <w:rPr>
                <w:rFonts w:eastAsia="Times New Roman"/>
                <w:sz w:val="21"/>
                <w:szCs w:val="21"/>
              </w:rPr>
              <w:t>Erkende handicap + verminderd verdienvermogen + woonplaats België</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075BFB"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woonplaatseis, geen Belgisch domicilie</w:t>
            </w:r>
          </w:p>
        </w:tc>
      </w:tr>
      <w:tr w:rsidR="00000000" w14:paraId="2BECEB3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88FD3D" w14:textId="77777777" w:rsidR="006B5103" w:rsidRDefault="006B5103">
            <w:pPr>
              <w:spacing w:before="200" w:after="360"/>
              <w:rPr>
                <w:rFonts w:eastAsia="Times New Roman"/>
                <w:sz w:val="21"/>
                <w:szCs w:val="21"/>
              </w:rPr>
            </w:pPr>
            <w:r>
              <w:rPr>
                <w:rStyle w:val="Zwaar"/>
                <w:rFonts w:eastAsia="Times New Roman"/>
                <w:sz w:val="21"/>
                <w:szCs w:val="21"/>
              </w:rPr>
              <w:t>Verhoogde belastingvrije som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681740" w14:textId="77777777" w:rsidR="006B5103" w:rsidRDefault="006B5103">
            <w:pPr>
              <w:spacing w:before="200" w:after="360"/>
              <w:rPr>
                <w:rFonts w:eastAsia="Times New Roman"/>
                <w:sz w:val="21"/>
                <w:szCs w:val="21"/>
              </w:rPr>
            </w:pPr>
            <w:r>
              <w:rPr>
                <w:rFonts w:eastAsia="Times New Roman"/>
                <w:sz w:val="21"/>
                <w:szCs w:val="21"/>
              </w:rPr>
              <w:t>FOD Financiën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C50E975" w14:textId="77777777" w:rsidR="006B5103" w:rsidRDefault="006B5103">
            <w:pPr>
              <w:spacing w:before="200" w:after="360"/>
              <w:rPr>
                <w:rFonts w:eastAsia="Times New Roman"/>
                <w:sz w:val="21"/>
                <w:szCs w:val="21"/>
              </w:rPr>
            </w:pPr>
            <w:r>
              <w:rPr>
                <w:rFonts w:eastAsia="Times New Roman"/>
                <w:sz w:val="21"/>
                <w:szCs w:val="21"/>
              </w:rPr>
              <w:t>Erkenning zware handicap (9 punten)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7192D55"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via DG HAN, </w:t>
            </w:r>
            <w:r>
              <w:rPr>
                <w:rStyle w:val="status-g1"/>
                <w:rFonts w:eastAsia="Times New Roman"/>
                <w:sz w:val="21"/>
                <w:szCs w:val="21"/>
              </w:rPr>
              <w:t>geactiveerd</w:t>
            </w:r>
            <w:r>
              <w:rPr>
                <w:rFonts w:eastAsia="Times New Roman"/>
                <w:sz w:val="21"/>
                <w:szCs w:val="21"/>
              </w:rPr>
              <w:t xml:space="preserve"> via fiscale bypass (zie Hoofdstuk II — De Belgische fiscale route)</w:t>
            </w:r>
          </w:p>
        </w:tc>
      </w:tr>
      <w:tr w:rsidR="00000000" w14:paraId="36D953F6"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B08BF47" w14:textId="77777777" w:rsidR="006B5103" w:rsidRDefault="006B5103">
            <w:pPr>
              <w:spacing w:before="200" w:after="360"/>
              <w:rPr>
                <w:rFonts w:eastAsia="Times New Roman"/>
                <w:sz w:val="21"/>
                <w:szCs w:val="21"/>
              </w:rPr>
            </w:pPr>
            <w:r>
              <w:rPr>
                <w:rStyle w:val="Zwaar"/>
                <w:rFonts w:eastAsia="Times New Roman"/>
                <w:sz w:val="21"/>
                <w:szCs w:val="21"/>
              </w:rPr>
              <w:t>Kinderbijslag / Groeipakket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9ECAE7" w14:textId="77777777" w:rsidR="006B5103" w:rsidRDefault="006B5103">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BDADE07" w14:textId="77777777" w:rsidR="006B5103" w:rsidRDefault="006B5103">
            <w:pPr>
              <w:spacing w:before="200" w:after="360"/>
              <w:rPr>
                <w:rFonts w:eastAsia="Times New Roman"/>
                <w:sz w:val="21"/>
                <w:szCs w:val="21"/>
              </w:rPr>
            </w:pPr>
            <w:r>
              <w:rPr>
                <w:rFonts w:eastAsia="Times New Roman"/>
                <w:sz w:val="21"/>
                <w:szCs w:val="21"/>
              </w:rPr>
              <w:t>Kind ten laste + werklandbeginsel (moeder werkt in België)</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68491C7" w14:textId="77777777" w:rsidR="006B5103" w:rsidRDefault="006B5103">
            <w:pPr>
              <w:spacing w:before="200" w:after="360"/>
              <w:rPr>
                <w:rFonts w:eastAsia="Times New Roman"/>
                <w:sz w:val="21"/>
                <w:szCs w:val="21"/>
              </w:rPr>
            </w:pPr>
            <w:r>
              <w:rPr>
                <w:rStyle w:val="status-g1"/>
                <w:rFonts w:eastAsia="Times New Roman"/>
                <w:sz w:val="21"/>
                <w:szCs w:val="21"/>
              </w:rPr>
              <w:t>Werkt</w:t>
            </w:r>
            <w:r>
              <w:rPr>
                <w:rFonts w:eastAsia="Times New Roman"/>
                <w:sz w:val="21"/>
                <w:szCs w:val="21"/>
              </w:rPr>
              <w:t xml:space="preserve"> — hoofdbetaler op naam moeder, aangevuld door SVB</w:t>
            </w:r>
          </w:p>
        </w:tc>
      </w:tr>
      <w:tr w:rsidR="00000000" w14:paraId="759468EF"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76E7F2" w14:textId="77777777" w:rsidR="006B5103" w:rsidRDefault="006B5103">
            <w:pPr>
              <w:spacing w:before="200" w:after="360"/>
              <w:rPr>
                <w:rFonts w:eastAsia="Times New Roman"/>
                <w:sz w:val="21"/>
                <w:szCs w:val="21"/>
              </w:rPr>
            </w:pPr>
            <w:r>
              <w:rPr>
                <w:rStyle w:val="Zwaar"/>
                <w:rFonts w:eastAsia="Times New Roman"/>
                <w:sz w:val="21"/>
                <w:szCs w:val="21"/>
              </w:rPr>
              <w:t>Sociale toeslag</w:t>
            </w:r>
            <w:r>
              <w:rPr>
                <w:rFonts w:eastAsia="Times New Roman"/>
                <w:sz w:val="21"/>
                <w:szCs w:val="21"/>
              </w:rPr>
              <w:t xml:space="preserve"> (binnen Groeipakket)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AD181D" w14:textId="77777777" w:rsidR="006B5103" w:rsidRDefault="006B5103">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82EB46" w14:textId="77777777" w:rsidR="006B5103" w:rsidRDefault="006B5103">
            <w:pPr>
              <w:spacing w:before="200" w:after="360"/>
              <w:rPr>
                <w:rFonts w:eastAsia="Times New Roman"/>
                <w:sz w:val="21"/>
                <w:szCs w:val="21"/>
              </w:rPr>
            </w:pPr>
            <w:r>
              <w:rPr>
                <w:rFonts w:eastAsia="Times New Roman"/>
                <w:sz w:val="21"/>
                <w:szCs w:val="21"/>
              </w:rPr>
              <w:t>Gezinsinkomen onder drempel + 6 opeenvolgende maanden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88B4FE"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Parentia toetst aan theoretisch verdienvermogen, niet aan werkelijk inkomen</w:t>
            </w:r>
          </w:p>
        </w:tc>
      </w:tr>
      <w:tr w:rsidR="00000000" w14:paraId="5EAA49EE"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8A91FB" w14:textId="77777777" w:rsidR="006B5103" w:rsidRDefault="006B5103">
            <w:pPr>
              <w:spacing w:before="200" w:after="360"/>
              <w:rPr>
                <w:rFonts w:eastAsia="Times New Roman"/>
                <w:sz w:val="21"/>
                <w:szCs w:val="21"/>
              </w:rPr>
            </w:pPr>
            <w:r>
              <w:rPr>
                <w:rStyle w:val="Zwaar"/>
                <w:rFonts w:eastAsia="Times New Roman"/>
                <w:sz w:val="21"/>
                <w:szCs w:val="21"/>
              </w:rPr>
              <w:t>MAF</w:t>
            </w:r>
            <w:r>
              <w:rPr>
                <w:rFonts w:eastAsia="Times New Roman"/>
                <w:sz w:val="21"/>
                <w:szCs w:val="21"/>
              </w:rPr>
              <w:t xml:space="preserve"> (maximumfactuur)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0F3F73" w14:textId="77777777" w:rsidR="006B5103" w:rsidRDefault="006B5103">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01DC85" w14:textId="77777777" w:rsidR="006B5103" w:rsidRDefault="006B5103">
            <w:pPr>
              <w:spacing w:before="200" w:after="360"/>
              <w:rPr>
                <w:rFonts w:eastAsia="Times New Roman"/>
                <w:sz w:val="21"/>
                <w:szCs w:val="21"/>
              </w:rPr>
            </w:pPr>
            <w:r>
              <w:rPr>
                <w:rFonts w:eastAsia="Times New Roman"/>
                <w:sz w:val="21"/>
                <w:szCs w:val="21"/>
              </w:rPr>
              <w:t>Remgeld boven plafond — verhoogd plafond bij erkenning handicap</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75A792" w14:textId="77777777" w:rsidR="006B5103" w:rsidRDefault="006B5103">
            <w:pPr>
              <w:spacing w:before="200" w:after="360"/>
              <w:rPr>
                <w:rFonts w:eastAsia="Times New Roman"/>
                <w:sz w:val="21"/>
                <w:szCs w:val="21"/>
              </w:rPr>
            </w:pPr>
            <w:r>
              <w:rPr>
                <w:rStyle w:val="status-o1"/>
                <w:rFonts w:eastAsia="Times New Roman"/>
                <w:sz w:val="21"/>
                <w:szCs w:val="21"/>
              </w:rPr>
              <w:t>Gedeeltelijk</w:t>
            </w:r>
            <w:r>
              <w:rPr>
                <w:rFonts w:eastAsia="Times New Roman"/>
                <w:sz w:val="21"/>
                <w:szCs w:val="21"/>
              </w:rPr>
              <w:t xml:space="preserve"> </w:t>
            </w:r>
            <w:r>
              <w:rPr>
                <w:rFonts w:eastAsia="Times New Roman"/>
                <w:sz w:val="21"/>
                <w:szCs w:val="21"/>
              </w:rPr>
              <w:t>— gewone MAF actief, verhoogde MAF geblokkeerd door weigering invaliditeit</w:t>
            </w:r>
          </w:p>
        </w:tc>
      </w:tr>
      <w:tr w:rsidR="00000000" w14:paraId="06DC0635"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5E30AA6" w14:textId="77777777" w:rsidR="006B5103" w:rsidRDefault="006B5103">
            <w:pPr>
              <w:spacing w:before="200" w:after="360"/>
              <w:rPr>
                <w:rFonts w:eastAsia="Times New Roman"/>
                <w:sz w:val="21"/>
                <w:szCs w:val="21"/>
              </w:rPr>
            </w:pPr>
            <w:r>
              <w:rPr>
                <w:rStyle w:val="Zwaar"/>
                <w:rFonts w:eastAsia="Times New Roman"/>
                <w:sz w:val="21"/>
                <w:szCs w:val="21"/>
              </w:rPr>
              <w:t>Fiscale aftrek medische kosten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1C5E51" w14:textId="77777777" w:rsidR="006B5103" w:rsidRDefault="006B5103">
            <w:pPr>
              <w:spacing w:before="200" w:after="360"/>
              <w:rPr>
                <w:rFonts w:eastAsia="Times New Roman"/>
                <w:sz w:val="21"/>
                <w:szCs w:val="21"/>
              </w:rPr>
            </w:pPr>
            <w:r>
              <w:rPr>
                <w:rFonts w:eastAsia="Times New Roman"/>
                <w:sz w:val="21"/>
                <w:szCs w:val="21"/>
              </w:rPr>
              <w:t>FOD Financiën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5B255E" w14:textId="77777777" w:rsidR="006B5103" w:rsidRDefault="006B5103">
            <w:pPr>
              <w:spacing w:before="200" w:after="360"/>
              <w:rPr>
                <w:rFonts w:eastAsia="Times New Roman"/>
                <w:sz w:val="21"/>
                <w:szCs w:val="21"/>
              </w:rPr>
            </w:pPr>
            <w:r>
              <w:rPr>
                <w:rFonts w:eastAsia="Times New Roman"/>
                <w:sz w:val="21"/>
                <w:szCs w:val="21"/>
              </w:rPr>
              <w:t>Bewijs van medische uitgaven via jaarlijkse aangifte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B535C2" w14:textId="77777777" w:rsidR="006B5103" w:rsidRDefault="006B5103">
            <w:pPr>
              <w:spacing w:before="200" w:after="360"/>
              <w:rPr>
                <w:rFonts w:eastAsia="Times New Roman"/>
                <w:sz w:val="21"/>
                <w:szCs w:val="21"/>
              </w:rPr>
            </w:pPr>
            <w:r>
              <w:rPr>
                <w:rStyle w:val="status-o1"/>
                <w:rFonts w:eastAsia="Times New Roman"/>
                <w:sz w:val="21"/>
                <w:szCs w:val="21"/>
              </w:rPr>
              <w:t>Gedeeltelijk</w:t>
            </w:r>
            <w:r>
              <w:rPr>
                <w:rFonts w:eastAsia="Times New Roman"/>
                <w:sz w:val="21"/>
                <w:szCs w:val="21"/>
              </w:rPr>
              <w:t xml:space="preserve"> </w:t>
            </w:r>
            <w:r>
              <w:rPr>
                <w:rFonts w:eastAsia="Times New Roman"/>
                <w:sz w:val="21"/>
                <w:szCs w:val="21"/>
              </w:rPr>
              <w:t>— aftrekbaar maar beperkte impact zolang ander inkomen laag blijft</w:t>
            </w:r>
          </w:p>
        </w:tc>
      </w:tr>
      <w:tr w:rsidR="00000000" w14:paraId="2602F7D5"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E6D19B" w14:textId="77777777" w:rsidR="006B5103" w:rsidRDefault="006B5103">
            <w:pPr>
              <w:spacing w:before="200" w:after="360"/>
              <w:rPr>
                <w:rFonts w:eastAsia="Times New Roman"/>
                <w:sz w:val="21"/>
                <w:szCs w:val="21"/>
              </w:rPr>
            </w:pPr>
            <w:r>
              <w:rPr>
                <w:rStyle w:val="Zwaar"/>
                <w:rFonts w:eastAsia="Times New Roman"/>
                <w:sz w:val="21"/>
                <w:szCs w:val="21"/>
              </w:rPr>
              <w:t>Tegemoetkoming hulpmiddelen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04038B" w14:textId="77777777" w:rsidR="006B5103" w:rsidRDefault="006B5103">
            <w:pPr>
              <w:spacing w:before="200" w:after="360"/>
              <w:rPr>
                <w:rFonts w:eastAsia="Times New Roman"/>
                <w:sz w:val="21"/>
                <w:szCs w:val="21"/>
              </w:rPr>
            </w:pPr>
            <w:r>
              <w:rPr>
                <w:rFonts w:eastAsia="Times New Roman"/>
                <w:sz w:val="21"/>
                <w:szCs w:val="21"/>
              </w:rPr>
              <w:t>CM (via RIZIV-conventie)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08DC56" w14:textId="77777777" w:rsidR="006B5103" w:rsidRDefault="006B5103">
            <w:pPr>
              <w:spacing w:before="200" w:after="360"/>
              <w:rPr>
                <w:rFonts w:eastAsia="Times New Roman"/>
                <w:sz w:val="21"/>
                <w:szCs w:val="21"/>
              </w:rPr>
            </w:pPr>
            <w:r>
              <w:rPr>
                <w:rFonts w:eastAsia="Times New Roman"/>
                <w:sz w:val="21"/>
                <w:szCs w:val="21"/>
              </w:rPr>
              <w:t>Medische voorschriften en goedkeuring adviserend arts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6F9BE36" w14:textId="77777777" w:rsidR="006B5103" w:rsidRDefault="006B5103">
            <w:pPr>
              <w:spacing w:before="200" w:after="360"/>
              <w:rPr>
                <w:rFonts w:eastAsia="Times New Roman"/>
                <w:sz w:val="21"/>
                <w:szCs w:val="21"/>
              </w:rPr>
            </w:pPr>
            <w:r>
              <w:rPr>
                <w:rStyle w:val="status-g1"/>
                <w:rFonts w:eastAsia="Times New Roman"/>
                <w:sz w:val="21"/>
                <w:szCs w:val="21"/>
              </w:rPr>
              <w:t>Werkt</w:t>
            </w:r>
            <w:r>
              <w:rPr>
                <w:rFonts w:eastAsia="Times New Roman"/>
                <w:sz w:val="21"/>
                <w:szCs w:val="21"/>
              </w:rPr>
              <w:t xml:space="preserve"> — orthopedische schoenen goedgekeurd, diabetesconventie actief</w:t>
            </w:r>
          </w:p>
        </w:tc>
      </w:tr>
      <w:tr w:rsidR="00000000" w14:paraId="0C5D26BA"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EA7487" w14:textId="77777777" w:rsidR="006B5103" w:rsidRDefault="006B5103">
            <w:pPr>
              <w:spacing w:before="200" w:after="360"/>
              <w:rPr>
                <w:rFonts w:eastAsia="Times New Roman"/>
                <w:sz w:val="21"/>
                <w:szCs w:val="21"/>
              </w:rPr>
            </w:pPr>
            <w:r>
              <w:rPr>
                <w:rStyle w:val="Zwaar"/>
                <w:rFonts w:eastAsia="Times New Roman"/>
                <w:sz w:val="21"/>
                <w:szCs w:val="21"/>
              </w:rPr>
              <w:t>Diabetische voetkliniek UZ Gent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854A30" w14:textId="77777777" w:rsidR="006B5103" w:rsidRDefault="006B5103">
            <w:pPr>
              <w:spacing w:before="200" w:after="360"/>
              <w:rPr>
                <w:rFonts w:eastAsia="Times New Roman"/>
                <w:sz w:val="21"/>
                <w:szCs w:val="21"/>
              </w:rPr>
            </w:pPr>
            <w:r>
              <w:rPr>
                <w:rFonts w:eastAsia="Times New Roman"/>
                <w:sz w:val="21"/>
                <w:szCs w:val="21"/>
              </w:rPr>
              <w:t>CM (conventie)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77C09E6" w14:textId="77777777" w:rsidR="006B5103" w:rsidRDefault="006B5103">
            <w:pPr>
              <w:spacing w:before="200" w:after="360"/>
              <w:rPr>
                <w:rFonts w:eastAsia="Times New Roman"/>
                <w:sz w:val="21"/>
                <w:szCs w:val="21"/>
              </w:rPr>
            </w:pPr>
            <w:r>
              <w:rPr>
                <w:rFonts w:eastAsia="Times New Roman"/>
                <w:sz w:val="21"/>
                <w:szCs w:val="21"/>
              </w:rPr>
              <w:t>Conventie met academisch ziekenhuis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949D24" w14:textId="77777777" w:rsidR="006B5103" w:rsidRDefault="006B5103">
            <w:pPr>
              <w:spacing w:before="200" w:after="360"/>
              <w:rPr>
                <w:rFonts w:eastAsia="Times New Roman"/>
                <w:sz w:val="21"/>
                <w:szCs w:val="21"/>
              </w:rPr>
            </w:pPr>
            <w:r>
              <w:rPr>
                <w:rStyle w:val="status-g1"/>
                <w:rFonts w:eastAsia="Times New Roman"/>
                <w:sz w:val="21"/>
                <w:szCs w:val="21"/>
              </w:rPr>
              <w:t>Werkt</w:t>
            </w:r>
            <w:r>
              <w:rPr>
                <w:rFonts w:eastAsia="Times New Roman"/>
                <w:sz w:val="21"/>
                <w:szCs w:val="21"/>
              </w:rPr>
              <w:t xml:space="preserve"> — goedgekeurd 19-06-2026 tot 27-05-2027</w:t>
            </w:r>
          </w:p>
        </w:tc>
      </w:tr>
      <w:tr w:rsidR="00000000" w14:paraId="70D929CA"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A36D55" w14:textId="77777777" w:rsidR="006B5103" w:rsidRDefault="006B5103">
            <w:pPr>
              <w:spacing w:before="200" w:after="360"/>
              <w:rPr>
                <w:rFonts w:eastAsia="Times New Roman"/>
                <w:sz w:val="21"/>
                <w:szCs w:val="21"/>
              </w:rPr>
            </w:pPr>
            <w:r>
              <w:rPr>
                <w:rStyle w:val="Zwaar"/>
                <w:rFonts w:eastAsia="Times New Roman"/>
                <w:sz w:val="21"/>
                <w:szCs w:val="21"/>
              </w:rPr>
              <w:t>Europese parkeerkaart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4A645D2" w14:textId="77777777" w:rsidR="006B5103" w:rsidRDefault="006B5103">
            <w:pPr>
              <w:spacing w:before="200" w:after="360"/>
              <w:rPr>
                <w:rFonts w:eastAsia="Times New Roman"/>
                <w:sz w:val="21"/>
                <w:szCs w:val="21"/>
              </w:rPr>
            </w:pPr>
            <w:r>
              <w:rPr>
                <w:rFonts w:eastAsia="Times New Roman"/>
                <w:sz w:val="21"/>
                <w:szCs w:val="21"/>
              </w:rPr>
              <w:t>FOD Sociale Zekerheid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9D17185" w14:textId="77777777" w:rsidR="006B5103" w:rsidRDefault="006B5103">
            <w:pPr>
              <w:spacing w:before="200" w:after="360"/>
              <w:rPr>
                <w:rFonts w:eastAsia="Times New Roman"/>
                <w:sz w:val="21"/>
                <w:szCs w:val="21"/>
              </w:rPr>
            </w:pPr>
            <w:r>
              <w:rPr>
                <w:rFonts w:eastAsia="Times New Roman"/>
                <w:sz w:val="21"/>
                <w:szCs w:val="21"/>
              </w:rPr>
              <w:t>Erkenning handicap</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2FCA1D4" w14:textId="77777777" w:rsidR="006B5103" w:rsidRDefault="006B5103">
            <w:pPr>
              <w:spacing w:before="200" w:after="360"/>
              <w:rPr>
                <w:rFonts w:eastAsia="Times New Roman"/>
                <w:sz w:val="21"/>
                <w:szCs w:val="21"/>
              </w:rPr>
            </w:pPr>
            <w:r>
              <w:rPr>
                <w:rStyle w:val="status-g1"/>
                <w:rFonts w:eastAsia="Times New Roman"/>
                <w:sz w:val="21"/>
                <w:szCs w:val="21"/>
              </w:rPr>
              <w:t>Toegekend</w:t>
            </w:r>
            <w:r>
              <w:rPr>
                <w:rFonts w:eastAsia="Times New Roman"/>
                <w:sz w:val="21"/>
                <w:szCs w:val="21"/>
              </w:rPr>
              <w:t xml:space="preserve"> — 03-08-2026, onbepaalde duur</w:t>
            </w:r>
          </w:p>
        </w:tc>
      </w:tr>
      <w:tr w:rsidR="00000000" w14:paraId="6AF62F5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6251A2D" w14:textId="77777777" w:rsidR="006B5103" w:rsidRDefault="006B5103">
            <w:pPr>
              <w:spacing w:before="200" w:after="360"/>
              <w:rPr>
                <w:rFonts w:eastAsia="Times New Roman"/>
                <w:sz w:val="21"/>
                <w:szCs w:val="21"/>
              </w:rPr>
            </w:pPr>
            <w:r>
              <w:rPr>
                <w:rStyle w:val="Zwaar"/>
                <w:rFonts w:eastAsia="Times New Roman"/>
                <w:sz w:val="21"/>
                <w:szCs w:val="21"/>
              </w:rPr>
              <w:t>OV-verminderingskaart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86A0A7C" w14:textId="77777777" w:rsidR="006B5103" w:rsidRDefault="006B5103">
            <w:pPr>
              <w:spacing w:before="200" w:after="360"/>
              <w:rPr>
                <w:rFonts w:eastAsia="Times New Roman"/>
                <w:sz w:val="21"/>
                <w:szCs w:val="21"/>
              </w:rPr>
            </w:pPr>
            <w:r>
              <w:rPr>
                <w:rFonts w:eastAsia="Times New Roman"/>
                <w:sz w:val="21"/>
                <w:szCs w:val="21"/>
              </w:rPr>
              <w:t>FOD Sociale Zekerheid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7212498" w14:textId="77777777" w:rsidR="006B5103" w:rsidRDefault="006B5103">
            <w:pPr>
              <w:spacing w:before="200" w:after="360"/>
              <w:rPr>
                <w:rFonts w:eastAsia="Times New Roman"/>
                <w:sz w:val="21"/>
                <w:szCs w:val="21"/>
              </w:rPr>
            </w:pPr>
            <w:r>
              <w:rPr>
                <w:rFonts w:eastAsia="Times New Roman"/>
                <w:sz w:val="21"/>
                <w:szCs w:val="21"/>
              </w:rPr>
              <w:t>Erkenning handicap + specifieke mobiliteitsdrempel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D85A41F" w14:textId="77777777" w:rsidR="006B5103" w:rsidRDefault="006B5103">
            <w:pPr>
              <w:spacing w:before="200" w:after="360"/>
              <w:rPr>
                <w:rFonts w:eastAsia="Times New Roman"/>
                <w:sz w:val="21"/>
                <w:szCs w:val="21"/>
              </w:rPr>
            </w:pPr>
            <w:r>
              <w:rPr>
                <w:rStyle w:val="status-r1"/>
                <w:rFonts w:eastAsia="Times New Roman"/>
                <w:sz w:val="21"/>
                <w:szCs w:val="21"/>
              </w:rPr>
              <w:t>Geweigerd</w:t>
            </w:r>
            <w:r>
              <w:rPr>
                <w:rFonts w:eastAsia="Times New Roman"/>
                <w:sz w:val="21"/>
                <w:szCs w:val="21"/>
              </w:rPr>
              <w:t xml:space="preserve"> — 21-08-2026, niet aan medische voorwaarden voldaan</w:t>
            </w:r>
          </w:p>
        </w:tc>
      </w:tr>
      <w:tr w:rsidR="00000000" w14:paraId="527CD044"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1834D5E" w14:textId="77777777" w:rsidR="006B5103" w:rsidRDefault="006B5103">
            <w:pPr>
              <w:spacing w:before="200" w:after="360"/>
              <w:rPr>
                <w:rFonts w:eastAsia="Times New Roman"/>
                <w:sz w:val="21"/>
                <w:szCs w:val="21"/>
              </w:rPr>
            </w:pPr>
            <w:r>
              <w:rPr>
                <w:rStyle w:val="Zwaar"/>
                <w:rFonts w:eastAsia="Times New Roman"/>
                <w:sz w:val="21"/>
                <w:szCs w:val="21"/>
              </w:rPr>
              <w:t>Rijgeschiktheidsattest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3BAF25" w14:textId="77777777" w:rsidR="006B5103" w:rsidRDefault="006B5103">
            <w:pPr>
              <w:spacing w:before="200" w:after="360"/>
              <w:rPr>
                <w:rFonts w:eastAsia="Times New Roman"/>
                <w:sz w:val="21"/>
                <w:szCs w:val="21"/>
              </w:rPr>
            </w:pPr>
            <w:r>
              <w:rPr>
                <w:rFonts w:eastAsia="Times New Roman"/>
                <w:sz w:val="21"/>
                <w:szCs w:val="21"/>
              </w:rPr>
              <w:t>FOD Mobiliteit / oogarts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BAE76B" w14:textId="77777777" w:rsidR="006B5103" w:rsidRDefault="006B5103">
            <w:pPr>
              <w:spacing w:before="200" w:after="360"/>
              <w:rPr>
                <w:rFonts w:eastAsia="Times New Roman"/>
                <w:sz w:val="21"/>
                <w:szCs w:val="21"/>
              </w:rPr>
            </w:pPr>
            <w:r>
              <w:rPr>
                <w:rFonts w:eastAsia="Times New Roman"/>
                <w:sz w:val="21"/>
                <w:szCs w:val="21"/>
              </w:rPr>
              <w:t>Visus boven wettelijke drempel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4CFC6F" w14:textId="77777777" w:rsidR="006B5103" w:rsidRDefault="006B5103">
            <w:pPr>
              <w:spacing w:before="200" w:after="360"/>
              <w:rPr>
                <w:rFonts w:eastAsia="Times New Roman"/>
                <w:sz w:val="21"/>
                <w:szCs w:val="21"/>
              </w:rPr>
            </w:pPr>
            <w:r>
              <w:rPr>
                <w:rStyle w:val="status-r1"/>
                <w:rFonts w:eastAsia="Times New Roman"/>
                <w:sz w:val="21"/>
                <w:szCs w:val="21"/>
              </w:rPr>
              <w:t>Afgewezen</w:t>
            </w:r>
            <w:r>
              <w:rPr>
                <w:rFonts w:eastAsia="Times New Roman"/>
                <w:sz w:val="21"/>
                <w:szCs w:val="21"/>
              </w:rPr>
              <w:t xml:space="preserve"> — visus onder drempel, blijvend</w:t>
            </w:r>
          </w:p>
        </w:tc>
      </w:tr>
    </w:tbl>
    <w:p w14:paraId="194EA569" w14:textId="77777777" w:rsidR="006B5103" w:rsidRDefault="006B5103">
      <w:pPr>
        <w:pStyle w:val="Kop4"/>
        <w:divId w:val="2114661829"/>
        <w:rPr>
          <w:rFonts w:eastAsia="Times New Roman"/>
          <w:lang w:val="nl-NL"/>
        </w:rPr>
      </w:pPr>
      <w:r>
        <w:rPr>
          <w:rFonts w:eastAsia="Times New Roman"/>
          <w:lang w:val="nl-NL"/>
        </w:rPr>
        <w:t>Nederlandse potjes</w:t>
      </w:r>
    </w:p>
    <w:tbl>
      <w:tblPr>
        <w:tblW w:w="5000" w:type="pct"/>
        <w:tblCellMar>
          <w:top w:w="15" w:type="dxa"/>
          <w:left w:w="15" w:type="dxa"/>
          <w:bottom w:w="15" w:type="dxa"/>
          <w:right w:w="15" w:type="dxa"/>
        </w:tblCellMar>
        <w:tblLook w:val="04A0" w:firstRow="1" w:lastRow="0" w:firstColumn="1" w:lastColumn="0" w:noHBand="0" w:noVBand="1"/>
      </w:tblPr>
      <w:tblGrid>
        <w:gridCol w:w="2550"/>
        <w:gridCol w:w="1970"/>
        <w:gridCol w:w="2022"/>
        <w:gridCol w:w="2514"/>
      </w:tblGrid>
      <w:tr w:rsidR="00000000" w14:paraId="3891D4E8" w14:textId="77777777">
        <w:trPr>
          <w:divId w:val="2114661829"/>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92C656A"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Potje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73B7D28"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Beheerder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03D45DF"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Voorwaarde</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9AE236C"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3CF0E96F"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DA19502" w14:textId="77777777" w:rsidR="006B5103" w:rsidRDefault="006B5103">
            <w:pPr>
              <w:spacing w:before="200" w:after="360"/>
              <w:rPr>
                <w:rFonts w:eastAsia="Times New Roman"/>
                <w:sz w:val="21"/>
                <w:szCs w:val="21"/>
              </w:rPr>
            </w:pPr>
            <w:r>
              <w:rPr>
                <w:rStyle w:val="Zwaar"/>
                <w:rFonts w:eastAsia="Times New Roman"/>
                <w:sz w:val="21"/>
                <w:szCs w:val="21"/>
              </w:rPr>
              <w:t>WIA-uitkering</w:t>
            </w:r>
            <w:r>
              <w:rPr>
                <w:rFonts w:eastAsia="Times New Roman"/>
                <w:sz w:val="21"/>
                <w:szCs w:val="21"/>
              </w:rPr>
              <w:t xml:space="preserve"> (arbeidsongeschiktheid)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DE4791" w14:textId="77777777" w:rsidR="006B5103" w:rsidRDefault="006B5103">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6C5759" w14:textId="77777777" w:rsidR="006B5103" w:rsidRDefault="006B5103">
            <w:pPr>
              <w:spacing w:before="200" w:after="360"/>
              <w:rPr>
                <w:rFonts w:eastAsia="Times New Roman"/>
                <w:sz w:val="21"/>
                <w:szCs w:val="21"/>
              </w:rPr>
            </w:pPr>
            <w:r>
              <w:rPr>
                <w:rFonts w:eastAsia="Times New Roman"/>
                <w:sz w:val="21"/>
                <w:szCs w:val="21"/>
              </w:rPr>
              <w:t>104 weken wachttijd + verzekering op peildatum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5FCAB8"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peildatum foutief, Vester-arrest niet toegepast</w:t>
            </w:r>
          </w:p>
        </w:tc>
      </w:tr>
      <w:tr w:rsidR="00000000" w14:paraId="0258EAD5"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1381315" w14:textId="77777777" w:rsidR="006B5103" w:rsidRDefault="006B5103">
            <w:pPr>
              <w:spacing w:before="200" w:after="360"/>
              <w:rPr>
                <w:rFonts w:eastAsia="Times New Roman"/>
                <w:sz w:val="21"/>
                <w:szCs w:val="21"/>
              </w:rPr>
            </w:pPr>
            <w:r>
              <w:rPr>
                <w:rStyle w:val="Zwaar"/>
                <w:rFonts w:eastAsia="Times New Roman"/>
                <w:sz w:val="21"/>
                <w:szCs w:val="21"/>
              </w:rPr>
              <w:t>Bijstandsuitkering</w:t>
            </w:r>
            <w:r>
              <w:rPr>
                <w:rFonts w:eastAsia="Times New Roman"/>
                <w:sz w:val="21"/>
                <w:szCs w:val="21"/>
              </w:rPr>
              <w:t xml:space="preserve"> (Participatiewet)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40B23E" w14:textId="77777777" w:rsidR="006B5103" w:rsidRDefault="006B5103">
            <w:pPr>
              <w:spacing w:before="200" w:after="360"/>
              <w:rPr>
                <w:rFonts w:eastAsia="Times New Roman"/>
                <w:sz w:val="21"/>
                <w:szCs w:val="21"/>
              </w:rPr>
            </w:pPr>
            <w:r>
              <w:rPr>
                <w:rFonts w:eastAsia="Times New Roman"/>
                <w:sz w:val="21"/>
                <w:szCs w:val="21"/>
              </w:rPr>
              <w:t>Gemeente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002D568" w14:textId="77777777" w:rsidR="006B5103" w:rsidRDefault="006B5103">
            <w:pPr>
              <w:spacing w:before="200" w:after="360"/>
              <w:rPr>
                <w:rFonts w:eastAsia="Times New Roman"/>
                <w:sz w:val="21"/>
                <w:szCs w:val="21"/>
              </w:rPr>
            </w:pPr>
            <w:r>
              <w:rPr>
                <w:rFonts w:eastAsia="Times New Roman"/>
                <w:sz w:val="21"/>
                <w:szCs w:val="21"/>
              </w:rPr>
              <w:t>Onvoldoende inkomen + vermogen onder 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7C1D6C4"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hulpvraag na 73 dagen ongelezen verwijderd</w:t>
            </w:r>
          </w:p>
        </w:tc>
      </w:tr>
      <w:tr w:rsidR="00000000" w14:paraId="38F320F3"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835A7C0" w14:textId="77777777" w:rsidR="006B5103" w:rsidRDefault="006B5103">
            <w:pPr>
              <w:spacing w:before="200" w:after="360"/>
              <w:rPr>
                <w:rFonts w:eastAsia="Times New Roman"/>
                <w:sz w:val="21"/>
                <w:szCs w:val="21"/>
              </w:rPr>
            </w:pPr>
            <w:r>
              <w:rPr>
                <w:rStyle w:val="Zwaar"/>
                <w:rFonts w:eastAsia="Times New Roman"/>
                <w:sz w:val="21"/>
                <w:szCs w:val="21"/>
              </w:rPr>
              <w:t>Bijzondere bijstand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713756" w14:textId="77777777" w:rsidR="006B5103" w:rsidRDefault="006B5103">
            <w:pPr>
              <w:spacing w:before="200" w:after="360"/>
              <w:rPr>
                <w:rFonts w:eastAsia="Times New Roman"/>
                <w:sz w:val="21"/>
                <w:szCs w:val="21"/>
              </w:rPr>
            </w:pPr>
            <w:r>
              <w:rPr>
                <w:rFonts w:eastAsia="Times New Roman"/>
                <w:sz w:val="21"/>
                <w:szCs w:val="21"/>
              </w:rPr>
              <w:t>Gemeente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64ACC4" w14:textId="77777777" w:rsidR="006B5103" w:rsidRDefault="006B5103">
            <w:pPr>
              <w:spacing w:before="200" w:after="360"/>
              <w:rPr>
                <w:rFonts w:eastAsia="Times New Roman"/>
                <w:sz w:val="21"/>
                <w:szCs w:val="21"/>
              </w:rPr>
            </w:pPr>
            <w:r>
              <w:rPr>
                <w:rFonts w:eastAsia="Times New Roman"/>
                <w:sz w:val="21"/>
                <w:szCs w:val="21"/>
              </w:rPr>
              <w:t>Bijzondere kosten + inkomen onder 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44C2D5"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geen inhoudelijke beoordeling</w:t>
            </w:r>
          </w:p>
        </w:tc>
      </w:tr>
      <w:tr w:rsidR="00000000" w14:paraId="27A905A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43CD43" w14:textId="77777777" w:rsidR="006B5103" w:rsidRDefault="006B5103">
            <w:pPr>
              <w:spacing w:before="200" w:after="360"/>
              <w:rPr>
                <w:rFonts w:eastAsia="Times New Roman"/>
                <w:sz w:val="21"/>
                <w:szCs w:val="21"/>
              </w:rPr>
            </w:pPr>
            <w:r>
              <w:rPr>
                <w:rStyle w:val="Zwaar"/>
                <w:rFonts w:eastAsia="Times New Roman"/>
                <w:sz w:val="21"/>
                <w:szCs w:val="21"/>
              </w:rPr>
              <w:t>Zorgtoeslag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E266C03" w14:textId="77777777" w:rsidR="006B5103" w:rsidRDefault="006B5103">
            <w:pPr>
              <w:spacing w:before="200" w:after="360"/>
              <w:rPr>
                <w:rFonts w:eastAsia="Times New Roman"/>
                <w:sz w:val="21"/>
                <w:szCs w:val="21"/>
              </w:rPr>
            </w:pPr>
            <w:r>
              <w:rPr>
                <w:rFonts w:eastAsia="Times New Roman"/>
                <w:sz w:val="21"/>
                <w:szCs w:val="21"/>
              </w:rPr>
              <w:t>Dienst Toeslagen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0AA5C8" w14:textId="77777777" w:rsidR="006B5103" w:rsidRDefault="006B5103">
            <w:pPr>
              <w:spacing w:before="200" w:after="360"/>
              <w:rPr>
                <w:rFonts w:eastAsia="Times New Roman"/>
                <w:sz w:val="21"/>
                <w:szCs w:val="21"/>
              </w:rPr>
            </w:pPr>
            <w:r>
              <w:rPr>
                <w:rFonts w:eastAsia="Times New Roman"/>
                <w:sz w:val="21"/>
                <w:szCs w:val="21"/>
              </w:rPr>
              <w:t>Verzekerd in Nederland + inkomen onder 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869258" w14:textId="77777777" w:rsidR="006B5103" w:rsidRDefault="006B5103">
            <w:pPr>
              <w:spacing w:before="200" w:after="360"/>
              <w:rPr>
                <w:rFonts w:eastAsia="Times New Roman"/>
                <w:sz w:val="21"/>
                <w:szCs w:val="21"/>
              </w:rPr>
            </w:pPr>
            <w:r>
              <w:rPr>
                <w:rStyle w:val="status-r1"/>
                <w:rFonts w:eastAsia="Times New Roman"/>
                <w:sz w:val="21"/>
                <w:szCs w:val="21"/>
              </w:rPr>
              <w:t>Geblokkeerd</w:t>
            </w:r>
            <w:r>
              <w:rPr>
                <w:rFonts w:eastAsia="Times New Roman"/>
                <w:sz w:val="21"/>
                <w:szCs w:val="21"/>
              </w:rPr>
              <w:t xml:space="preserve"> — RIV-register bevat geen verdragspolis</w:t>
            </w:r>
          </w:p>
        </w:tc>
      </w:tr>
      <w:tr w:rsidR="00000000" w14:paraId="4484309B"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A4A8D52" w14:textId="77777777" w:rsidR="006B5103" w:rsidRDefault="006B5103">
            <w:pPr>
              <w:spacing w:before="200" w:after="360"/>
              <w:rPr>
                <w:rFonts w:eastAsia="Times New Roman"/>
                <w:sz w:val="21"/>
                <w:szCs w:val="21"/>
              </w:rPr>
            </w:pPr>
            <w:r>
              <w:rPr>
                <w:rStyle w:val="Zwaar"/>
                <w:rFonts w:eastAsia="Times New Roman"/>
                <w:sz w:val="21"/>
                <w:szCs w:val="21"/>
              </w:rPr>
              <w:t>Huurtoeslag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1C385D" w14:textId="77777777" w:rsidR="006B5103" w:rsidRDefault="006B5103">
            <w:pPr>
              <w:spacing w:before="200" w:after="360"/>
              <w:rPr>
                <w:rFonts w:eastAsia="Times New Roman"/>
                <w:sz w:val="21"/>
                <w:szCs w:val="21"/>
              </w:rPr>
            </w:pPr>
            <w:r>
              <w:rPr>
                <w:rFonts w:eastAsia="Times New Roman"/>
                <w:sz w:val="21"/>
                <w:szCs w:val="21"/>
              </w:rPr>
              <w:t>Dienst Toeslagen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AB1CC2" w14:textId="77777777" w:rsidR="006B5103" w:rsidRDefault="006B5103">
            <w:pPr>
              <w:spacing w:before="200" w:after="360"/>
              <w:rPr>
                <w:rFonts w:eastAsia="Times New Roman"/>
                <w:sz w:val="21"/>
                <w:szCs w:val="21"/>
              </w:rPr>
            </w:pPr>
            <w:r>
              <w:rPr>
                <w:rFonts w:eastAsia="Times New Roman"/>
                <w:sz w:val="21"/>
                <w:szCs w:val="21"/>
              </w:rPr>
              <w:t>Huur boven grens + inkomen onder 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7AF134" w14:textId="77777777" w:rsidR="006B5103" w:rsidRDefault="006B5103">
            <w:pPr>
              <w:spacing w:before="200" w:after="360"/>
              <w:rPr>
                <w:rFonts w:eastAsia="Times New Roman"/>
                <w:sz w:val="21"/>
                <w:szCs w:val="21"/>
              </w:rPr>
            </w:pPr>
            <w:r>
              <w:rPr>
                <w:rStyle w:val="status-o1"/>
                <w:rFonts w:eastAsia="Times New Roman"/>
                <w:sz w:val="21"/>
                <w:szCs w:val="21"/>
              </w:rPr>
              <w:t>Deels</w:t>
            </w:r>
            <w:r>
              <w:rPr>
                <w:rFonts w:eastAsia="Times New Roman"/>
                <w:sz w:val="21"/>
                <w:szCs w:val="21"/>
              </w:rPr>
              <w:t xml:space="preserve"> — toegekend, bedrag herzien o.b.v. onvolledig inkomen</w:t>
            </w:r>
          </w:p>
        </w:tc>
      </w:tr>
      <w:tr w:rsidR="00000000" w14:paraId="6A5F678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E49868C" w14:textId="77777777" w:rsidR="006B5103" w:rsidRDefault="006B5103">
            <w:pPr>
              <w:spacing w:before="200" w:after="360"/>
              <w:rPr>
                <w:rFonts w:eastAsia="Times New Roman"/>
                <w:sz w:val="21"/>
                <w:szCs w:val="21"/>
              </w:rPr>
            </w:pPr>
            <w:r>
              <w:rPr>
                <w:rStyle w:val="Zwaar"/>
                <w:rFonts w:eastAsia="Times New Roman"/>
                <w:sz w:val="21"/>
                <w:szCs w:val="21"/>
              </w:rPr>
              <w:t>Kindgebonden budget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BB7358" w14:textId="77777777" w:rsidR="006B5103" w:rsidRDefault="006B5103">
            <w:pPr>
              <w:spacing w:before="200" w:after="360"/>
              <w:rPr>
                <w:rFonts w:eastAsia="Times New Roman"/>
                <w:sz w:val="21"/>
                <w:szCs w:val="21"/>
              </w:rPr>
            </w:pPr>
            <w:r>
              <w:rPr>
                <w:rFonts w:eastAsia="Times New Roman"/>
                <w:sz w:val="21"/>
                <w:szCs w:val="21"/>
              </w:rPr>
              <w:t>Dienst Toeslagen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449937" w14:textId="77777777" w:rsidR="006B5103" w:rsidRDefault="006B5103">
            <w:pPr>
              <w:spacing w:before="200" w:after="360"/>
              <w:rPr>
                <w:rFonts w:eastAsia="Times New Roman"/>
                <w:sz w:val="21"/>
                <w:szCs w:val="21"/>
              </w:rPr>
            </w:pPr>
            <w:r>
              <w:rPr>
                <w:rFonts w:eastAsia="Times New Roman"/>
                <w:sz w:val="21"/>
                <w:szCs w:val="21"/>
              </w:rPr>
              <w:t>Kind + inkomen onder grens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9B686D4" w14:textId="77777777" w:rsidR="006B5103" w:rsidRDefault="006B5103">
            <w:pPr>
              <w:spacing w:before="200" w:after="360"/>
              <w:rPr>
                <w:rFonts w:eastAsia="Times New Roman"/>
                <w:sz w:val="21"/>
                <w:szCs w:val="21"/>
              </w:rPr>
            </w:pPr>
            <w:r>
              <w:rPr>
                <w:rStyle w:val="status-o1"/>
                <w:rFonts w:eastAsia="Times New Roman"/>
                <w:sz w:val="21"/>
                <w:szCs w:val="21"/>
              </w:rPr>
              <w:t>Deels</w:t>
            </w:r>
            <w:r>
              <w:rPr>
                <w:rFonts w:eastAsia="Times New Roman"/>
                <w:sz w:val="21"/>
                <w:szCs w:val="21"/>
              </w:rPr>
              <w:t xml:space="preserve"> — toegekend na SVB-koppeling</w:t>
            </w:r>
          </w:p>
        </w:tc>
      </w:tr>
      <w:tr w:rsidR="00000000" w14:paraId="4CF840BA"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913A831" w14:textId="77777777" w:rsidR="006B5103" w:rsidRDefault="006B5103">
            <w:pPr>
              <w:spacing w:before="200" w:after="360"/>
              <w:rPr>
                <w:rFonts w:eastAsia="Times New Roman"/>
                <w:sz w:val="21"/>
                <w:szCs w:val="21"/>
              </w:rPr>
            </w:pPr>
            <w:r>
              <w:rPr>
                <w:rStyle w:val="Zwaar"/>
                <w:rFonts w:eastAsia="Times New Roman"/>
                <w:sz w:val="21"/>
                <w:szCs w:val="21"/>
              </w:rPr>
              <w:t>Kinderbijslag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284D32" w14:textId="77777777" w:rsidR="006B5103" w:rsidRDefault="006B5103">
            <w:pPr>
              <w:spacing w:before="200" w:after="360"/>
              <w:rPr>
                <w:rFonts w:eastAsia="Times New Roman"/>
                <w:sz w:val="21"/>
                <w:szCs w:val="21"/>
              </w:rPr>
            </w:pPr>
            <w:r>
              <w:rPr>
                <w:rFonts w:eastAsia="Times New Roman"/>
                <w:sz w:val="21"/>
                <w:szCs w:val="21"/>
              </w:rPr>
              <w:t>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26587F" w14:textId="77777777" w:rsidR="006B5103" w:rsidRDefault="006B5103">
            <w:pPr>
              <w:spacing w:before="200" w:after="360"/>
              <w:rPr>
                <w:rFonts w:eastAsia="Times New Roman"/>
                <w:sz w:val="21"/>
                <w:szCs w:val="21"/>
              </w:rPr>
            </w:pPr>
            <w:r>
              <w:rPr>
                <w:rFonts w:eastAsia="Times New Roman"/>
                <w:sz w:val="21"/>
                <w:szCs w:val="21"/>
              </w:rPr>
              <w:t>Kind ten laste + woonlandbeginsel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1DD81B" w14:textId="77777777" w:rsidR="006B5103" w:rsidRDefault="006B5103">
            <w:pPr>
              <w:spacing w:before="200" w:after="360"/>
              <w:rPr>
                <w:rFonts w:eastAsia="Times New Roman"/>
                <w:sz w:val="21"/>
                <w:szCs w:val="21"/>
              </w:rPr>
            </w:pPr>
            <w:r>
              <w:rPr>
                <w:rStyle w:val="status-g1"/>
                <w:rFonts w:eastAsia="Times New Roman"/>
                <w:sz w:val="21"/>
                <w:szCs w:val="21"/>
              </w:rPr>
              <w:t>Toegekend</w:t>
            </w:r>
            <w:r>
              <w:rPr>
                <w:rFonts w:eastAsia="Times New Roman"/>
                <w:sz w:val="21"/>
                <w:szCs w:val="21"/>
              </w:rPr>
              <w:t xml:space="preserve"> </w:t>
            </w:r>
            <w:r>
              <w:rPr>
                <w:rFonts w:eastAsia="Times New Roman"/>
                <w:sz w:val="21"/>
                <w:szCs w:val="21"/>
              </w:rPr>
              <w:t>— klein bedrag, actief sinds 20-04-2026</w:t>
            </w:r>
          </w:p>
        </w:tc>
      </w:tr>
    </w:tbl>
    <w:p w14:paraId="6AD7ECE5" w14:textId="77777777" w:rsidR="006B5103" w:rsidRDefault="006B5103">
      <w:pPr>
        <w:pStyle w:val="Kop4"/>
        <w:divId w:val="2114661829"/>
        <w:rPr>
          <w:rFonts w:eastAsia="Times New Roman"/>
          <w:lang w:val="nl-NL"/>
        </w:rPr>
      </w:pPr>
      <w:r>
        <w:rPr>
          <w:rFonts w:eastAsia="Times New Roman"/>
          <w:lang w:val="nl-NL"/>
        </w:rPr>
        <w:t>Grensoverschrijdende aanspraken</w:t>
      </w:r>
    </w:p>
    <w:tbl>
      <w:tblPr>
        <w:tblW w:w="5000" w:type="pct"/>
        <w:tblCellMar>
          <w:top w:w="15" w:type="dxa"/>
          <w:left w:w="15" w:type="dxa"/>
          <w:bottom w:w="15" w:type="dxa"/>
          <w:right w:w="15" w:type="dxa"/>
        </w:tblCellMar>
        <w:tblLook w:val="04A0" w:firstRow="1" w:lastRow="0" w:firstColumn="1" w:lastColumn="0" w:noHBand="0" w:noVBand="1"/>
      </w:tblPr>
      <w:tblGrid>
        <w:gridCol w:w="2566"/>
        <w:gridCol w:w="1751"/>
        <w:gridCol w:w="2443"/>
        <w:gridCol w:w="2296"/>
      </w:tblGrid>
      <w:tr w:rsidR="00000000" w14:paraId="47B20C14" w14:textId="77777777">
        <w:trPr>
          <w:divId w:val="2114661829"/>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8A7F869"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Aanspraak</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EF1D1A6"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Grondslag</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E04B0BB"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Voorwaarde</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4FCF790"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38094A6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864105" w14:textId="77777777" w:rsidR="006B5103" w:rsidRDefault="006B5103">
            <w:pPr>
              <w:spacing w:before="200" w:after="360"/>
              <w:rPr>
                <w:rFonts w:eastAsia="Times New Roman"/>
                <w:sz w:val="21"/>
                <w:szCs w:val="21"/>
              </w:rPr>
            </w:pPr>
            <w:r>
              <w:rPr>
                <w:rStyle w:val="Zwaar"/>
                <w:rFonts w:eastAsia="Times New Roman"/>
                <w:sz w:val="21"/>
                <w:szCs w:val="21"/>
              </w:rPr>
              <w:t>Samentelling verzekeringstijdvakken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7929EA" w14:textId="77777777" w:rsidR="006B5103" w:rsidRDefault="006B5103">
            <w:pPr>
              <w:spacing w:before="200" w:after="360"/>
              <w:rPr>
                <w:rFonts w:eastAsia="Times New Roman"/>
                <w:sz w:val="21"/>
                <w:szCs w:val="21"/>
              </w:rPr>
            </w:pPr>
            <w:r>
              <w:rPr>
                <w:rFonts w:eastAsia="Times New Roman"/>
                <w:sz w:val="21"/>
                <w:szCs w:val="21"/>
              </w:rPr>
              <w:t>Verordening 883/2004 art. 6</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C49F2B1" w14:textId="77777777" w:rsidR="006B5103" w:rsidRDefault="006B5103">
            <w:pPr>
              <w:spacing w:before="200" w:after="360"/>
              <w:rPr>
                <w:rFonts w:eastAsia="Times New Roman"/>
                <w:sz w:val="21"/>
                <w:szCs w:val="21"/>
              </w:rPr>
            </w:pPr>
            <w:r>
              <w:rPr>
                <w:rFonts w:eastAsia="Times New Roman"/>
                <w:sz w:val="21"/>
                <w:szCs w:val="21"/>
              </w:rPr>
              <w:t>Verzekeringstijdvakken in meerdere EU-lidstaten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BF02D5E" w14:textId="77777777" w:rsidR="006B5103" w:rsidRDefault="006B5103">
            <w:pPr>
              <w:spacing w:before="200" w:after="360"/>
              <w:rPr>
                <w:rFonts w:eastAsia="Times New Roman"/>
                <w:sz w:val="21"/>
                <w:szCs w:val="21"/>
              </w:rPr>
            </w:pPr>
            <w:r>
              <w:rPr>
                <w:rStyle w:val="status-r1"/>
                <w:rFonts w:eastAsia="Times New Roman"/>
                <w:sz w:val="21"/>
                <w:szCs w:val="21"/>
              </w:rPr>
              <w:t>Niet toegepast</w:t>
            </w:r>
            <w:r>
              <w:rPr>
                <w:rFonts w:eastAsia="Times New Roman"/>
                <w:sz w:val="21"/>
                <w:szCs w:val="21"/>
              </w:rPr>
              <w:t xml:space="preserve"> — CM en UWV passen nationale referteperiodes toe</w:t>
            </w:r>
          </w:p>
        </w:tc>
      </w:tr>
      <w:tr w:rsidR="00000000" w14:paraId="481B4A9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7788120" w14:textId="77777777" w:rsidR="006B5103" w:rsidRDefault="006B5103">
            <w:pPr>
              <w:spacing w:before="200" w:after="360"/>
              <w:rPr>
                <w:rFonts w:eastAsia="Times New Roman"/>
                <w:sz w:val="21"/>
                <w:szCs w:val="21"/>
              </w:rPr>
            </w:pPr>
            <w:r>
              <w:rPr>
                <w:rStyle w:val="Zwaar"/>
                <w:rFonts w:eastAsia="Times New Roman"/>
                <w:sz w:val="21"/>
                <w:szCs w:val="21"/>
              </w:rPr>
              <w:t>Pro-rata berekening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FE8071" w14:textId="77777777" w:rsidR="006B5103" w:rsidRDefault="006B5103">
            <w:pPr>
              <w:spacing w:before="200" w:after="360"/>
              <w:rPr>
                <w:rFonts w:eastAsia="Times New Roman"/>
                <w:sz w:val="21"/>
                <w:szCs w:val="21"/>
              </w:rPr>
            </w:pPr>
            <w:r>
              <w:rPr>
                <w:rFonts w:eastAsia="Times New Roman"/>
                <w:sz w:val="21"/>
                <w:szCs w:val="21"/>
              </w:rPr>
              <w:t>Verordening 883/2004 art. 52</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924464" w14:textId="77777777" w:rsidR="006B5103" w:rsidRDefault="006B5103">
            <w:pPr>
              <w:spacing w:before="200" w:after="360"/>
              <w:rPr>
                <w:rFonts w:eastAsia="Times New Roman"/>
                <w:sz w:val="21"/>
                <w:szCs w:val="21"/>
              </w:rPr>
            </w:pPr>
            <w:r>
              <w:rPr>
                <w:rFonts w:eastAsia="Times New Roman"/>
                <w:sz w:val="21"/>
                <w:szCs w:val="21"/>
              </w:rPr>
              <w:t>Recht op uitkering onder samentelling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056AC42" w14:textId="77777777" w:rsidR="006B5103" w:rsidRDefault="006B5103">
            <w:pPr>
              <w:spacing w:before="200" w:after="360"/>
              <w:rPr>
                <w:rFonts w:eastAsia="Times New Roman"/>
                <w:sz w:val="21"/>
                <w:szCs w:val="21"/>
              </w:rPr>
            </w:pPr>
            <w:r>
              <w:rPr>
                <w:rStyle w:val="status-r1"/>
                <w:rFonts w:eastAsia="Times New Roman"/>
                <w:sz w:val="21"/>
                <w:szCs w:val="21"/>
              </w:rPr>
              <w:t>Niet toegepast</w:t>
            </w:r>
            <w:r>
              <w:rPr>
                <w:rFonts w:eastAsia="Times New Roman"/>
                <w:sz w:val="21"/>
                <w:szCs w:val="21"/>
              </w:rPr>
              <w:t xml:space="preserve"> — voorwaarde: erkenning van recht op uitkering</w:t>
            </w:r>
          </w:p>
        </w:tc>
      </w:tr>
      <w:tr w:rsidR="00000000" w14:paraId="5A2F59E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09BBB4" w14:textId="77777777" w:rsidR="006B5103" w:rsidRDefault="006B5103">
            <w:pPr>
              <w:spacing w:before="200" w:after="360"/>
              <w:rPr>
                <w:rFonts w:eastAsia="Times New Roman"/>
                <w:sz w:val="21"/>
                <w:szCs w:val="21"/>
              </w:rPr>
            </w:pPr>
            <w:r>
              <w:rPr>
                <w:rStyle w:val="Zwaar"/>
                <w:rFonts w:eastAsia="Times New Roman"/>
                <w:sz w:val="21"/>
                <w:szCs w:val="21"/>
              </w:rPr>
              <w:t>Vester-arrest toepassing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272C65A" w14:textId="77777777" w:rsidR="006B5103" w:rsidRDefault="006B5103">
            <w:pPr>
              <w:spacing w:before="200" w:after="360"/>
              <w:rPr>
                <w:rFonts w:eastAsia="Times New Roman"/>
                <w:sz w:val="21"/>
                <w:szCs w:val="21"/>
              </w:rPr>
            </w:pPr>
            <w:r>
              <w:rPr>
                <w:rFonts w:eastAsia="Times New Roman"/>
                <w:sz w:val="21"/>
                <w:szCs w:val="21"/>
              </w:rPr>
              <w:t>HvJ C-134/18</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303BFE" w14:textId="77777777" w:rsidR="006B5103" w:rsidRDefault="006B5103">
            <w:pPr>
              <w:spacing w:before="200" w:after="360"/>
              <w:rPr>
                <w:rFonts w:eastAsia="Times New Roman"/>
                <w:sz w:val="21"/>
                <w:szCs w:val="21"/>
              </w:rPr>
            </w:pPr>
            <w:r>
              <w:rPr>
                <w:rFonts w:eastAsia="Times New Roman"/>
                <w:sz w:val="21"/>
                <w:szCs w:val="21"/>
              </w:rPr>
              <w:t>Inkomenshiaat bij opeenvolgende verzekeringen in twee lidstaten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7A5C2E" w14:textId="77777777" w:rsidR="006B5103" w:rsidRDefault="006B5103">
            <w:pPr>
              <w:spacing w:before="200" w:after="360"/>
              <w:rPr>
                <w:rFonts w:eastAsia="Times New Roman"/>
                <w:sz w:val="21"/>
                <w:szCs w:val="21"/>
              </w:rPr>
            </w:pPr>
            <w:r>
              <w:rPr>
                <w:rStyle w:val="status-r1"/>
                <w:rFonts w:eastAsia="Times New Roman"/>
                <w:sz w:val="21"/>
                <w:szCs w:val="21"/>
              </w:rPr>
              <w:t>Niet toegepast</w:t>
            </w:r>
            <w:r>
              <w:rPr>
                <w:rFonts w:eastAsia="Times New Roman"/>
                <w:sz w:val="21"/>
                <w:szCs w:val="21"/>
              </w:rPr>
              <w:t xml:space="preserve"> — UWV weigert, CM weigert</w:t>
            </w:r>
          </w:p>
        </w:tc>
      </w:tr>
    </w:tbl>
    <w:p w14:paraId="6598E33C" w14:textId="77777777" w:rsidR="006B5103" w:rsidRDefault="006B5103">
      <w:pPr>
        <w:divId w:val="2114661829"/>
        <w:rPr>
          <w:rFonts w:eastAsia="Times New Roman"/>
          <w:vanish/>
          <w:lang w:val="nl-NL"/>
        </w:rPr>
      </w:pP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B74C838"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552595A" w14:textId="77777777" w:rsidR="006B5103" w:rsidRDefault="006B5103">
            <w:pPr>
              <w:pStyle w:val="Normaalweb"/>
              <w:spacing w:before="120"/>
              <w:jc w:val="center"/>
              <w:rPr>
                <w:sz w:val="21"/>
                <w:szCs w:val="21"/>
              </w:rPr>
            </w:pPr>
            <w:r>
              <w:rPr>
                <w:noProof/>
                <w:sz w:val="21"/>
                <w:szCs w:val="21"/>
              </w:rPr>
              <w:drawing>
                <wp:inline distT="0" distB="0" distL="0" distR="0" wp14:anchorId="007E6536" wp14:editId="6C3A1B84">
                  <wp:extent cx="5715000" cy="24765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333AA265" w14:textId="77777777" w:rsidR="006B5103" w:rsidRDefault="006B5103">
            <w:pPr>
              <w:pStyle w:val="caption"/>
              <w:spacing w:after="120" w:afterAutospacing="0"/>
            </w:pPr>
            <w:r>
              <w:rPr>
                <w:rStyle w:val="Zwaar"/>
              </w:rPr>
              <w:t>Figuur II.1 — De inventaris.</w:t>
            </w:r>
            <w:r>
              <w:t xml:space="preserve"> Rond het gezin liggen de potjes waarop aanspraak bestaat of zou kunnen bestaan. Groen = werkt. Oranje = gedeeltelijk of met omweg. Rood = geblokkeerd of niet aangevraagd. Links de Belgische potjes, rechts de Nederlandse. De groene potjes zijn klein of indirect. De grote inkomenspotjes zijn allemaal rood.</w:t>
            </w:r>
          </w:p>
        </w:tc>
      </w:tr>
    </w:tbl>
    <w:p w14:paraId="7A31E9C7" w14:textId="77777777" w:rsidR="006B5103" w:rsidRDefault="006B5103">
      <w:pPr>
        <w:pStyle w:val="Kop3"/>
        <w:divId w:val="2114661829"/>
        <w:rPr>
          <w:rFonts w:eastAsia="Times New Roman"/>
          <w:lang w:val="nl-NL"/>
        </w:rPr>
      </w:pPr>
      <w:bookmarkStart w:id="27" w:name="_Toc242191204"/>
      <w:r>
        <w:rPr>
          <w:rFonts w:eastAsia="Times New Roman"/>
          <w:lang w:val="nl-NL"/>
        </w:rPr>
        <w:t>Deel II-B — De koppelverkoop</w:t>
      </w:r>
      <w:bookmarkEnd w:id="27"/>
    </w:p>
    <w:p w14:paraId="67E2649C" w14:textId="77777777" w:rsidR="006B5103" w:rsidRDefault="006B5103">
      <w:pPr>
        <w:pStyle w:val="Normaalweb"/>
        <w:divId w:val="2114661829"/>
        <w:rPr>
          <w:lang w:val="nl-NL"/>
        </w:rPr>
      </w:pPr>
      <w:r>
        <w:rPr>
          <w:lang w:val="nl-NL"/>
        </w:rPr>
        <w:t xml:space="preserve">De potjes zijn niet onafhankelijk van elkaar. In beide landen bestaat een </w:t>
      </w:r>
      <w:r>
        <w:rPr>
          <w:rStyle w:val="Zwaar"/>
          <w:lang w:val="nl-NL"/>
        </w:rPr>
        <w:t>koppelverkoop</w:t>
      </w:r>
      <w:r>
        <w:rPr>
          <w:lang w:val="nl-NL"/>
        </w:rPr>
        <w:t>: een medische vaststelling leidt tot twee mogelijke gevolgen — een uitkering en een fiscaal voordeel — maar het fiscale voordeel wordt pas toegekend nadat de uitkeringsroute is erkend. Juridisch zijn het twee afzonderlijke routes. Administratief worden ze aan elkaar geketend.</w:t>
      </w:r>
    </w:p>
    <w:p w14:paraId="733AB579" w14:textId="77777777" w:rsidR="006B5103" w:rsidRDefault="006B5103">
      <w:pPr>
        <w:pStyle w:val="Kop4"/>
        <w:divId w:val="2114661829"/>
        <w:rPr>
          <w:rFonts w:eastAsia="Times New Roman"/>
          <w:lang w:val="nl-NL"/>
        </w:rPr>
      </w:pPr>
      <w:r>
        <w:rPr>
          <w:rFonts w:eastAsia="Times New Roman"/>
          <w:lang w:val="nl-NL"/>
        </w:rPr>
        <w:t>Hoe de koppelverkoop werkt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2AA0557"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E50C603" w14:textId="77777777" w:rsidR="006B5103" w:rsidRDefault="006B5103">
            <w:pPr>
              <w:pStyle w:val="Normaalweb"/>
              <w:spacing w:before="120"/>
              <w:jc w:val="center"/>
              <w:rPr>
                <w:sz w:val="21"/>
                <w:szCs w:val="21"/>
              </w:rPr>
            </w:pPr>
            <w:r>
              <w:rPr>
                <w:noProof/>
                <w:sz w:val="21"/>
                <w:szCs w:val="21"/>
              </w:rPr>
              <w:drawing>
                <wp:inline distT="0" distB="0" distL="0" distR="0" wp14:anchorId="1626FB0D" wp14:editId="0C3E803B">
                  <wp:extent cx="5715000" cy="21780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5715000" cy="2178050"/>
                          </a:xfrm>
                          <a:prstGeom prst="rect">
                            <a:avLst/>
                          </a:prstGeom>
                          <a:noFill/>
                          <a:ln>
                            <a:noFill/>
                          </a:ln>
                        </pic:spPr>
                      </pic:pic>
                    </a:graphicData>
                  </a:graphic>
                </wp:inline>
              </w:drawing>
            </w:r>
          </w:p>
          <w:p w14:paraId="6BC94006" w14:textId="77777777" w:rsidR="006B5103" w:rsidRDefault="006B5103">
            <w:pPr>
              <w:pStyle w:val="caption"/>
              <w:spacing w:after="120" w:afterAutospacing="0"/>
            </w:pPr>
            <w:r>
              <w:rPr>
                <w:rStyle w:val="Zwaar"/>
              </w:rPr>
              <w:t>Figuur II.2 — De koppelverkoop.</w:t>
            </w:r>
            <w:r>
              <w:t xml:space="preserve"> Eén medische vaststelling, twee routes. De fiscale route wordt niet zelfstandig beoordeeld, maar geketend aan de uitkeringsroute. In beide landen toegepast, met een eigen administratieve variant.</w:t>
            </w:r>
          </w:p>
        </w:tc>
      </w:tr>
    </w:tbl>
    <w:p w14:paraId="6F9BA874" w14:textId="77777777" w:rsidR="006B5103" w:rsidRDefault="006B5103">
      <w:pPr>
        <w:pStyle w:val="Kop4"/>
        <w:divId w:val="2114661829"/>
        <w:rPr>
          <w:rFonts w:eastAsia="Times New Roman"/>
          <w:lang w:val="nl-NL"/>
        </w:rPr>
      </w:pPr>
      <w:r>
        <w:rPr>
          <w:rFonts w:eastAsia="Times New Roman"/>
          <w:lang w:val="nl-NL"/>
        </w:rPr>
        <w:t>Waarom dit voor een grensarbeider fataal is</w:t>
      </w:r>
    </w:p>
    <w:p w14:paraId="419A5FC7" w14:textId="77777777" w:rsidR="006B5103" w:rsidRDefault="006B5103">
      <w:pPr>
        <w:pStyle w:val="Normaalweb"/>
        <w:divId w:val="2114661829"/>
        <w:rPr>
          <w:lang w:val="nl-NL"/>
        </w:rPr>
      </w:pPr>
      <w:r>
        <w:rPr>
          <w:lang w:val="nl-NL"/>
        </w:rPr>
        <w:t>Een nationale burger heeft één systeem. Als de koppelverkoop knelt, kan hij bij één loket procederen. Een grensarbeider heeft twee nationale systemen die hem niet als één persoon zien.</w:t>
      </w:r>
    </w:p>
    <w:p w14:paraId="5A593606" w14:textId="77777777" w:rsidR="006B5103" w:rsidRDefault="006B5103">
      <w:pPr>
        <w:pStyle w:val="Normaalweb"/>
        <w:divId w:val="2114661829"/>
        <w:rPr>
          <w:lang w:val="nl-NL"/>
        </w:rPr>
      </w:pPr>
      <w:r>
        <w:rPr>
          <w:lang w:val="nl-NL"/>
        </w:rPr>
        <w:t xml:space="preserve">In het woonland (Nederland): </w:t>
      </w:r>
      <w:r>
        <w:rPr>
          <w:rStyle w:val="Nadruk"/>
          <w:lang w:val="nl-NL"/>
        </w:rPr>
        <w:t>u woont hier, dus wij zijn niet bevoegd voor de uitkering, want u werkte in België.</w:t>
      </w:r>
      <w:r>
        <w:rPr>
          <w:lang w:val="nl-NL"/>
        </w:rPr>
        <w:t xml:space="preserve"> In het werkland (België): </w:t>
      </w:r>
      <w:r>
        <w:rPr>
          <w:rStyle w:val="Nadruk"/>
          <w:lang w:val="nl-NL"/>
        </w:rPr>
        <w:t>u werkt hier, maar u woont in Nederland, dus wij hoeven de fiscale voordelen niet toe te kennen.</w:t>
      </w:r>
      <w:r>
        <w:rPr>
          <w:lang w:val="nl-NL"/>
        </w:rPr>
        <w:t xml:space="preserve"> Elk systeem past zijn eigen koppelverkoop toe, en geen enkel systeem lost die op door de medische vaststelling los te koppelen.</w:t>
      </w:r>
    </w:p>
    <w:p w14:paraId="2B7A7121" w14:textId="77777777" w:rsidR="006B5103" w:rsidRDefault="006B5103">
      <w:pPr>
        <w:pStyle w:val="Normaalweb"/>
        <w:divId w:val="2114661829"/>
        <w:rPr>
          <w:lang w:val="nl-NL"/>
        </w:rPr>
      </w:pPr>
      <w:r>
        <w:rPr>
          <w:lang w:val="nl-NL"/>
        </w:rPr>
        <w:t xml:space="preserve">Het EESSI-netwerk en Verordening 883/2004 voorzien in samentelling van tijdvakken (artikel 6) en pro-rata berekening (artikel 52). Maar ze voorzien niet in het </w:t>
      </w:r>
      <w:r>
        <w:rPr>
          <w:rStyle w:val="Nadruk"/>
          <w:lang w:val="nl-NL"/>
        </w:rPr>
        <w:t>loskoppelen</w:t>
      </w:r>
      <w:r>
        <w:rPr>
          <w:lang w:val="nl-NL"/>
        </w:rPr>
        <w:t xml:space="preserve"> van de medische vaststelling van de uitkeringsvoorwaarden. Die loskoppeling is een nationale bevoegdheid, en geen van beide staten past hem toe voor grensarbeiders.</w:t>
      </w:r>
    </w:p>
    <w:p w14:paraId="1352B683" w14:textId="77777777" w:rsidR="006B5103" w:rsidRDefault="006B5103">
      <w:pPr>
        <w:pStyle w:val="Kop3"/>
        <w:divId w:val="2114661829"/>
        <w:rPr>
          <w:rFonts w:eastAsia="Times New Roman"/>
          <w:lang w:val="nl-NL"/>
        </w:rPr>
      </w:pPr>
      <w:bookmarkStart w:id="28" w:name="_Toc242191205"/>
      <w:r>
        <w:rPr>
          <w:rFonts w:eastAsia="Times New Roman"/>
          <w:lang w:val="nl-NL"/>
        </w:rPr>
        <w:t>Deel II-C — De vier catch-22's</w:t>
      </w:r>
      <w:bookmarkEnd w:id="28"/>
    </w:p>
    <w:p w14:paraId="673089EB" w14:textId="77777777" w:rsidR="006B5103" w:rsidRDefault="006B5103">
      <w:pPr>
        <w:pStyle w:val="Normaalweb"/>
        <w:divId w:val="2114661829"/>
        <w:rPr>
          <w:lang w:val="nl-NL"/>
        </w:rPr>
      </w:pPr>
      <w:r>
        <w:rPr>
          <w:lang w:val="nl-NL"/>
        </w:rPr>
        <w:t>De koppelverkoop leidt in de praktijk tot een reeks cirkelredeneringen. Hieronder de vier meest voorkomende.</w:t>
      </w:r>
    </w:p>
    <w:p w14:paraId="4C27DD67" w14:textId="77777777" w:rsidR="006B5103" w:rsidRDefault="006B5103">
      <w:pPr>
        <w:pStyle w:val="Kop4"/>
        <w:divId w:val="2114661829"/>
        <w:rPr>
          <w:rFonts w:eastAsia="Times New Roman"/>
          <w:lang w:val="nl-NL"/>
        </w:rPr>
      </w:pPr>
      <w:r>
        <w:rPr>
          <w:rFonts w:eastAsia="Times New Roman"/>
          <w:lang w:val="nl-NL"/>
        </w:rPr>
        <w:t>Catch-22 nr. 1 — De wachttijd die niet telt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56EAE1F"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0659AE0" w14:textId="77777777" w:rsidR="006B5103" w:rsidRDefault="006B5103">
            <w:pPr>
              <w:pStyle w:val="Normaalweb"/>
              <w:spacing w:before="120"/>
              <w:jc w:val="center"/>
              <w:rPr>
                <w:sz w:val="21"/>
                <w:szCs w:val="21"/>
              </w:rPr>
            </w:pPr>
            <w:r>
              <w:rPr>
                <w:noProof/>
                <w:sz w:val="21"/>
                <w:szCs w:val="21"/>
              </w:rPr>
              <w:drawing>
                <wp:inline distT="0" distB="0" distL="0" distR="0" wp14:anchorId="0DD95CEC" wp14:editId="54CA12DA">
                  <wp:extent cx="5715000" cy="14859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5715000" cy="1485900"/>
                          </a:xfrm>
                          <a:prstGeom prst="rect">
                            <a:avLst/>
                          </a:prstGeom>
                          <a:noFill/>
                          <a:ln>
                            <a:noFill/>
                          </a:ln>
                        </pic:spPr>
                      </pic:pic>
                    </a:graphicData>
                  </a:graphic>
                </wp:inline>
              </w:drawing>
            </w:r>
          </w:p>
          <w:p w14:paraId="44F350C7" w14:textId="77777777" w:rsidR="006B5103" w:rsidRDefault="006B5103">
            <w:pPr>
              <w:pStyle w:val="caption"/>
              <w:spacing w:after="120" w:afterAutospacing="0"/>
            </w:pPr>
            <w:r>
              <w:t>CM weigert omdat de nationale wachttijd niet is vervuld. UWV wacht op een Belgische beslissing voordat het Vester-arrest wordt toegepast. De burger zit tussen twee instanties die elk een eigen voorwaarde stellen die door de andere instantie onvervulbaar is gemaakt.</w:t>
            </w:r>
          </w:p>
        </w:tc>
      </w:tr>
    </w:tbl>
    <w:p w14:paraId="421AAE35" w14:textId="77777777" w:rsidR="006B5103" w:rsidRDefault="006B5103">
      <w:pPr>
        <w:pStyle w:val="Kop4"/>
        <w:divId w:val="2114661829"/>
        <w:rPr>
          <w:rFonts w:eastAsia="Times New Roman"/>
          <w:lang w:val="nl-NL"/>
        </w:rPr>
      </w:pPr>
      <w:r>
        <w:rPr>
          <w:rFonts w:eastAsia="Times New Roman"/>
          <w:lang w:val="nl-NL"/>
        </w:rPr>
        <w:t>Catch-22 nr. 2 — De 8 versus 9 punten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B304274"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49A0405" w14:textId="77777777" w:rsidR="006B5103" w:rsidRDefault="006B5103">
            <w:pPr>
              <w:pStyle w:val="Normaalweb"/>
              <w:spacing w:before="120"/>
              <w:jc w:val="center"/>
              <w:rPr>
                <w:sz w:val="21"/>
                <w:szCs w:val="21"/>
              </w:rPr>
            </w:pPr>
            <w:r>
              <w:rPr>
                <w:noProof/>
                <w:sz w:val="21"/>
                <w:szCs w:val="21"/>
              </w:rPr>
              <w:drawing>
                <wp:inline distT="0" distB="0" distL="0" distR="0" wp14:anchorId="1A5B95A7" wp14:editId="6742109B">
                  <wp:extent cx="5715000" cy="14859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5715000" cy="1485900"/>
                          </a:xfrm>
                          <a:prstGeom prst="rect">
                            <a:avLst/>
                          </a:prstGeom>
                          <a:noFill/>
                          <a:ln>
                            <a:noFill/>
                          </a:ln>
                        </pic:spPr>
                      </pic:pic>
                    </a:graphicData>
                  </a:graphic>
                </wp:inline>
              </w:drawing>
            </w:r>
          </w:p>
          <w:p w14:paraId="7398E258" w14:textId="77777777" w:rsidR="006B5103" w:rsidRDefault="006B5103">
            <w:pPr>
              <w:pStyle w:val="caption"/>
              <w:spacing w:after="120" w:afterAutospacing="0"/>
            </w:pPr>
            <w:r>
              <w:t>Een federale instantie kent een formeel erkende handicap toe. Een andere federale instantie eist een strengere drempel voor het fiscale gevolg. De burger moet het dossier heropenen bij de eerste instantie om een punt méér te halen — voor een fysieke realiteit die door vijf onafhankelijke zorgverleners al is vastgesteld.</w:t>
            </w:r>
          </w:p>
        </w:tc>
      </w:tr>
    </w:tbl>
    <w:p w14:paraId="157238FB" w14:textId="77777777" w:rsidR="006B5103" w:rsidRDefault="006B5103">
      <w:pPr>
        <w:pStyle w:val="Kop4"/>
        <w:divId w:val="2114661829"/>
        <w:rPr>
          <w:rFonts w:eastAsia="Times New Roman"/>
          <w:lang w:val="nl-NL"/>
        </w:rPr>
      </w:pPr>
      <w:r>
        <w:rPr>
          <w:rFonts w:eastAsia="Times New Roman"/>
          <w:lang w:val="nl-NL"/>
        </w:rPr>
        <w:t>Catch-22 nr. 3 — De data die niet stroomt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161E99D"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A00AAAE" w14:textId="77777777" w:rsidR="006B5103" w:rsidRDefault="006B5103">
            <w:pPr>
              <w:pStyle w:val="Normaalweb"/>
              <w:spacing w:before="120"/>
              <w:jc w:val="center"/>
              <w:rPr>
                <w:sz w:val="21"/>
                <w:szCs w:val="21"/>
              </w:rPr>
            </w:pPr>
            <w:r>
              <w:rPr>
                <w:noProof/>
                <w:sz w:val="21"/>
                <w:szCs w:val="21"/>
              </w:rPr>
              <w:drawing>
                <wp:inline distT="0" distB="0" distL="0" distR="0" wp14:anchorId="0FC9B863" wp14:editId="6C83FB39">
                  <wp:extent cx="5715000" cy="17145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5715000" cy="1714500"/>
                          </a:xfrm>
                          <a:prstGeom prst="rect">
                            <a:avLst/>
                          </a:prstGeom>
                          <a:noFill/>
                          <a:ln>
                            <a:noFill/>
                          </a:ln>
                        </pic:spPr>
                      </pic:pic>
                    </a:graphicData>
                  </a:graphic>
                </wp:inline>
              </w:drawing>
            </w:r>
          </w:p>
          <w:p w14:paraId="66A0C993" w14:textId="77777777" w:rsidR="006B5103" w:rsidRDefault="006B5103">
            <w:pPr>
              <w:pStyle w:val="caption"/>
              <w:spacing w:after="120" w:afterAutospacing="0"/>
            </w:pPr>
            <w:r>
              <w:t>De CM registreert de ziektestatus niet in de Kruispuntbank van de Sociale Zekerheid. Parentia, SVB en de Nederlandse Toeslagen lezen allemaal via diezelfde KSZ of via een afgeleide daarvan. Eén bronblokkade bij één instantie bevriest zes andere uitbetalingen.</w:t>
            </w:r>
          </w:p>
        </w:tc>
      </w:tr>
    </w:tbl>
    <w:p w14:paraId="644C0460" w14:textId="77777777" w:rsidR="006B5103" w:rsidRDefault="006B5103">
      <w:pPr>
        <w:pStyle w:val="Kop4"/>
        <w:divId w:val="2114661829"/>
        <w:rPr>
          <w:rFonts w:eastAsia="Times New Roman"/>
          <w:lang w:val="nl-NL"/>
        </w:rPr>
      </w:pPr>
      <w:r>
        <w:rPr>
          <w:rFonts w:eastAsia="Times New Roman"/>
          <w:lang w:val="nl-NL"/>
        </w:rPr>
        <w:t>Catch-22 nr. 4 — De MAF die stijgt noch daalt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5EA14EB"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350B6A2" w14:textId="77777777" w:rsidR="006B5103" w:rsidRDefault="006B5103">
            <w:pPr>
              <w:pStyle w:val="Normaalweb"/>
              <w:spacing w:before="120"/>
              <w:jc w:val="center"/>
              <w:rPr>
                <w:sz w:val="21"/>
                <w:szCs w:val="21"/>
              </w:rPr>
            </w:pPr>
            <w:r>
              <w:rPr>
                <w:noProof/>
                <w:sz w:val="21"/>
                <w:szCs w:val="21"/>
              </w:rPr>
              <w:drawing>
                <wp:inline distT="0" distB="0" distL="0" distR="0" wp14:anchorId="24CABC6E" wp14:editId="1E49AFA6">
                  <wp:extent cx="5715000" cy="18288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5715000" cy="1828800"/>
                          </a:xfrm>
                          <a:prstGeom prst="rect">
                            <a:avLst/>
                          </a:prstGeom>
                          <a:noFill/>
                          <a:ln>
                            <a:noFill/>
                          </a:ln>
                        </pic:spPr>
                      </pic:pic>
                    </a:graphicData>
                  </a:graphic>
                </wp:inline>
              </w:drawing>
            </w:r>
          </w:p>
          <w:p w14:paraId="5A7B43EF" w14:textId="77777777" w:rsidR="006B5103" w:rsidRDefault="006B5103">
            <w:pPr>
              <w:pStyle w:val="caption"/>
              <w:spacing w:after="120" w:afterAutospacing="0"/>
            </w:pPr>
            <w:r>
              <w:t>Het ziekenfonds beheert zowel de maximumfactuur (MAF) als de invaliditeitserkenning. Wie erkend is als invalide krijgt een lager eigen-risicoplafond — minder remgeld, meer terugbetaling. Omdat hetzelfde ziekenfonds de erkenning weigert, blijft het gezin op het gewone plafond. De patiënt betaalt dus méér remgeld dan een invalide met dezelfde fysieke toestand. Dezelfde instantie heeft de medische waarheid vastgesteld via de goedkeuring van hulpmiddelen, maar weigert die waarheid te gebruiken om het financiële</w:t>
            </w:r>
            <w:r>
              <w:t xml:space="preserve"> vangnet te verhogen.</w:t>
            </w:r>
          </w:p>
        </w:tc>
      </w:tr>
    </w:tbl>
    <w:p w14:paraId="40316731" w14:textId="77777777" w:rsidR="006B5103" w:rsidRDefault="006B5103">
      <w:pPr>
        <w:pStyle w:val="Kop3"/>
        <w:divId w:val="2114661829"/>
        <w:rPr>
          <w:rFonts w:eastAsia="Times New Roman"/>
          <w:lang w:val="nl-NL"/>
        </w:rPr>
      </w:pPr>
      <w:bookmarkStart w:id="29" w:name="_Toc242191206"/>
      <w:r>
        <w:rPr>
          <w:rFonts w:eastAsia="Times New Roman"/>
          <w:lang w:val="nl-NL"/>
        </w:rPr>
        <w:t>Wat dit hoofdstuk vaststelt</w:t>
      </w:r>
      <w:bookmarkEnd w:id="29"/>
    </w:p>
    <w:p w14:paraId="4250AB40" w14:textId="77777777" w:rsidR="006B5103" w:rsidRDefault="006B5103">
      <w:pPr>
        <w:pStyle w:val="Normaalweb"/>
        <w:divId w:val="2114661829"/>
        <w:rPr>
          <w:lang w:val="nl-NL"/>
        </w:rPr>
      </w:pPr>
      <w:r>
        <w:rPr>
          <w:lang w:val="nl-NL"/>
        </w:rPr>
        <w:t>Het gezin heeft recht op een breed scala aan tegemoetkomingen. In theorie dekt het netwerk van de twee verzorgingsstaten samen bijna elk aspect van de medische en financiële situatie. In de praktijk blijft meer dan de helft van de potjes gesloten. Niet omdat de voorwaarden onvervulbaar zijn, maar omdat de wegen ernaartoe zo zijn ingericht dat ze elkaar blokkeren.</w:t>
      </w:r>
    </w:p>
    <w:p w14:paraId="2BC69808" w14:textId="77777777" w:rsidR="006B5103" w:rsidRDefault="006B5103">
      <w:pPr>
        <w:pStyle w:val="Normaalweb"/>
        <w:divId w:val="2114661829"/>
        <w:rPr>
          <w:lang w:val="nl-NL"/>
        </w:rPr>
      </w:pPr>
      <w:r>
        <w:rPr>
          <w:lang w:val="nl-NL"/>
        </w:rPr>
        <w:t>De koppelverkoop tussen de uitkeringsroute en de fiscale route is het meest voorkomende mechanisme. De catch-22's zijn de uitkomst daarvan: cirkelredeneringen tussen twee nationale systemen die elkaar niet lezen, en tussen federale instanties binnen hetzelfde systeem die elkaars drempels niet erkennen.</w:t>
      </w:r>
    </w:p>
    <w:p w14:paraId="7CC34651" w14:textId="77777777" w:rsidR="006B5103" w:rsidRDefault="006B5103">
      <w:pPr>
        <w:pStyle w:val="Normaalweb"/>
        <w:divId w:val="2114661829"/>
        <w:rPr>
          <w:lang w:val="nl-NL"/>
        </w:rPr>
      </w:pPr>
      <w:r>
        <w:rPr>
          <w:lang w:val="nl-NL"/>
        </w:rPr>
        <w:t>Het volgende hoofdstuk zoomt in op de actoren die deze catch-22's in stand houden — niet als personen, maar als functies binnen een architectuur.</w:t>
      </w:r>
    </w:p>
    <w:p w14:paraId="6A6D8257"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uitsluitend aangeduid met hun functie of met een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Dit is zowel een methodologische keuze als een verplichting onder de Algemene Verordening Gegevensbescherming. De potjes-inventaris is gebaseerd op Document B, dat de feitelijke aanvragen, statussen en weigeringen per organisatie vastlegt.</w:t>
      </w:r>
    </w:p>
    <w:p w14:paraId="00924057" w14:textId="77777777" w:rsidR="006B5103" w:rsidRDefault="006B5103">
      <w:pPr>
        <w:pStyle w:val="marker"/>
        <w:ind w:left="800" w:right="800"/>
        <w:divId w:val="2114661829"/>
        <w:rPr>
          <w:lang w:val="nl-NL"/>
        </w:rPr>
      </w:pPr>
      <w:r>
        <w:br w:type="page"/>
      </w:r>
    </w:p>
    <w:p w14:paraId="36653F76" w14:textId="77777777" w:rsidR="006B5103" w:rsidRDefault="006B5103">
      <w:pPr>
        <w:pStyle w:val="Kop2"/>
        <w:divId w:val="2114661829"/>
        <w:rPr>
          <w:rFonts w:eastAsia="Times New Roman"/>
          <w:lang w:val="nl-NL"/>
        </w:rPr>
      </w:pPr>
      <w:bookmarkStart w:id="30" w:name="_Toc242191207"/>
      <w:r>
        <w:rPr>
          <w:rFonts w:eastAsia="Times New Roman"/>
          <w:lang w:val="nl-NL"/>
        </w:rPr>
        <w:t>Vaststelling en beslissing</w:t>
      </w:r>
      <w:bookmarkEnd w:id="30"/>
    </w:p>
    <w:p w14:paraId="65405C45" w14:textId="77777777" w:rsidR="006B5103" w:rsidRDefault="006B5103">
      <w:pPr>
        <w:pStyle w:val="lead"/>
        <w:divId w:val="2114661829"/>
        <w:rPr>
          <w:lang w:val="nl-NL"/>
        </w:rPr>
      </w:pPr>
      <w:r>
        <w:rPr>
          <w:lang w:val="nl-NL"/>
        </w:rPr>
        <w:t>Vijf zorgverleners onderzochten het lichaam. Twee administratieve artsen beslisten erover. Dit hoofdstuk toont dat beide instanties — het Belgische ziekenfonds en de Belgische federale overheidsdienst — hetzelfde mechanisme toepassen, elk met een eigen variant.</w:t>
      </w:r>
    </w:p>
    <w:p w14:paraId="7120AB10" w14:textId="77777777" w:rsidR="006B5103" w:rsidRDefault="006B5103">
      <w:pPr>
        <w:pStyle w:val="Kop3"/>
        <w:divId w:val="2114661829"/>
        <w:rPr>
          <w:rFonts w:eastAsia="Times New Roman"/>
          <w:lang w:val="nl-NL"/>
        </w:rPr>
      </w:pPr>
      <w:bookmarkStart w:id="31" w:name="_Toc242191208"/>
      <w:r>
        <w:rPr>
          <w:rFonts w:eastAsia="Times New Roman"/>
          <w:lang w:val="nl-NL"/>
        </w:rPr>
        <w:t>De vijf stemmen</w:t>
      </w:r>
      <w:bookmarkEnd w:id="31"/>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F5B347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D4F8984" w14:textId="77777777" w:rsidR="006B5103" w:rsidRDefault="006B5103">
            <w:pPr>
              <w:pStyle w:val="Normaalweb"/>
              <w:spacing w:before="120"/>
              <w:jc w:val="center"/>
              <w:rPr>
                <w:sz w:val="21"/>
                <w:szCs w:val="21"/>
              </w:rPr>
            </w:pPr>
            <w:r>
              <w:rPr>
                <w:noProof/>
                <w:sz w:val="21"/>
                <w:szCs w:val="21"/>
              </w:rPr>
              <w:drawing>
                <wp:inline distT="0" distB="0" distL="0" distR="0" wp14:anchorId="22EC8CD6" wp14:editId="0BE42330">
                  <wp:extent cx="5715000" cy="22860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tc>
      </w:tr>
    </w:tbl>
    <w:p w14:paraId="28F7A254" w14:textId="77777777" w:rsidR="006B5103" w:rsidRDefault="006B5103">
      <w:pPr>
        <w:pStyle w:val="Normaalweb"/>
        <w:divId w:val="2114661829"/>
        <w:rPr>
          <w:sz w:val="24"/>
          <w:lang w:val="nl-NL"/>
        </w:rPr>
      </w:pPr>
      <w:r>
        <w:rPr>
          <w:lang w:val="nl-NL"/>
        </w:rPr>
        <w:t>Vijf zorgverleners, werkzaam in twee landen, onderzochten het lichaam. Alle vijf stelden dezelfde blijvende beperking vast.</w:t>
      </w:r>
    </w:p>
    <w:p w14:paraId="3F1B2ABC" w14:textId="77777777" w:rsidR="006B5103" w:rsidRDefault="006B5103">
      <w:pPr>
        <w:pStyle w:val="Kop3"/>
        <w:divId w:val="2114661829"/>
        <w:rPr>
          <w:rFonts w:eastAsia="Times New Roman"/>
          <w:lang w:val="nl-NL"/>
        </w:rPr>
      </w:pPr>
      <w:bookmarkStart w:id="32" w:name="_Toc242191209"/>
      <w:r>
        <w:rPr>
          <w:rFonts w:eastAsia="Times New Roman"/>
          <w:lang w:val="nl-NL"/>
        </w:rPr>
        <w:t>Twee beslissers, één mechanisme</w:t>
      </w:r>
      <w:bookmarkEnd w:id="32"/>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10191D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0434D4F" w14:textId="77777777" w:rsidR="006B5103" w:rsidRDefault="006B5103">
            <w:pPr>
              <w:pStyle w:val="Normaalweb"/>
              <w:spacing w:before="120"/>
              <w:jc w:val="center"/>
              <w:rPr>
                <w:sz w:val="21"/>
                <w:szCs w:val="21"/>
              </w:rPr>
            </w:pPr>
            <w:r>
              <w:rPr>
                <w:noProof/>
                <w:sz w:val="21"/>
                <w:szCs w:val="21"/>
              </w:rPr>
              <w:drawing>
                <wp:inline distT="0" distB="0" distL="0" distR="0" wp14:anchorId="26C8C3AF" wp14:editId="4A269E89">
                  <wp:extent cx="5715000" cy="285750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5715000" cy="2857500"/>
                          </a:xfrm>
                          <a:prstGeom prst="rect">
                            <a:avLst/>
                          </a:prstGeom>
                          <a:noFill/>
                          <a:ln>
                            <a:noFill/>
                          </a:ln>
                        </pic:spPr>
                      </pic:pic>
                    </a:graphicData>
                  </a:graphic>
                </wp:inline>
              </w:drawing>
            </w:r>
          </w:p>
          <w:p w14:paraId="00F98F78" w14:textId="77777777" w:rsidR="006B5103" w:rsidRDefault="006B5103">
            <w:pPr>
              <w:pStyle w:val="caption"/>
              <w:spacing w:after="120" w:afterAutospacing="0"/>
            </w:pPr>
            <w:r>
              <w:rPr>
                <w:rStyle w:val="Zwaar"/>
              </w:rPr>
              <w:t>Figuur III.1 — Twee varianten, één mechanisme.</w:t>
            </w:r>
            <w:r>
              <w:t xml:space="preserve"> Het ziekenfonds (variant A) laat een eigen arts beslissen zonder het lichaam te zien. De federale overheidsdienst (variant B) laat een eigen arts beslissen op basis van een meting die één punt onder de fiscale drempel valt. In beide gevallen weegt de administratieve drempel zwaarder dan de medische vaststelling.</w:t>
            </w:r>
          </w:p>
        </w:tc>
      </w:tr>
    </w:tbl>
    <w:p w14:paraId="34439A47" w14:textId="77777777" w:rsidR="006B5103" w:rsidRDefault="006B5103">
      <w:pPr>
        <w:pStyle w:val="Kop3"/>
        <w:divId w:val="2114661829"/>
        <w:rPr>
          <w:rFonts w:eastAsia="Times New Roman"/>
          <w:lang w:val="nl-NL"/>
        </w:rPr>
      </w:pPr>
      <w:bookmarkStart w:id="33" w:name="_Toc242191210"/>
      <w:r>
        <w:rPr>
          <w:rFonts w:eastAsia="Times New Roman"/>
          <w:lang w:val="nl-NL"/>
        </w:rPr>
        <w:t>Het gemeenschappelijke patroon</w:t>
      </w:r>
      <w:bookmarkEnd w:id="33"/>
    </w:p>
    <w:p w14:paraId="2082603C" w14:textId="77777777" w:rsidR="006B5103" w:rsidRDefault="006B5103">
      <w:pPr>
        <w:pStyle w:val="Normaalweb"/>
        <w:divId w:val="2114661829"/>
        <w:rPr>
          <w:lang w:val="nl-NL"/>
        </w:rPr>
      </w:pPr>
      <w:r>
        <w:rPr>
          <w:lang w:val="nl-NL"/>
        </w:rPr>
        <w:t xml:space="preserve">In beide gevallen is de beslissende arts </w:t>
      </w:r>
      <w:r>
        <w:rPr>
          <w:rStyle w:val="Zwaar"/>
          <w:lang w:val="nl-NL"/>
        </w:rPr>
        <w:t>op de payroll van de instantie</w:t>
      </w:r>
      <w:r>
        <w:rPr>
          <w:lang w:val="nl-NL"/>
        </w:rPr>
        <w:t>. In beide gevallen wordt een administratieve drempel toegepast die niet in de behandelende wereld bestaat. In beide gevallen wegen vijf onafhankelijke medische vaststellingen minder zwaar dan één administratieve beslissing.</w:t>
      </w:r>
    </w:p>
    <w:p w14:paraId="44B29F19" w14:textId="77777777" w:rsidR="006B5103" w:rsidRDefault="006B5103">
      <w:pPr>
        <w:pStyle w:val="Normaalweb"/>
        <w:divId w:val="2114661829"/>
        <w:rPr>
          <w:lang w:val="nl-NL"/>
        </w:rPr>
      </w:pPr>
      <w:r>
        <w:rPr>
          <w:lang w:val="nl-NL"/>
        </w:rPr>
        <w:t xml:space="preserve">Dat is geen persoonlijke fout van een individuele arts. Het is de architectuur: de controlerend arts is geen betere arts, geen langere opleiding, geen diepere kennis. Hij is de </w:t>
      </w:r>
      <w:r>
        <w:rPr>
          <w:rStyle w:val="Nadruk"/>
          <w:lang w:val="nl-NL"/>
        </w:rPr>
        <w:t>poortwachter</w:t>
      </w:r>
      <w:r>
        <w:rPr>
          <w:lang w:val="nl-NL"/>
        </w:rPr>
        <w:t xml:space="preserve"> </w:t>
      </w:r>
      <w:r>
        <w:rPr>
          <w:lang w:val="nl-NL"/>
        </w:rPr>
        <w:t xml:space="preserve">van een administratieve drempel. De poort is gesloten, niet omdat het lichaam niet kapot is — dat is vijf keer bewezen — maar omdat het algoritme achter de poort zegt: </w:t>
      </w:r>
      <w:r>
        <w:rPr>
          <w:rStyle w:val="Nadruk"/>
          <w:lang w:val="nl-NL"/>
        </w:rPr>
        <w:t>de uitkering loopt niet, dus de erkenning loopt niet, dus de fiscale route loopt niet.</w:t>
      </w:r>
    </w:p>
    <w:p w14:paraId="138E543E"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uitsluitend aangeduid met hun functie. De feiten zijn gebaseerd op Document B.</w:t>
      </w:r>
    </w:p>
    <w:p w14:paraId="6FCE5458" w14:textId="77777777" w:rsidR="006B5103" w:rsidRDefault="006B5103">
      <w:pPr>
        <w:pStyle w:val="marker"/>
        <w:ind w:left="800" w:right="800"/>
        <w:divId w:val="2114661829"/>
        <w:rPr>
          <w:lang w:val="nl-NL"/>
        </w:rPr>
      </w:pPr>
      <w:r>
        <w:br w:type="page"/>
      </w:r>
    </w:p>
    <w:p w14:paraId="545BFF50" w14:textId="77777777" w:rsidR="006B5103" w:rsidRDefault="006B5103">
      <w:pPr>
        <w:pStyle w:val="Kop2"/>
        <w:divId w:val="2114661829"/>
        <w:rPr>
          <w:rFonts w:eastAsia="Times New Roman"/>
          <w:lang w:val="nl-NL"/>
        </w:rPr>
      </w:pPr>
      <w:bookmarkStart w:id="34" w:name="_Toc242191211"/>
      <w:r>
        <w:rPr>
          <w:rFonts w:eastAsia="Times New Roman"/>
          <w:lang w:val="nl-NL"/>
        </w:rPr>
        <w:t>De Parentia-trap</w:t>
      </w:r>
      <w:bookmarkEnd w:id="34"/>
    </w:p>
    <w:p w14:paraId="685E7F5F" w14:textId="77777777" w:rsidR="006B5103" w:rsidRDefault="006B5103">
      <w:pPr>
        <w:pStyle w:val="lead"/>
        <w:divId w:val="2114661829"/>
        <w:rPr>
          <w:lang w:val="nl-NL"/>
        </w:rPr>
      </w:pPr>
      <w:r>
        <w:rPr>
          <w:lang w:val="nl-NL"/>
        </w:rPr>
        <w:t>Een instantie die de medische werkelijkheid aanvaardt, maar vervolgens struikelt over haar eigen inkomensmodel. Drie niveaus, één uitkomst. En het patroon keert terug bij een andere instantie.</w:t>
      </w:r>
    </w:p>
    <w:p w14:paraId="0C493B27" w14:textId="77777777" w:rsidR="006B5103" w:rsidRDefault="006B5103">
      <w:pPr>
        <w:pStyle w:val="Kop3"/>
        <w:divId w:val="2114661829"/>
        <w:rPr>
          <w:rFonts w:eastAsia="Times New Roman"/>
          <w:lang w:val="nl-NL"/>
        </w:rPr>
      </w:pPr>
      <w:bookmarkStart w:id="35" w:name="_Toc242191212"/>
      <w:r>
        <w:rPr>
          <w:rFonts w:eastAsia="Times New Roman"/>
          <w:lang w:val="nl-NL"/>
        </w:rPr>
        <w:t>Niveau 1 — De KSZ-blokkade</w:t>
      </w:r>
      <w:bookmarkEnd w:id="35"/>
    </w:p>
    <w:p w14:paraId="706F0043" w14:textId="77777777" w:rsidR="006B5103" w:rsidRDefault="006B5103">
      <w:pPr>
        <w:pStyle w:val="tijd"/>
        <w:divId w:val="2114661829"/>
        <w:rPr>
          <w:lang w:val="nl-NL"/>
        </w:rPr>
      </w:pPr>
      <w:r>
        <w:rPr>
          <w:lang w:val="nl-NL"/>
        </w:rPr>
        <w:t>september 2025 — april 2026</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4BF2F4D"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D69F3E9" w14:textId="77777777" w:rsidR="006B5103" w:rsidRDefault="006B5103">
            <w:pPr>
              <w:pStyle w:val="Normaalweb"/>
              <w:spacing w:before="120"/>
              <w:jc w:val="center"/>
              <w:rPr>
                <w:sz w:val="21"/>
                <w:szCs w:val="21"/>
              </w:rPr>
            </w:pPr>
            <w:r>
              <w:rPr>
                <w:noProof/>
                <w:sz w:val="21"/>
                <w:szCs w:val="21"/>
              </w:rPr>
              <w:drawing>
                <wp:inline distT="0" distB="0" distL="0" distR="0" wp14:anchorId="6BD5CBE7" wp14:editId="469CCD27">
                  <wp:extent cx="5715000" cy="14859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link="rId24">
                            <a:extLst>
                              <a:ext uri="{28A0092B-C50C-407E-A947-70E740481C1C}">
                                <a14:useLocalDpi xmlns:a14="http://schemas.microsoft.com/office/drawing/2010/main" val="0"/>
                              </a:ext>
                            </a:extLst>
                          </a:blip>
                          <a:srcRect/>
                          <a:stretch>
                            <a:fillRect/>
                          </a:stretch>
                        </pic:blipFill>
                        <pic:spPr bwMode="auto">
                          <a:xfrm>
                            <a:off x="0" y="0"/>
                            <a:ext cx="5715000" cy="1485900"/>
                          </a:xfrm>
                          <a:prstGeom prst="rect">
                            <a:avLst/>
                          </a:prstGeom>
                          <a:noFill/>
                          <a:ln>
                            <a:noFill/>
                          </a:ln>
                        </pic:spPr>
                      </pic:pic>
                    </a:graphicData>
                  </a:graphic>
                </wp:inline>
              </w:drawing>
            </w:r>
          </w:p>
        </w:tc>
      </w:tr>
    </w:tbl>
    <w:p w14:paraId="058667FB" w14:textId="77777777" w:rsidR="006B5103" w:rsidRDefault="006B5103">
      <w:pPr>
        <w:pStyle w:val="Kop3"/>
        <w:divId w:val="2114661829"/>
        <w:rPr>
          <w:rFonts w:eastAsia="Times New Roman"/>
          <w:lang w:val="nl-NL"/>
        </w:rPr>
      </w:pPr>
      <w:bookmarkStart w:id="36" w:name="_Toc242191213"/>
      <w:r>
        <w:rPr>
          <w:rFonts w:eastAsia="Times New Roman"/>
          <w:lang w:val="nl-NL"/>
        </w:rPr>
        <w:t>Niveau 2 — De bypass wordt aanvaard</w:t>
      </w:r>
      <w:bookmarkEnd w:id="36"/>
    </w:p>
    <w:p w14:paraId="104FB4D8" w14:textId="77777777" w:rsidR="006B5103" w:rsidRDefault="006B5103">
      <w:pPr>
        <w:pStyle w:val="tijd"/>
        <w:divId w:val="2114661829"/>
        <w:rPr>
          <w:lang w:val="nl-NL"/>
        </w:rPr>
      </w:pPr>
      <w:r>
        <w:rPr>
          <w:lang w:val="nl-NL"/>
        </w:rPr>
        <w:t>april — september 2026</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F0A0584"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CD97FD5" w14:textId="77777777" w:rsidR="006B5103" w:rsidRDefault="006B5103">
            <w:pPr>
              <w:pStyle w:val="Normaalweb"/>
              <w:spacing w:before="120"/>
              <w:jc w:val="center"/>
              <w:rPr>
                <w:sz w:val="21"/>
                <w:szCs w:val="21"/>
              </w:rPr>
            </w:pPr>
            <w:r>
              <w:rPr>
                <w:noProof/>
                <w:sz w:val="21"/>
                <w:szCs w:val="21"/>
              </w:rPr>
              <w:drawing>
                <wp:inline distT="0" distB="0" distL="0" distR="0" wp14:anchorId="03C6BD6D" wp14:editId="087733C7">
                  <wp:extent cx="5715000" cy="16002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link="rId25">
                            <a:extLst>
                              <a:ext uri="{28A0092B-C50C-407E-A947-70E740481C1C}">
                                <a14:useLocalDpi xmlns:a14="http://schemas.microsoft.com/office/drawing/2010/main" val="0"/>
                              </a:ext>
                            </a:extLst>
                          </a:blip>
                          <a:srcRect/>
                          <a:stretch>
                            <a:fillRect/>
                          </a:stretch>
                        </pic:blipFill>
                        <pic:spPr bwMode="auto">
                          <a:xfrm>
                            <a:off x="0" y="0"/>
                            <a:ext cx="5715000" cy="1600200"/>
                          </a:xfrm>
                          <a:prstGeom prst="rect">
                            <a:avLst/>
                          </a:prstGeom>
                          <a:noFill/>
                          <a:ln>
                            <a:noFill/>
                          </a:ln>
                        </pic:spPr>
                      </pic:pic>
                    </a:graphicData>
                  </a:graphic>
                </wp:inline>
              </w:drawing>
            </w:r>
          </w:p>
        </w:tc>
      </w:tr>
    </w:tbl>
    <w:p w14:paraId="5E826B73" w14:textId="77777777" w:rsidR="006B5103" w:rsidRDefault="006B5103">
      <w:pPr>
        <w:pStyle w:val="Kop3"/>
        <w:divId w:val="2114661829"/>
        <w:rPr>
          <w:rFonts w:eastAsia="Times New Roman"/>
          <w:lang w:val="nl-NL"/>
        </w:rPr>
      </w:pPr>
      <w:bookmarkStart w:id="37" w:name="_Toc242191214"/>
      <w:r>
        <w:rPr>
          <w:rFonts w:eastAsia="Times New Roman"/>
          <w:lang w:val="nl-NL"/>
        </w:rPr>
        <w:t>Niveau 3 — De inkomensweigering</w:t>
      </w:r>
      <w:bookmarkEnd w:id="37"/>
    </w:p>
    <w:p w14:paraId="4C60F417" w14:textId="77777777" w:rsidR="006B5103" w:rsidRDefault="006B5103">
      <w:pPr>
        <w:pStyle w:val="tijd"/>
        <w:divId w:val="2114661829"/>
        <w:rPr>
          <w:lang w:val="nl-NL"/>
        </w:rPr>
      </w:pPr>
      <w:r>
        <w:rPr>
          <w:lang w:val="nl-NL"/>
        </w:rPr>
        <w:t>september 2026</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2514145"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E8103FA" w14:textId="77777777" w:rsidR="006B5103" w:rsidRDefault="006B5103">
            <w:pPr>
              <w:pStyle w:val="Normaalweb"/>
              <w:spacing w:before="120"/>
              <w:jc w:val="center"/>
              <w:rPr>
                <w:sz w:val="21"/>
                <w:szCs w:val="21"/>
              </w:rPr>
            </w:pPr>
            <w:r>
              <w:rPr>
                <w:noProof/>
                <w:sz w:val="21"/>
                <w:szCs w:val="21"/>
              </w:rPr>
              <w:drawing>
                <wp:inline distT="0" distB="0" distL="0" distR="0" wp14:anchorId="77A4F326" wp14:editId="600A0E44">
                  <wp:extent cx="5715000" cy="194310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link="rId26">
                            <a:extLst>
                              <a:ext uri="{28A0092B-C50C-407E-A947-70E740481C1C}">
                                <a14:useLocalDpi xmlns:a14="http://schemas.microsoft.com/office/drawing/2010/main" val="0"/>
                              </a:ext>
                            </a:extLst>
                          </a:blip>
                          <a:srcRect/>
                          <a:stretch>
                            <a:fillRect/>
                          </a:stretch>
                        </pic:blipFill>
                        <pic:spPr bwMode="auto">
                          <a:xfrm>
                            <a:off x="0" y="0"/>
                            <a:ext cx="5715000" cy="1943100"/>
                          </a:xfrm>
                          <a:prstGeom prst="rect">
                            <a:avLst/>
                          </a:prstGeom>
                          <a:noFill/>
                          <a:ln>
                            <a:noFill/>
                          </a:ln>
                        </pic:spPr>
                      </pic:pic>
                    </a:graphicData>
                  </a:graphic>
                </wp:inline>
              </w:drawing>
            </w:r>
          </w:p>
          <w:p w14:paraId="76825DB1" w14:textId="77777777" w:rsidR="006B5103" w:rsidRDefault="006B5103">
            <w:pPr>
              <w:pStyle w:val="caption"/>
              <w:spacing w:after="120" w:afterAutospacing="0"/>
            </w:pPr>
            <w:r>
              <w:t>De medische weg is vrijgemaakt. Het bewijs is aanvaard. Dan blijkt het inkomensmodel de werkelijke situatie niet te lezen. De rekening klopt, het gezin valt eruit.</w:t>
            </w:r>
          </w:p>
        </w:tc>
      </w:tr>
    </w:tbl>
    <w:p w14:paraId="0241B230" w14:textId="77777777" w:rsidR="006B5103" w:rsidRDefault="006B5103">
      <w:pPr>
        <w:pStyle w:val="Kop3"/>
        <w:divId w:val="2114661829"/>
        <w:rPr>
          <w:rFonts w:eastAsia="Times New Roman"/>
          <w:lang w:val="nl-NL"/>
        </w:rPr>
      </w:pPr>
      <w:bookmarkStart w:id="38" w:name="_Toc242191215"/>
      <w:r>
        <w:rPr>
          <w:rFonts w:eastAsia="Times New Roman"/>
          <w:lang w:val="nl-NL"/>
        </w:rPr>
        <w:t>Het patroon keert terug</w:t>
      </w:r>
      <w:bookmarkEnd w:id="38"/>
    </w:p>
    <w:p w14:paraId="2D5D7ECF" w14:textId="77777777" w:rsidR="006B5103" w:rsidRDefault="006B5103">
      <w:pPr>
        <w:pStyle w:val="tijd"/>
        <w:divId w:val="2114661829"/>
        <w:rPr>
          <w:lang w:val="nl-NL"/>
        </w:rPr>
      </w:pPr>
      <w:r>
        <w:rPr>
          <w:lang w:val="nl-NL"/>
        </w:rPr>
        <w:t>gemeente Hulst · 2026</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5FA867E"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6D68B7B" w14:textId="77777777" w:rsidR="006B5103" w:rsidRDefault="006B5103">
            <w:pPr>
              <w:pStyle w:val="Normaalweb"/>
              <w:spacing w:before="120"/>
              <w:jc w:val="center"/>
              <w:rPr>
                <w:sz w:val="21"/>
                <w:szCs w:val="21"/>
              </w:rPr>
            </w:pPr>
            <w:r>
              <w:rPr>
                <w:noProof/>
                <w:sz w:val="21"/>
                <w:szCs w:val="21"/>
              </w:rPr>
              <w:drawing>
                <wp:inline distT="0" distB="0" distL="0" distR="0" wp14:anchorId="3B13E026" wp14:editId="7CD230A6">
                  <wp:extent cx="5715000" cy="160020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link="rId27">
                            <a:extLst>
                              <a:ext uri="{28A0092B-C50C-407E-A947-70E740481C1C}">
                                <a14:useLocalDpi xmlns:a14="http://schemas.microsoft.com/office/drawing/2010/main" val="0"/>
                              </a:ext>
                            </a:extLst>
                          </a:blip>
                          <a:srcRect/>
                          <a:stretch>
                            <a:fillRect/>
                          </a:stretch>
                        </pic:blipFill>
                        <pic:spPr bwMode="auto">
                          <a:xfrm>
                            <a:off x="0" y="0"/>
                            <a:ext cx="5715000" cy="1600200"/>
                          </a:xfrm>
                          <a:prstGeom prst="rect">
                            <a:avLst/>
                          </a:prstGeom>
                          <a:noFill/>
                          <a:ln>
                            <a:noFill/>
                          </a:ln>
                        </pic:spPr>
                      </pic:pic>
                    </a:graphicData>
                  </a:graphic>
                </wp:inline>
              </w:drawing>
            </w:r>
          </w:p>
          <w:p w14:paraId="1FB1E067" w14:textId="77777777" w:rsidR="006B5103" w:rsidRDefault="006B5103">
            <w:pPr>
              <w:pStyle w:val="caption"/>
              <w:spacing w:after="120" w:afterAutospacing="0"/>
            </w:pPr>
            <w:r>
              <w:t>Wat bij Parentia gebeurde, herhaalt zich bij de gemeente. Elke instantie heeft een eigen medische poort en een eigen tweede drempel. De burger loopt dezelfde trap opnieuw.</w:t>
            </w:r>
          </w:p>
        </w:tc>
      </w:tr>
    </w:tbl>
    <w:p w14:paraId="770656A7" w14:textId="77777777" w:rsidR="006B5103" w:rsidRDefault="006B5103">
      <w:pPr>
        <w:divId w:val="2114661829"/>
        <w:rPr>
          <w:rFonts w:eastAsia="Times New Roman"/>
          <w:vanish/>
          <w:lang w:val="nl-NL"/>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762BBE1"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49373E6D" w14:textId="77777777" w:rsidR="006B5103" w:rsidRDefault="006B5103">
            <w:pPr>
              <w:spacing w:before="240" w:after="240"/>
              <w:rPr>
                <w:rFonts w:eastAsia="Times New Roman"/>
                <w:szCs w:val="22"/>
              </w:rPr>
            </w:pPr>
            <w:r>
              <w:rPr>
                <w:rFonts w:eastAsia="Times New Roman"/>
                <w:szCs w:val="22"/>
              </w:rPr>
              <w:t xml:space="preserve">De Parentia-trap bestaat uit drie niveaus. Eerst wordt de medische weg geblokkeerd door een dataprobleem bij een andere instantie. Dan wordt de burger gedwongen een bypass te gebruiken — hetzelfde handmatige bewijs dat ook bij de fiscus werkte. Wanneer het medische bewijs is aanvaard, blijkt het inkomensmodel de werkelijke situatie niet te lezen. En wanneer de burger bij de volgende instantie aanklopt, begint de trap opnieuw. </w:t>
            </w:r>
          </w:p>
        </w:tc>
      </w:tr>
    </w:tbl>
    <w:p w14:paraId="51CE903D" w14:textId="77777777" w:rsidR="006B5103" w:rsidRDefault="006B5103">
      <w:pPr>
        <w:pStyle w:val="noot"/>
        <w:spacing w:after="120" w:afterAutospacing="0"/>
        <w:divId w:val="2114661829"/>
        <w:rPr>
          <w:lang w:val="nl-NL"/>
        </w:rPr>
      </w:pPr>
      <w:r>
        <w:rPr>
          <w:lang w:val="nl-NL"/>
        </w:rPr>
        <w:t>Feiten gebaseerd op Document B. Natuurlijke personen aangeduid met symbolen; organisaties met hun publieke naam.</w:t>
      </w:r>
    </w:p>
    <w:p w14:paraId="1F6013C4" w14:textId="77777777" w:rsidR="006B5103" w:rsidRDefault="006B5103">
      <w:pPr>
        <w:pStyle w:val="marker"/>
        <w:ind w:left="800" w:right="800"/>
        <w:divId w:val="2114661829"/>
        <w:rPr>
          <w:lang w:val="nl-NL"/>
        </w:rPr>
      </w:pPr>
      <w:r>
        <w:br w:type="page"/>
      </w:r>
    </w:p>
    <w:p w14:paraId="5FCD3839" w14:textId="77777777" w:rsidR="006B5103" w:rsidRDefault="006B5103">
      <w:pPr>
        <w:pStyle w:val="Kop2"/>
        <w:divId w:val="2114661829"/>
        <w:rPr>
          <w:rFonts w:eastAsia="Times New Roman"/>
          <w:lang w:val="nl-NL"/>
        </w:rPr>
      </w:pPr>
      <w:bookmarkStart w:id="39" w:name="_Toc242191216"/>
      <w:r>
        <w:rPr>
          <w:rFonts w:eastAsia="Times New Roman"/>
          <w:lang w:val="nl-NL"/>
        </w:rPr>
        <w:t>De Belgische fiscale route</w:t>
      </w:r>
      <w:bookmarkEnd w:id="39"/>
    </w:p>
    <w:p w14:paraId="5EF2D904" w14:textId="77777777" w:rsidR="006B5103" w:rsidRDefault="006B5103">
      <w:pPr>
        <w:pStyle w:val="lead"/>
        <w:divId w:val="2114661829"/>
        <w:rPr>
          <w:lang w:val="nl-NL"/>
        </w:rPr>
      </w:pPr>
      <w:r>
        <w:rPr>
          <w:lang w:val="nl-NL"/>
        </w:rPr>
        <w:t>Tot nu toe toonde dit dossier vooral wat misloopt. Dit hoofdstuk toont het tegenbeeld: de Belgische fiscale route werkt, en levert het gezin jaarlijks een substantieel voordeel op. Vier aftrekposten en verminderingen, waarvan één via een bypass tot stand is gekomen. Die bypass is inmiddels tweemaal bevestigd — eenmaal door de indiening van de aangifte zelf, en eenmaal door een onafhankelijke schriftelijke bevestiging van de fiscus dat de gekozen route juridisch klopt.</w:t>
      </w:r>
    </w:p>
    <w:p w14:paraId="257C6764" w14:textId="77777777" w:rsidR="006B5103" w:rsidRDefault="006B5103">
      <w:pPr>
        <w:pStyle w:val="Kop3"/>
        <w:divId w:val="2114661829"/>
        <w:rPr>
          <w:rFonts w:eastAsia="Times New Roman"/>
          <w:lang w:val="nl-NL"/>
        </w:rPr>
      </w:pPr>
      <w:bookmarkStart w:id="40" w:name="_Toc242191217"/>
      <w:r>
        <w:rPr>
          <w:rFonts w:eastAsia="Times New Roman"/>
          <w:lang w:val="nl-NL"/>
        </w:rPr>
        <w:t>Deel A — Wat er werkt</w:t>
      </w:r>
      <w:bookmarkEnd w:id="40"/>
    </w:p>
    <w:tbl>
      <w:tblPr>
        <w:tblW w:w="5000" w:type="pct"/>
        <w:tblCellMar>
          <w:top w:w="15" w:type="dxa"/>
          <w:left w:w="15" w:type="dxa"/>
          <w:bottom w:w="15" w:type="dxa"/>
          <w:right w:w="15" w:type="dxa"/>
        </w:tblCellMar>
        <w:tblLook w:val="04A0" w:firstRow="1" w:lastRow="0" w:firstColumn="1" w:lastColumn="0" w:noHBand="0" w:noVBand="1"/>
      </w:tblPr>
      <w:tblGrid>
        <w:gridCol w:w="2898"/>
        <w:gridCol w:w="3260"/>
        <w:gridCol w:w="2898"/>
      </w:tblGrid>
      <w:tr w:rsidR="00000000" w14:paraId="317EA310" w14:textId="77777777">
        <w:trPr>
          <w:divId w:val="2114661829"/>
          <w:tblHeader/>
        </w:trPr>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0972140"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Fiscaal voordeel</w:t>
            </w:r>
          </w:p>
        </w:tc>
        <w:tc>
          <w:tcPr>
            <w:tcW w:w="18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0E35763"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Grondslag</w:t>
            </w:r>
          </w:p>
        </w:tc>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C9C4137"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Status in dit dossier</w:t>
            </w:r>
          </w:p>
        </w:tc>
      </w:tr>
      <w:tr w:rsidR="00000000" w14:paraId="13DF09B2"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426C9C" w14:textId="77777777" w:rsidR="006B5103" w:rsidRDefault="006B5103">
            <w:pPr>
              <w:spacing w:before="200" w:after="360"/>
              <w:rPr>
                <w:rFonts w:eastAsia="Times New Roman"/>
                <w:sz w:val="21"/>
                <w:szCs w:val="21"/>
              </w:rPr>
            </w:pPr>
            <w:r>
              <w:rPr>
                <w:rStyle w:val="Zwaar"/>
                <w:rFonts w:eastAsia="Times New Roman"/>
                <w:sz w:val="21"/>
                <w:szCs w:val="21"/>
              </w:rPr>
              <w:t>Verhoogde belastingvrije som</w:t>
            </w:r>
            <w:r>
              <w:rPr>
                <w:rFonts w:eastAsia="Times New Roman"/>
                <w:sz w:val="21"/>
                <w:szCs w:val="21"/>
              </w:rPr>
              <w:t xml:space="preserve"> (code invaliditeit)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94D87AC" w14:textId="77777777" w:rsidR="006B5103" w:rsidRDefault="006B5103">
            <w:pPr>
              <w:spacing w:before="200" w:after="360"/>
              <w:rPr>
                <w:rFonts w:eastAsia="Times New Roman"/>
                <w:sz w:val="21"/>
                <w:szCs w:val="21"/>
              </w:rPr>
            </w:pPr>
            <w:r>
              <w:rPr>
                <w:rFonts w:eastAsia="Times New Roman"/>
                <w:sz w:val="21"/>
                <w:szCs w:val="21"/>
              </w:rPr>
              <w:t>Art. 131 en 135 WIB 92 · blijvend invalide ≥66% · verdienvermogen onder een derde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E5A93A6" w14:textId="77777777" w:rsidR="006B5103" w:rsidRDefault="006B5103">
            <w:pPr>
              <w:spacing w:before="200" w:after="360"/>
              <w:rPr>
                <w:rFonts w:eastAsia="Times New Roman"/>
                <w:sz w:val="21"/>
                <w:szCs w:val="21"/>
              </w:rPr>
            </w:pPr>
            <w:r>
              <w:rPr>
                <w:rFonts w:eastAsia="Times New Roman"/>
                <w:sz w:val="21"/>
                <w:szCs w:val="21"/>
              </w:rPr>
              <w:t>Geactiveerd via bypass, tweemaal bevestigd. Voordeel: € 2.669,97 in de gezamenlijke aangifte 2026.</w:t>
            </w:r>
          </w:p>
        </w:tc>
      </w:tr>
      <w:tr w:rsidR="00000000" w14:paraId="344CEE6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E83A297" w14:textId="77777777" w:rsidR="006B5103" w:rsidRDefault="006B5103">
            <w:pPr>
              <w:spacing w:before="200" w:after="360"/>
              <w:rPr>
                <w:rFonts w:eastAsia="Times New Roman"/>
                <w:sz w:val="21"/>
                <w:szCs w:val="21"/>
              </w:rPr>
            </w:pPr>
            <w:r>
              <w:rPr>
                <w:rStyle w:val="Zwaar"/>
                <w:rFonts w:eastAsia="Times New Roman"/>
                <w:sz w:val="21"/>
                <w:szCs w:val="21"/>
              </w:rPr>
              <w:t>Huwelijksquotiënt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016C26" w14:textId="77777777" w:rsidR="006B5103" w:rsidRDefault="006B5103">
            <w:pPr>
              <w:spacing w:before="200" w:after="360"/>
              <w:rPr>
                <w:rFonts w:eastAsia="Times New Roman"/>
                <w:sz w:val="21"/>
                <w:szCs w:val="21"/>
              </w:rPr>
            </w:pPr>
            <w:r>
              <w:rPr>
                <w:rFonts w:eastAsia="Times New Roman"/>
                <w:sz w:val="21"/>
                <w:szCs w:val="21"/>
              </w:rPr>
              <w:t>Art. 87 WIB 92 · toerekening van een deel van het beroepsinkomen aan de partner met laagste inkomen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09EB9DC" w14:textId="77777777" w:rsidR="006B5103" w:rsidRDefault="006B5103">
            <w:pPr>
              <w:spacing w:before="200" w:after="360"/>
              <w:rPr>
                <w:rFonts w:eastAsia="Times New Roman"/>
                <w:sz w:val="21"/>
                <w:szCs w:val="21"/>
              </w:rPr>
            </w:pPr>
            <w:r>
              <w:rPr>
                <w:rFonts w:eastAsia="Times New Roman"/>
                <w:sz w:val="21"/>
                <w:szCs w:val="21"/>
              </w:rPr>
              <w:t>Automatisch toegepast bij de gezamenlijke aangifte. Verlaagt de belastingdruk op het gezinsinkomen.</w:t>
            </w:r>
          </w:p>
        </w:tc>
      </w:tr>
      <w:tr w:rsidR="00000000" w14:paraId="689DDDF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63028C" w14:textId="77777777" w:rsidR="006B5103" w:rsidRDefault="006B5103">
            <w:pPr>
              <w:spacing w:before="200" w:after="360"/>
              <w:rPr>
                <w:rFonts w:eastAsia="Times New Roman"/>
                <w:sz w:val="21"/>
                <w:szCs w:val="21"/>
              </w:rPr>
            </w:pPr>
            <w:r>
              <w:rPr>
                <w:rStyle w:val="Zwaar"/>
                <w:rFonts w:eastAsia="Times New Roman"/>
                <w:sz w:val="21"/>
                <w:szCs w:val="21"/>
              </w:rPr>
              <w:t>Belastingvermindering kinderopvang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F656484" w14:textId="77777777" w:rsidR="006B5103" w:rsidRDefault="006B5103">
            <w:pPr>
              <w:spacing w:before="200" w:after="360"/>
              <w:rPr>
                <w:rFonts w:eastAsia="Times New Roman"/>
                <w:sz w:val="21"/>
                <w:szCs w:val="21"/>
              </w:rPr>
            </w:pPr>
            <w:r>
              <w:rPr>
                <w:rFonts w:eastAsia="Times New Roman"/>
                <w:sz w:val="21"/>
                <w:szCs w:val="21"/>
              </w:rPr>
              <w:t>Art. 14535 WIB 92 · kosten voor opvang van kinderen onder 14 jaar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FCDE383" w14:textId="77777777" w:rsidR="006B5103" w:rsidRDefault="006B5103">
            <w:pPr>
              <w:spacing w:before="200" w:after="360"/>
              <w:rPr>
                <w:rFonts w:eastAsia="Times New Roman"/>
                <w:sz w:val="21"/>
                <w:szCs w:val="21"/>
              </w:rPr>
            </w:pPr>
            <w:r>
              <w:rPr>
                <w:rFonts w:eastAsia="Times New Roman"/>
                <w:sz w:val="21"/>
                <w:szCs w:val="21"/>
              </w:rPr>
              <w:t>Attest opvang tijdens de vakantie handmatig toegevoegd aan de aangifte 2026.</w:t>
            </w:r>
          </w:p>
        </w:tc>
      </w:tr>
      <w:tr w:rsidR="00000000" w14:paraId="590BD0C5"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B597AF1" w14:textId="77777777" w:rsidR="006B5103" w:rsidRDefault="006B5103">
            <w:pPr>
              <w:spacing w:before="200" w:after="360"/>
              <w:rPr>
                <w:rFonts w:eastAsia="Times New Roman"/>
                <w:sz w:val="21"/>
                <w:szCs w:val="21"/>
              </w:rPr>
            </w:pPr>
            <w:r>
              <w:rPr>
                <w:rStyle w:val="Zwaar"/>
                <w:rFonts w:eastAsia="Times New Roman"/>
                <w:sz w:val="21"/>
                <w:szCs w:val="21"/>
              </w:rPr>
              <w:t>Fiscale aftrek medische kosten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CE2F18" w14:textId="77777777" w:rsidR="006B5103" w:rsidRDefault="006B5103">
            <w:pPr>
              <w:spacing w:before="200" w:after="360"/>
              <w:rPr>
                <w:rFonts w:eastAsia="Times New Roman"/>
                <w:sz w:val="21"/>
                <w:szCs w:val="21"/>
              </w:rPr>
            </w:pPr>
            <w:r>
              <w:rPr>
                <w:rFonts w:eastAsia="Times New Roman"/>
                <w:sz w:val="21"/>
                <w:szCs w:val="21"/>
              </w:rPr>
              <w:t>Art. 140-145 WIB 92 · medische kosten boven een percentage van het inkomen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AF16065" w14:textId="77777777" w:rsidR="006B5103" w:rsidRDefault="006B5103">
            <w:pPr>
              <w:spacing w:before="200" w:after="360"/>
              <w:rPr>
                <w:rFonts w:eastAsia="Times New Roman"/>
                <w:sz w:val="21"/>
                <w:szCs w:val="21"/>
              </w:rPr>
            </w:pPr>
            <w:r>
              <w:rPr>
                <w:rFonts w:eastAsia="Times New Roman"/>
                <w:sz w:val="21"/>
                <w:szCs w:val="21"/>
              </w:rPr>
              <w:t>Deels aftrekbaar. Beperkte impact zolang het inkomen laag blijft.</w:t>
            </w:r>
          </w:p>
        </w:tc>
      </w:tr>
    </w:tbl>
    <w:p w14:paraId="3554EA63" w14:textId="77777777" w:rsidR="006B5103" w:rsidRDefault="006B5103">
      <w:pPr>
        <w:divId w:val="2114661829"/>
        <w:rPr>
          <w:rFonts w:eastAsia="Times New Roman"/>
          <w:vanish/>
          <w:lang w:val="nl-NL"/>
        </w:rPr>
      </w:pP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19E2B0D"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5B0A31F" w14:textId="77777777" w:rsidR="006B5103" w:rsidRDefault="006B5103">
            <w:pPr>
              <w:pStyle w:val="Normaalweb"/>
              <w:spacing w:before="120"/>
              <w:jc w:val="center"/>
              <w:rPr>
                <w:sz w:val="21"/>
                <w:szCs w:val="21"/>
              </w:rPr>
            </w:pPr>
            <w:r>
              <w:rPr>
                <w:noProof/>
                <w:sz w:val="21"/>
                <w:szCs w:val="21"/>
              </w:rPr>
              <w:drawing>
                <wp:inline distT="0" distB="0" distL="0" distR="0" wp14:anchorId="5EC15EA8" wp14:editId="26A14A5D">
                  <wp:extent cx="5715000" cy="2190750"/>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5715000" cy="2190750"/>
                          </a:xfrm>
                          <a:prstGeom prst="rect">
                            <a:avLst/>
                          </a:prstGeom>
                          <a:noFill/>
                          <a:ln>
                            <a:noFill/>
                          </a:ln>
                        </pic:spPr>
                      </pic:pic>
                    </a:graphicData>
                  </a:graphic>
                </wp:inline>
              </w:drawing>
            </w:r>
          </w:p>
          <w:p w14:paraId="346E96DB" w14:textId="77777777" w:rsidR="006B5103" w:rsidRDefault="006B5103">
            <w:pPr>
              <w:pStyle w:val="caption"/>
              <w:spacing w:after="120" w:afterAutospacing="0"/>
            </w:pPr>
            <w:r>
              <w:rPr>
                <w:rStyle w:val="Zwaar"/>
              </w:rPr>
              <w:t>Figuur VI.1 — De vier werkende fiscale stromen.</w:t>
            </w:r>
            <w:r>
              <w:t xml:space="preserve"> Drie groene stromen: verhoogde belastingvrije som, huwelijksquotiënt en kinderopvang. Eén oranje stroom: de medische kosten (drempel). Samen bepalen ze het fiscale voordeel in de jaarlijkse Belgische aangifte.</w:t>
            </w:r>
          </w:p>
        </w:tc>
      </w:tr>
    </w:tbl>
    <w:p w14:paraId="7BE63CE1" w14:textId="77777777" w:rsidR="006B5103" w:rsidRDefault="006B5103">
      <w:pPr>
        <w:pStyle w:val="Kop3"/>
        <w:divId w:val="2114661829"/>
        <w:rPr>
          <w:rFonts w:eastAsia="Times New Roman"/>
          <w:lang w:val="nl-NL"/>
        </w:rPr>
      </w:pPr>
      <w:bookmarkStart w:id="41" w:name="_Toc242191218"/>
      <w:r>
        <w:rPr>
          <w:rFonts w:eastAsia="Times New Roman"/>
          <w:lang w:val="nl-NL"/>
        </w:rPr>
        <w:t>Deel B — De bypass voor de verhoogde belastingvrije som</w:t>
      </w:r>
      <w:bookmarkEnd w:id="41"/>
    </w:p>
    <w:p w14:paraId="4ABA758E" w14:textId="77777777" w:rsidR="006B5103" w:rsidRDefault="006B5103">
      <w:pPr>
        <w:pStyle w:val="Kop4"/>
        <w:divId w:val="2114661829"/>
        <w:rPr>
          <w:rFonts w:eastAsia="Times New Roman"/>
          <w:lang w:val="nl-NL"/>
        </w:rPr>
      </w:pPr>
      <w:r>
        <w:rPr>
          <w:rFonts w:eastAsia="Times New Roman"/>
          <w:lang w:val="nl-NL"/>
        </w:rPr>
        <w:t>Het probleem</w:t>
      </w:r>
    </w:p>
    <w:p w14:paraId="6E3C9F20" w14:textId="77777777" w:rsidR="006B5103" w:rsidRDefault="006B5103">
      <w:pPr>
        <w:pStyle w:val="Normaalweb"/>
        <w:divId w:val="2114661829"/>
        <w:rPr>
          <w:lang w:val="nl-NL"/>
        </w:rPr>
      </w:pPr>
      <w:r>
        <w:rPr>
          <w:lang w:val="nl-NL"/>
        </w:rPr>
        <w:t>Drie blokkades op de gewone weg:</w:t>
      </w:r>
    </w:p>
    <w:p w14:paraId="26B186F6" w14:textId="77777777" w:rsidR="006B5103" w:rsidRDefault="006B5103">
      <w:pPr>
        <w:numPr>
          <w:ilvl w:val="0"/>
          <w:numId w:val="7"/>
        </w:numPr>
        <w:spacing w:before="100" w:beforeAutospacing="1" w:after="100" w:afterAutospacing="1"/>
        <w:divId w:val="2114661829"/>
        <w:rPr>
          <w:rFonts w:eastAsia="Times New Roman"/>
          <w:lang w:val="nl-NL"/>
        </w:rPr>
      </w:pPr>
      <w:r>
        <w:rPr>
          <w:rFonts w:eastAsia="Times New Roman"/>
          <w:lang w:val="nl-NL"/>
        </w:rPr>
        <w:t>De ziekte-uitkering wordt geweigerd, dus geen erkenning van arbeidsongeschiktheid.</w:t>
      </w:r>
    </w:p>
    <w:p w14:paraId="03935A6C" w14:textId="77777777" w:rsidR="006B5103" w:rsidRDefault="006B5103">
      <w:pPr>
        <w:numPr>
          <w:ilvl w:val="0"/>
          <w:numId w:val="7"/>
        </w:numPr>
        <w:spacing w:before="100" w:beforeAutospacing="1" w:after="100" w:afterAutospacing="1"/>
        <w:divId w:val="2114661829"/>
        <w:rPr>
          <w:rFonts w:eastAsia="Times New Roman"/>
          <w:lang w:val="nl-NL"/>
        </w:rPr>
      </w:pPr>
      <w:r>
        <w:rPr>
          <w:rFonts w:eastAsia="Times New Roman"/>
          <w:lang w:val="nl-NL"/>
        </w:rPr>
        <w:t>De Kruispuntbank wordt niet bijgewerkt, dus andere instanties zien geen ziektestatus.</w:t>
      </w:r>
    </w:p>
    <w:p w14:paraId="4700868C" w14:textId="77777777" w:rsidR="006B5103" w:rsidRDefault="006B5103">
      <w:pPr>
        <w:numPr>
          <w:ilvl w:val="0"/>
          <w:numId w:val="7"/>
        </w:numPr>
        <w:spacing w:before="100" w:beforeAutospacing="1" w:after="100" w:afterAutospacing="1"/>
        <w:divId w:val="2114661829"/>
        <w:rPr>
          <w:rFonts w:eastAsia="Times New Roman"/>
          <w:lang w:val="nl-NL"/>
        </w:rPr>
      </w:pPr>
      <w:r>
        <w:rPr>
          <w:rFonts w:eastAsia="Times New Roman"/>
          <w:lang w:val="nl-NL"/>
        </w:rPr>
        <w:t>De federale handicapdienst kent 8 punten toe. De fiscale drempel ligt op 9.</w:t>
      </w:r>
    </w:p>
    <w:p w14:paraId="7A36943A" w14:textId="77777777" w:rsidR="006B5103" w:rsidRDefault="006B5103">
      <w:pPr>
        <w:pStyle w:val="Kop4"/>
        <w:divId w:val="2114661829"/>
        <w:rPr>
          <w:rFonts w:eastAsia="Times New Roman"/>
          <w:lang w:val="nl-NL"/>
        </w:rPr>
      </w:pPr>
      <w:r>
        <w:rPr>
          <w:rFonts w:eastAsia="Times New Roman"/>
          <w:lang w:val="nl-NL"/>
        </w:rPr>
        <w:t>De oplossing</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0A3F08A"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AE18071" w14:textId="77777777" w:rsidR="006B5103" w:rsidRDefault="006B5103">
            <w:pPr>
              <w:pStyle w:val="Normaalweb"/>
              <w:spacing w:before="120"/>
              <w:jc w:val="center"/>
              <w:rPr>
                <w:sz w:val="21"/>
                <w:szCs w:val="21"/>
              </w:rPr>
            </w:pPr>
            <w:r>
              <w:rPr>
                <w:noProof/>
                <w:sz w:val="21"/>
                <w:szCs w:val="21"/>
              </w:rPr>
              <w:drawing>
                <wp:inline distT="0" distB="0" distL="0" distR="0" wp14:anchorId="6AC72E64" wp14:editId="14AEA795">
                  <wp:extent cx="5715000" cy="32194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link="rId29">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p>
          <w:p w14:paraId="58091CD5" w14:textId="77777777" w:rsidR="006B5103" w:rsidRDefault="006B5103">
            <w:pPr>
              <w:pStyle w:val="caption"/>
              <w:spacing w:after="120" w:afterAutospacing="0"/>
            </w:pPr>
            <w:r>
              <w:rPr>
                <w:rStyle w:val="Zwaar"/>
              </w:rPr>
              <w:t>Figuur VI.2 — De fiscale bypass.</w:t>
            </w:r>
            <w:r>
              <w:t xml:space="preserve"> Drie blokkades op de gewone weg. De belastingdienst is juridisch losgekoppeld van de uitkeringsroute en mag een eigen medisch bewijs aanvaarden. Eén document van de huisarts, opgesteld in de taal van de fiscus, activeert de verhoogde belastingvrije som zonder de centrale databank te wijzigen.</w:t>
            </w:r>
          </w:p>
        </w:tc>
      </w:tr>
    </w:tbl>
    <w:p w14:paraId="5C4FE42E" w14:textId="77777777" w:rsidR="006B5103" w:rsidRDefault="006B5103">
      <w:pPr>
        <w:pStyle w:val="Kop3"/>
        <w:divId w:val="2114661829"/>
        <w:rPr>
          <w:rFonts w:eastAsia="Times New Roman"/>
          <w:lang w:val="nl-NL"/>
        </w:rPr>
      </w:pPr>
      <w:bookmarkStart w:id="42" w:name="_Toc242191219"/>
      <w:r>
        <w:rPr>
          <w:rFonts w:eastAsia="Times New Roman"/>
          <w:lang w:val="nl-NL"/>
        </w:rPr>
        <w:t>Deel C — De dubbele bevestiging</w:t>
      </w:r>
      <w:bookmarkEnd w:id="42"/>
    </w:p>
    <w:p w14:paraId="7FF190E6" w14:textId="77777777" w:rsidR="006B5103" w:rsidRDefault="006B5103">
      <w:pPr>
        <w:pStyle w:val="Normaalweb"/>
        <w:divId w:val="2114661829"/>
        <w:rPr>
          <w:lang w:val="nl-NL"/>
        </w:rPr>
      </w:pPr>
      <w:r>
        <w:rPr>
          <w:lang w:val="nl-NL"/>
        </w:rPr>
        <w:t>De bypass rust op één aanname: dat de fiscus een medisch attest van de huisarts aanvaardt zonder tussenkomst van de FOD Sociale Zekerheid. Die aanname is in dit dossier op twee onafhankelijke manieren bevestigd.</w:t>
      </w:r>
    </w:p>
    <w:p w14:paraId="7150BFBD" w14:textId="77777777" w:rsidR="006B5103" w:rsidRDefault="006B5103">
      <w:pPr>
        <w:pStyle w:val="Kop4"/>
        <w:divId w:val="2114661829"/>
        <w:rPr>
          <w:rFonts w:eastAsia="Times New Roman"/>
          <w:lang w:val="nl-NL"/>
        </w:rPr>
      </w:pPr>
      <w:r>
        <w:rPr>
          <w:rFonts w:eastAsia="Times New Roman"/>
          <w:lang w:val="nl-NL"/>
        </w:rPr>
        <w:t>Eerste bevestiging — de indiening zelf</w:t>
      </w:r>
    </w:p>
    <w:p w14:paraId="41D89CFD" w14:textId="77777777" w:rsidR="006B5103" w:rsidRDefault="006B5103">
      <w:pPr>
        <w:pStyle w:val="Normaalweb"/>
        <w:divId w:val="2114661829"/>
        <w:rPr>
          <w:lang w:val="nl-NL"/>
        </w:rPr>
      </w:pPr>
      <w:r>
        <w:rPr>
          <w:lang w:val="nl-NL"/>
        </w:rPr>
        <w:t>Op 25 september 2026 is de definitieve aangifte Belasting Niet-Inwoners (aanslagjaar 2026, inkomstenjaar 2025) ingediend door de fiscale dienst van het ACV. In de aangifte zijn opgenomen:</w:t>
      </w:r>
    </w:p>
    <w:p w14:paraId="2E0B5BF8" w14:textId="77777777" w:rsidR="006B5103" w:rsidRDefault="006B5103">
      <w:pPr>
        <w:numPr>
          <w:ilvl w:val="0"/>
          <w:numId w:val="8"/>
        </w:numPr>
        <w:spacing w:before="100" w:beforeAutospacing="1" w:after="100" w:afterAutospacing="1"/>
        <w:divId w:val="2114661829"/>
        <w:rPr>
          <w:rFonts w:eastAsia="Times New Roman"/>
          <w:lang w:val="nl-NL"/>
        </w:rPr>
      </w:pPr>
      <w:r>
        <w:rPr>
          <w:rFonts w:eastAsia="Times New Roman"/>
          <w:lang w:val="nl-NL"/>
        </w:rPr>
        <w:t>De code invaliditeit voor de partner ten laste, op basis van het toegevoegde medisch getuigschrift van de huisarts.</w:t>
      </w:r>
    </w:p>
    <w:p w14:paraId="04D40C91" w14:textId="77777777" w:rsidR="006B5103" w:rsidRDefault="006B5103">
      <w:pPr>
        <w:numPr>
          <w:ilvl w:val="0"/>
          <w:numId w:val="8"/>
        </w:numPr>
        <w:spacing w:before="100" w:beforeAutospacing="1" w:after="100" w:afterAutospacing="1"/>
        <w:divId w:val="2114661829"/>
        <w:rPr>
          <w:rFonts w:eastAsia="Times New Roman"/>
          <w:lang w:val="nl-NL"/>
        </w:rPr>
      </w:pPr>
      <w:r>
        <w:rPr>
          <w:rFonts w:eastAsia="Times New Roman"/>
          <w:lang w:val="nl-NL"/>
        </w:rPr>
        <w:t>1 kind ten laste.</w:t>
      </w:r>
    </w:p>
    <w:p w14:paraId="55F2D77D" w14:textId="77777777" w:rsidR="006B5103" w:rsidRDefault="006B5103">
      <w:pPr>
        <w:numPr>
          <w:ilvl w:val="0"/>
          <w:numId w:val="8"/>
        </w:numPr>
        <w:spacing w:before="100" w:beforeAutospacing="1" w:after="100" w:afterAutospacing="1"/>
        <w:divId w:val="2114661829"/>
        <w:rPr>
          <w:rFonts w:eastAsia="Times New Roman"/>
          <w:lang w:val="nl-NL"/>
        </w:rPr>
      </w:pPr>
      <w:r>
        <w:rPr>
          <w:rFonts w:eastAsia="Times New Roman"/>
          <w:lang w:val="nl-NL"/>
        </w:rPr>
        <w:t>2 attesten voor opvangkosten, handmatig toegevoegd.</w:t>
      </w:r>
    </w:p>
    <w:p w14:paraId="6041B4D1" w14:textId="77777777" w:rsidR="006B5103" w:rsidRDefault="006B5103">
      <w:pPr>
        <w:numPr>
          <w:ilvl w:val="0"/>
          <w:numId w:val="8"/>
        </w:numPr>
        <w:spacing w:before="100" w:beforeAutospacing="1" w:after="100" w:afterAutospacing="1"/>
        <w:divId w:val="2114661829"/>
        <w:rPr>
          <w:rFonts w:eastAsia="Times New Roman"/>
          <w:lang w:val="nl-NL"/>
        </w:rPr>
      </w:pPr>
      <w:r>
        <w:rPr>
          <w:rFonts w:eastAsia="Times New Roman"/>
          <w:lang w:val="nl-NL"/>
        </w:rPr>
        <w:t>Bevestiging van € 0,00 aan Nederlandse inkomsten of uitkeringen.</w:t>
      </w:r>
    </w:p>
    <w:p w14:paraId="53C2B108" w14:textId="77777777" w:rsidR="006B5103" w:rsidRDefault="006B5103">
      <w:pPr>
        <w:pStyle w:val="Normaalweb"/>
        <w:divId w:val="2114661829"/>
        <w:rPr>
          <w:lang w:val="nl-NL"/>
        </w:rPr>
      </w:pPr>
      <w:r>
        <w:rPr>
          <w:lang w:val="nl-NL"/>
        </w:rPr>
        <w:t xml:space="preserve">Het resultaat: </w:t>
      </w:r>
      <w:r>
        <w:rPr>
          <w:rStyle w:val="Zwaar"/>
          <w:lang w:val="nl-NL"/>
        </w:rPr>
        <w:t>€ 2.669,97 in het voordeel van het gezin</w:t>
      </w:r>
      <w:r>
        <w:rPr>
          <w:lang w:val="nl-NL"/>
        </w:rPr>
        <w:t>. De aangifte is op 25 september 2026 ingediend met een berekend saldo; definitieve verwerking en het aanslagbiljet van de FOD Financiën worden afgewacht.</w:t>
      </w:r>
    </w:p>
    <w:p w14:paraId="6F0E6A74" w14:textId="77777777" w:rsidR="006B5103" w:rsidRDefault="006B5103">
      <w:pPr>
        <w:pStyle w:val="Kop4"/>
        <w:divId w:val="2114661829"/>
        <w:rPr>
          <w:rFonts w:eastAsia="Times New Roman"/>
          <w:lang w:val="nl-NL"/>
        </w:rPr>
      </w:pPr>
      <w:r>
        <w:rPr>
          <w:rFonts w:eastAsia="Times New Roman"/>
          <w:lang w:val="nl-NL"/>
        </w:rPr>
        <w:t>Tweede bevestiging — de onafhankelijke toets</w:t>
      </w:r>
    </w:p>
    <w:p w14:paraId="1716C939" w14:textId="77777777" w:rsidR="006B5103" w:rsidRDefault="006B5103">
      <w:pPr>
        <w:pStyle w:val="Normaalweb"/>
        <w:divId w:val="2114661829"/>
        <w:rPr>
          <w:lang w:val="nl-NL"/>
        </w:rPr>
      </w:pPr>
      <w:r>
        <w:rPr>
          <w:lang w:val="nl-NL"/>
        </w:rPr>
        <w:t>Parallel aan de indiening heeft een onafhankelijk onderzoeker grensarbeid — werkzaam aan een academische instelling en niet bij het dossier betrokken — bij de FOD Financiën een anonieme navraag gedaan. De vraag was of het spontaan toevoegen van medische verklaringen bij de aangifte een geldige route is om de fiscale handicapstatus naar Belgisch recht aan te tonen.</w:t>
      </w:r>
    </w:p>
    <w:p w14:paraId="60324488" w14:textId="77777777" w:rsidR="006B5103" w:rsidRDefault="006B5103">
      <w:pPr>
        <w:pStyle w:val="Normaalweb"/>
        <w:divId w:val="2114661829"/>
        <w:rPr>
          <w:lang w:val="nl-NL"/>
        </w:rPr>
      </w:pPr>
      <w:r>
        <w:rPr>
          <w:lang w:val="nl-NL"/>
        </w:rPr>
        <w:t>De FOD Financiën, Team Beheer en Dienstverlening Belasting Niet-Inwoners (PG15 Ledeberg), heeft dit schriftelijk bevestigd. In twee opeenvolgende antwoorden stelt de fiscus dat:</w:t>
      </w:r>
    </w:p>
    <w:p w14:paraId="037BF16C" w14:textId="77777777" w:rsidR="006B5103" w:rsidRDefault="006B5103">
      <w:pPr>
        <w:numPr>
          <w:ilvl w:val="0"/>
          <w:numId w:val="9"/>
        </w:numPr>
        <w:spacing w:before="100" w:beforeAutospacing="1" w:after="100" w:afterAutospacing="1"/>
        <w:divId w:val="2114661829"/>
        <w:rPr>
          <w:rFonts w:eastAsia="Times New Roman"/>
          <w:lang w:val="nl-NL"/>
        </w:rPr>
      </w:pPr>
      <w:r>
        <w:rPr>
          <w:rFonts w:eastAsia="Times New Roman"/>
          <w:lang w:val="nl-NL"/>
        </w:rPr>
        <w:t>Bij afwezigheid van een vervangingsinkomen boven € 13.460 een fiscaal verschil ontstaat.</w:t>
      </w:r>
    </w:p>
    <w:p w14:paraId="44E971CF" w14:textId="77777777" w:rsidR="006B5103" w:rsidRDefault="006B5103">
      <w:pPr>
        <w:numPr>
          <w:ilvl w:val="0"/>
          <w:numId w:val="9"/>
        </w:numPr>
        <w:spacing w:before="100" w:beforeAutospacing="1" w:after="100" w:afterAutospacing="1"/>
        <w:divId w:val="2114661829"/>
        <w:rPr>
          <w:rFonts w:eastAsia="Times New Roman"/>
          <w:lang w:val="nl-NL"/>
        </w:rPr>
      </w:pPr>
      <w:r>
        <w:rPr>
          <w:rFonts w:eastAsia="Times New Roman"/>
          <w:lang w:val="nl-NL"/>
        </w:rPr>
        <w:t>Het nuttig is om spontaan de medische verklaringen bij de aangifte te voegen.</w:t>
      </w:r>
    </w:p>
    <w:p w14:paraId="4ABFE72B" w14:textId="77777777" w:rsidR="006B5103" w:rsidRDefault="006B5103">
      <w:pPr>
        <w:numPr>
          <w:ilvl w:val="0"/>
          <w:numId w:val="9"/>
        </w:numPr>
        <w:spacing w:before="100" w:beforeAutospacing="1" w:after="100" w:afterAutospacing="1"/>
        <w:divId w:val="2114661829"/>
        <w:rPr>
          <w:rFonts w:eastAsia="Times New Roman"/>
          <w:lang w:val="nl-NL"/>
        </w:rPr>
      </w:pPr>
      <w:r>
        <w:rPr>
          <w:rFonts w:eastAsia="Times New Roman"/>
          <w:lang w:val="nl-NL"/>
        </w:rPr>
        <w:t>De administratie daaruit kan afleiden dat de betrokkene naar Belgisch recht fiscaal als gehandicapt moet worden aangemerkt.</w:t>
      </w:r>
    </w:p>
    <w:p w14:paraId="3F1435B6" w14:textId="77777777" w:rsidR="006B5103" w:rsidRDefault="006B5103">
      <w:pPr>
        <w:pStyle w:val="Normaalweb"/>
        <w:divId w:val="2114661829"/>
        <w:rPr>
          <w:lang w:val="nl-NL"/>
        </w:rPr>
      </w:pPr>
      <w:r>
        <w:rPr>
          <w:lang w:val="nl-NL"/>
        </w:rPr>
        <w:t>Wat dit oplevert, is dat de bypass niet alleen in de praktijk werkt, maar dat de fiscus zelf bevestigt dat de gekozen route juridisch klopt. Er is geen sprake meer van een gok of een gunst. Het is een formele bevestiging dat de weg die het gezin heeft gevonden, de juiste weg is.</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66559E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55D5FD6" w14:textId="77777777" w:rsidR="006B5103" w:rsidRDefault="006B5103">
            <w:pPr>
              <w:pStyle w:val="Normaalweb"/>
              <w:spacing w:before="120"/>
              <w:jc w:val="center"/>
              <w:rPr>
                <w:sz w:val="21"/>
                <w:szCs w:val="21"/>
              </w:rPr>
            </w:pPr>
            <w:r>
              <w:rPr>
                <w:noProof/>
                <w:sz w:val="21"/>
                <w:szCs w:val="21"/>
              </w:rPr>
              <w:drawing>
                <wp:inline distT="0" distB="0" distL="0" distR="0" wp14:anchorId="5040C642" wp14:editId="0B5FB1C9">
                  <wp:extent cx="5715000" cy="161925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link="rId30">
                            <a:extLst>
                              <a:ext uri="{28A0092B-C50C-407E-A947-70E740481C1C}">
                                <a14:useLocalDpi xmlns:a14="http://schemas.microsoft.com/office/drawing/2010/main" val="0"/>
                              </a:ext>
                            </a:extLst>
                          </a:blip>
                          <a:srcRect/>
                          <a:stretch>
                            <a:fillRect/>
                          </a:stretch>
                        </pic:blipFill>
                        <pic:spPr bwMode="auto">
                          <a:xfrm>
                            <a:off x="0" y="0"/>
                            <a:ext cx="5715000" cy="1619250"/>
                          </a:xfrm>
                          <a:prstGeom prst="rect">
                            <a:avLst/>
                          </a:prstGeom>
                          <a:noFill/>
                          <a:ln>
                            <a:noFill/>
                          </a:ln>
                        </pic:spPr>
                      </pic:pic>
                    </a:graphicData>
                  </a:graphic>
                </wp:inline>
              </w:drawing>
            </w:r>
          </w:p>
          <w:p w14:paraId="6A324A9D" w14:textId="77777777" w:rsidR="006B5103" w:rsidRDefault="006B5103">
            <w:pPr>
              <w:pStyle w:val="caption"/>
              <w:spacing w:after="120" w:afterAutospacing="0"/>
            </w:pPr>
            <w:r>
              <w:rPr>
                <w:rStyle w:val="Zwaar"/>
              </w:rPr>
              <w:t>Figuur VI.3 — De dubbele bevestiging.</w:t>
            </w:r>
            <w:r>
              <w:t xml:space="preserve"> Dezelfde bypass-route is tweemaal bevestigd: eenmaal in de praktijk (de definitief ingediende aangifte met berekend voordeel), eenmaal in theorie (de schriftelijke bevestiging van de fiscus aan een onafhankelijke onderzoeker).</w:t>
            </w:r>
          </w:p>
        </w:tc>
      </w:tr>
    </w:tbl>
    <w:p w14:paraId="1935D559" w14:textId="77777777" w:rsidR="006B5103" w:rsidRDefault="006B5103">
      <w:pPr>
        <w:pStyle w:val="Kop3"/>
        <w:divId w:val="2114661829"/>
        <w:rPr>
          <w:rFonts w:eastAsia="Times New Roman"/>
          <w:lang w:val="nl-NL"/>
        </w:rPr>
      </w:pPr>
      <w:bookmarkStart w:id="43" w:name="_Toc242191220"/>
      <w:r>
        <w:rPr>
          <w:rFonts w:eastAsia="Times New Roman"/>
          <w:lang w:val="nl-NL"/>
        </w:rPr>
        <w:t>Deel D — AGODI: het bewegende doelwit en de uiteindelijke afronding</w:t>
      </w:r>
      <w:bookmarkEnd w:id="43"/>
    </w:p>
    <w:p w14:paraId="41466B2F" w14:textId="77777777" w:rsidR="006B5103" w:rsidRDefault="006B5103">
      <w:pPr>
        <w:pStyle w:val="Normaalweb"/>
        <w:divId w:val="2114661829"/>
        <w:rPr>
          <w:lang w:val="nl-NL"/>
        </w:rPr>
      </w:pPr>
      <w:r>
        <w:rPr>
          <w:lang w:val="nl-NL"/>
        </w:rPr>
        <w:t>Het Agentschap voor Onderwijsdiensten (AGODI) is het Vlaamse agentschap dat de loonadministratie van onderwijspersoneel verzorgt. In dit dossier is AGODI de werkgeversschakel van de moeder. Wanneer de federale fiscale voordelen worden geactiveerd, moet AGODI die doorvertalen naar de loonadministratie. En daar gaat het aanvankelijk mis.</w:t>
      </w:r>
    </w:p>
    <w:p w14:paraId="458AB839" w14:textId="77777777" w:rsidR="006B5103" w:rsidRDefault="006B5103">
      <w:pPr>
        <w:pStyle w:val="Kop4"/>
        <w:divId w:val="2114661829"/>
        <w:rPr>
          <w:rFonts w:eastAsia="Times New Roman"/>
          <w:lang w:val="nl-NL"/>
        </w:rPr>
      </w:pPr>
      <w:r>
        <w:rPr>
          <w:rFonts w:eastAsia="Times New Roman"/>
          <w:lang w:val="nl-NL"/>
        </w:rPr>
        <w:t>De eerste weigering — 25 maart 2026</w:t>
      </w:r>
    </w:p>
    <w:p w14:paraId="75CA4DDA" w14:textId="77777777" w:rsidR="006B5103" w:rsidRDefault="006B5103">
      <w:pPr>
        <w:pStyle w:val="Normaalweb"/>
        <w:divId w:val="2114661829"/>
        <w:rPr>
          <w:lang w:val="nl-NL"/>
        </w:rPr>
      </w:pPr>
      <w:r>
        <w:rPr>
          <w:lang w:val="nl-NL"/>
        </w:rPr>
        <w:t>AGODI weigert de retroactieve wijziging van de bedrijfsvoorheffing inzake de lerarenvrijstelling onder het dubbelbelastingverdrag. De reden: de fiscale fiches uit het verleden zijn al afgeleverd.</w:t>
      </w:r>
    </w:p>
    <w:p w14:paraId="6D199AA8" w14:textId="77777777" w:rsidR="006B5103" w:rsidRDefault="006B5103">
      <w:pPr>
        <w:pStyle w:val="Kop4"/>
        <w:divId w:val="2114661829"/>
        <w:rPr>
          <w:rFonts w:eastAsia="Times New Roman"/>
          <w:lang w:val="nl-NL"/>
        </w:rPr>
      </w:pPr>
      <w:r>
        <w:rPr>
          <w:rFonts w:eastAsia="Times New Roman"/>
          <w:lang w:val="nl-NL"/>
        </w:rPr>
        <w:t>De medische interpretatie — 24 augustus 2026</w:t>
      </w:r>
    </w:p>
    <w:p w14:paraId="0A4EFF9E" w14:textId="77777777" w:rsidR="006B5103" w:rsidRDefault="006B5103">
      <w:pPr>
        <w:pStyle w:val="Normaalweb"/>
        <w:divId w:val="2114661829"/>
        <w:rPr>
          <w:lang w:val="nl-NL"/>
        </w:rPr>
      </w:pPr>
      <w:r>
        <w:rPr>
          <w:lang w:val="nl-NL"/>
        </w:rPr>
        <w:t>AGODI weigert de aanpassing op basis van het federale attest van 8 punten. De loonadministratie eigent zich een medisch-fiscale beoordeling toe: het attest zou uitsluitend geldig zijn voor een parkeerkaart, en er zijn normaal 9 punten vereist voor verminderde bedrijfsvoorheffing.</w:t>
      </w:r>
    </w:p>
    <w:p w14:paraId="13B1091F" w14:textId="77777777" w:rsidR="006B5103" w:rsidRDefault="006B5103">
      <w:pPr>
        <w:pStyle w:val="Kop4"/>
        <w:divId w:val="2114661829"/>
        <w:rPr>
          <w:rFonts w:eastAsia="Times New Roman"/>
          <w:lang w:val="nl-NL"/>
        </w:rPr>
      </w:pPr>
      <w:r>
        <w:rPr>
          <w:rFonts w:eastAsia="Times New Roman"/>
          <w:lang w:val="nl-NL"/>
        </w:rPr>
        <w:t>De volledige draai — 8 september 2026</w:t>
      </w:r>
    </w:p>
    <w:p w14:paraId="09B7B0FF" w14:textId="77777777" w:rsidR="006B5103" w:rsidRDefault="006B5103">
      <w:pPr>
        <w:pStyle w:val="Normaalweb"/>
        <w:divId w:val="2114661829"/>
        <w:rPr>
          <w:lang w:val="nl-NL"/>
        </w:rPr>
      </w:pPr>
      <w:r>
        <w:rPr>
          <w:lang w:val="nl-NL"/>
        </w:rPr>
        <w:t>Wanneer het sluitende medische getuigschrift (blijvend invalide ≥66%, verdienvermogen verminderd tot een derde) wordt ingediend, draait AGODI volledig. De instantie stelt plots dat zij geen bewijsstukken hoeven te ontvangen, dat de school uitsluitend een elektronische aanpassing moet sturen, en dat de belastingen uiteindelijk de afrekening maken.</w:t>
      </w:r>
    </w:p>
    <w:p w14:paraId="670DEC18" w14:textId="77777777" w:rsidR="006B5103" w:rsidRDefault="006B5103">
      <w:pPr>
        <w:pStyle w:val="Kop4"/>
        <w:divId w:val="2114661829"/>
        <w:rPr>
          <w:rFonts w:eastAsia="Times New Roman"/>
          <w:lang w:val="nl-NL"/>
        </w:rPr>
      </w:pPr>
      <w:r>
        <w:rPr>
          <w:rFonts w:eastAsia="Times New Roman"/>
          <w:lang w:val="nl-NL"/>
        </w:rPr>
        <w:t>De definitieve afronding — 25 september 2026</w:t>
      </w:r>
    </w:p>
    <w:p w14:paraId="1C273D2C" w14:textId="77777777" w:rsidR="006B5103" w:rsidRDefault="006B5103">
      <w:pPr>
        <w:pStyle w:val="Normaalweb"/>
        <w:divId w:val="2114661829"/>
        <w:rPr>
          <w:lang w:val="nl-NL"/>
        </w:rPr>
      </w:pPr>
      <w:r>
        <w:rPr>
          <w:lang w:val="nl-NL"/>
        </w:rPr>
        <w:t>Het schoolsecretariaat heeft op 23 september 2026 het officiële bericht "wijziging fiscale toestand mindervalide partner" geregistreerd in het personeelssysteem Informat (berichtnummer 4, [stamboeknummer partner]). Met dit elektronische signaal wordt met terugwerkende kracht vanaf 1 januari 2026 vastgelegd dat de partner ten laste geen beroepsinkomsten heeft en formeel als mindervalide staat geregistreerd. De administratieve weg is daarmee volledig afgelegd.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64EF3EF"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8627C67" w14:textId="77777777" w:rsidR="006B5103" w:rsidRDefault="006B5103">
            <w:pPr>
              <w:pStyle w:val="Normaalweb"/>
              <w:spacing w:before="120"/>
              <w:jc w:val="center"/>
              <w:rPr>
                <w:sz w:val="21"/>
                <w:szCs w:val="21"/>
              </w:rPr>
            </w:pPr>
            <w:r>
              <w:rPr>
                <w:noProof/>
                <w:sz w:val="21"/>
                <w:szCs w:val="21"/>
              </w:rPr>
              <w:drawing>
                <wp:inline distT="0" distB="0" distL="0" distR="0" wp14:anchorId="651299BB" wp14:editId="71341766">
                  <wp:extent cx="5715000" cy="247650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654B56D4" w14:textId="77777777" w:rsidR="006B5103" w:rsidRDefault="006B5103">
            <w:pPr>
              <w:pStyle w:val="caption"/>
              <w:spacing w:after="120" w:afterAutospacing="0"/>
            </w:pPr>
            <w:r>
              <w:rPr>
                <w:rStyle w:val="Zwaar"/>
              </w:rPr>
              <w:t>Figuur VI.4 — Van bewegend doelwit naar definitieve afronding.</w:t>
            </w:r>
            <w:r>
              <w:t xml:space="preserve"> Drie rondes van weigering, gevolgd door de definitieve registratie van het elektronische signaal. Wat aanvankelijk onmogelijk leek, is nu administratief afgerond.</w:t>
            </w:r>
          </w:p>
        </w:tc>
      </w:tr>
    </w:tbl>
    <w:p w14:paraId="6DF0E765" w14:textId="77777777" w:rsidR="006B5103" w:rsidRDefault="006B5103">
      <w:pPr>
        <w:pStyle w:val="Kop3"/>
        <w:divId w:val="2114661829"/>
        <w:rPr>
          <w:rFonts w:eastAsia="Times New Roman"/>
          <w:lang w:val="nl-NL"/>
        </w:rPr>
      </w:pPr>
      <w:bookmarkStart w:id="44" w:name="_Toc242191221"/>
      <w:r>
        <w:rPr>
          <w:rFonts w:eastAsia="Times New Roman"/>
          <w:lang w:val="nl-NL"/>
        </w:rPr>
        <w:t>Deel E — Wat dit hoofdstuk vaststelt</w:t>
      </w:r>
      <w:bookmarkEnd w:id="44"/>
    </w:p>
    <w:p w14:paraId="4DEA0A26" w14:textId="77777777" w:rsidR="006B5103" w:rsidRDefault="006B5103">
      <w:pPr>
        <w:pStyle w:val="Normaalweb"/>
        <w:divId w:val="2114661829"/>
        <w:rPr>
          <w:lang w:val="nl-NL"/>
        </w:rPr>
      </w:pPr>
      <w:r>
        <w:rPr>
          <w:lang w:val="nl-NL"/>
        </w:rPr>
        <w:t>De Belgische fiscale route werkt — volledig. Vier aftrekposten, één bypass, een gezamenlijke aangifte met een substantieel voordeel. De bypass is tweemaal bevestigd: eenmaal in de praktijk, eenmaal door de fiscus zelf. En de laatste instantie in de keten (AGODI) heeft uiteindelijk het elektronische signaal afgegeven waarmee de fiscale status met terugwerkende kracht is geregistreerd.</w:t>
      </w:r>
    </w:p>
    <w:p w14:paraId="26942268" w14:textId="77777777" w:rsidR="006B5103" w:rsidRDefault="006B5103">
      <w:pPr>
        <w:pStyle w:val="Normaalweb"/>
        <w:divId w:val="2114661829"/>
        <w:rPr>
          <w:lang w:val="nl-NL"/>
        </w:rPr>
      </w:pPr>
      <w:r>
        <w:rPr>
          <w:lang w:val="nl-NL"/>
        </w:rPr>
        <w:t>Wat dit hoofdstuk laat zien, is dat er binnen hetzelfde systeem dat de grensarbeider op andere terreinen structureel uitsluit, wel degelijk wegen zijn die werken. De fiscale route is er één. Ze is niet afhankelijk van de ziekenfondsregistratie, niet van de handicapdienst, niet van de Europese coördinatie. Ze loopt rechtstreeks van huisarts naar fiscus.</w:t>
      </w:r>
    </w:p>
    <w:p w14:paraId="1BF8B804" w14:textId="77777777" w:rsidR="006B5103" w:rsidRDefault="006B5103">
      <w:pPr>
        <w:pStyle w:val="Normaalweb"/>
        <w:divId w:val="2114661829"/>
        <w:rPr>
          <w:lang w:val="nl-NL"/>
        </w:rPr>
      </w:pPr>
      <w:r>
        <w:rPr>
          <w:lang w:val="nl-NL"/>
        </w:rPr>
        <w:t>En wat even belangrijk is: de route is door de fiscus zelf bevestigd, en door een onafhankelijke onderzoeker getoetst. De uitkomst is niet het gevolg van een gunst. Het is het gevolg van een correcte toepassing van de wet, door een burger die de weg heeft gevonden om de geblokkeerde kanalen te omzeilen.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7030968"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FB828D4"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vraag uw huisarts om een attest op te stellen dat de fiscale taal spreekt (artikel 131 en 135 van het Wetboek van de Inkomstenbelastingen). De federale handicapdienst is voor de fiscale route niet vereist. De ziekenfondsregistratie is niet vereist. Het attest gaat rechtstreeks naar de belastingaangifte. </w:t>
            </w:r>
            <w:r>
              <w:rPr>
                <w:rFonts w:eastAsia="Times New Roman"/>
                <w:szCs w:val="22"/>
              </w:rPr>
              <w:br/>
            </w:r>
            <w:r>
              <w:rPr>
                <w:rFonts w:eastAsia="Times New Roman"/>
                <w:szCs w:val="22"/>
              </w:rPr>
              <w:br/>
              <w:t>Een fiscaal adviseur (in België via een vakbond of boekhouder) kan dit attest aan de aangifte toevoegen. De code invaliditeit wordt in de aangifte ingevuld en de verhoogde belastingvrije som wordt automat</w:t>
            </w:r>
            <w:r>
              <w:rPr>
                <w:rFonts w:eastAsia="Times New Roman"/>
                <w:szCs w:val="22"/>
              </w:rPr>
              <w:t xml:space="preserve">isch toegepast. </w:t>
            </w:r>
            <w:r>
              <w:rPr>
                <w:rFonts w:eastAsia="Times New Roman"/>
                <w:szCs w:val="22"/>
              </w:rPr>
              <w:br/>
            </w:r>
            <w:r>
              <w:rPr>
                <w:rFonts w:eastAsia="Times New Roman"/>
                <w:szCs w:val="22"/>
              </w:rPr>
              <w:br/>
            </w:r>
            <w:r>
              <w:rPr>
                <w:rStyle w:val="Nadruk"/>
                <w:rFonts w:eastAsia="Times New Roman"/>
                <w:szCs w:val="22"/>
              </w:rPr>
              <w:t>Vergeet niet ook de andere aftrekposten te controleren:</w:t>
            </w:r>
            <w:r>
              <w:rPr>
                <w:rFonts w:eastAsia="Times New Roman"/>
                <w:szCs w:val="22"/>
              </w:rPr>
              <w:t xml:space="preserve"> huwelijksquotiënt, kinderopvang. Deze worden niet altijd automatisch toegepast. </w:t>
            </w:r>
          </w:p>
        </w:tc>
      </w:tr>
    </w:tbl>
    <w:p w14:paraId="5A8CC40E" w14:textId="77777777" w:rsidR="006B5103" w:rsidRDefault="006B5103">
      <w:pPr>
        <w:pStyle w:val="noot"/>
        <w:spacing w:after="120" w:afterAutospacing="0"/>
        <w:divId w:val="2114661829"/>
        <w:rPr>
          <w:lang w:val="nl-NL"/>
        </w:rPr>
      </w:pPr>
      <w:r>
        <w:rPr>
          <w:lang w:val="nl-NL"/>
        </w:rPr>
        <w:t>De bedragen zijn gebaseerd op de belastingaangifte 2026 en kunnen per dossier variëren. De wetteksten zijn artikel 87, 131, 135, 140-145 en 14535 van het Wetboek van de Inkomstenbelastingen 1992. Alle organisaties in dit hoofdstuk zijn rechtspersonen. Natuurlijke personen worden aangeduid met hun functie of hun symbool. Dit hoofdstuk is geen fiscaal advies.</w:t>
      </w:r>
    </w:p>
    <w:p w14:paraId="75327E26" w14:textId="77777777" w:rsidR="006B5103" w:rsidRDefault="006B5103">
      <w:pPr>
        <w:pStyle w:val="marker"/>
        <w:ind w:left="800" w:right="800"/>
        <w:divId w:val="2114661829"/>
        <w:rPr>
          <w:lang w:val="nl-NL"/>
        </w:rPr>
      </w:pPr>
      <w:r>
        <w:br w:type="page"/>
      </w:r>
    </w:p>
    <w:p w14:paraId="69F1F630" w14:textId="77777777" w:rsidR="006B5103" w:rsidRDefault="006B5103">
      <w:pPr>
        <w:pStyle w:val="Kop2"/>
        <w:divId w:val="2114661829"/>
        <w:rPr>
          <w:rFonts w:eastAsia="Times New Roman"/>
          <w:lang w:val="nl-NL"/>
        </w:rPr>
      </w:pPr>
      <w:bookmarkStart w:id="45" w:name="_Toc242191222"/>
      <w:r>
        <w:rPr>
          <w:rFonts w:eastAsia="Times New Roman"/>
          <w:lang w:val="nl-NL"/>
        </w:rPr>
        <w:t>De heropening</w:t>
      </w:r>
      <w:bookmarkEnd w:id="45"/>
    </w:p>
    <w:p w14:paraId="027E847B" w14:textId="77777777" w:rsidR="006B5103" w:rsidRDefault="006B5103">
      <w:pPr>
        <w:pStyle w:val="lead"/>
        <w:divId w:val="2114661829"/>
        <w:rPr>
          <w:lang w:val="nl-NL"/>
        </w:rPr>
      </w:pPr>
      <w:r>
        <w:rPr>
          <w:lang w:val="nl-NL"/>
        </w:rPr>
        <w:t>Wie een beslissing van de federale handicapdienst ontvangt en het er niet mee eens is, leest op de brief dat hij naar de arbeidsrechtbank kan. Wat de brief niet vermeldt: er zijn vier andere wegen, goedkoper en sneller, die de burger zelf kan bewandelen.</w:t>
      </w:r>
    </w:p>
    <w:p w14:paraId="4AAD0B85" w14:textId="77777777" w:rsidR="006B5103" w:rsidRDefault="006B5103">
      <w:pPr>
        <w:pStyle w:val="Kop3"/>
        <w:divId w:val="2114661829"/>
        <w:rPr>
          <w:rFonts w:eastAsia="Times New Roman"/>
          <w:lang w:val="nl-NL"/>
        </w:rPr>
      </w:pPr>
      <w:bookmarkStart w:id="46" w:name="_Toc242191223"/>
      <w:r>
        <w:rPr>
          <w:rFonts w:eastAsia="Times New Roman"/>
          <w:lang w:val="nl-NL"/>
        </w:rPr>
        <w:t>Wat de brief zegt</w:t>
      </w:r>
      <w:bookmarkEnd w:id="46"/>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B9F9297"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B9FC6EE" w14:textId="77777777" w:rsidR="006B5103" w:rsidRDefault="006B5103">
            <w:pPr>
              <w:pStyle w:val="Normaalweb"/>
              <w:spacing w:before="120"/>
              <w:jc w:val="center"/>
              <w:rPr>
                <w:sz w:val="21"/>
                <w:szCs w:val="21"/>
              </w:rPr>
            </w:pPr>
            <w:r>
              <w:rPr>
                <w:noProof/>
                <w:sz w:val="21"/>
                <w:szCs w:val="21"/>
              </w:rPr>
              <w:drawing>
                <wp:inline distT="0" distB="0" distL="0" distR="0" wp14:anchorId="47EBDEC2" wp14:editId="7672AAC6">
                  <wp:extent cx="5715000" cy="12573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5715000" cy="1257300"/>
                          </a:xfrm>
                          <a:prstGeom prst="rect">
                            <a:avLst/>
                          </a:prstGeom>
                          <a:noFill/>
                          <a:ln>
                            <a:noFill/>
                          </a:ln>
                        </pic:spPr>
                      </pic:pic>
                    </a:graphicData>
                  </a:graphic>
                </wp:inline>
              </w:drawing>
            </w:r>
          </w:p>
        </w:tc>
      </w:tr>
    </w:tbl>
    <w:p w14:paraId="63C7AE0E" w14:textId="77777777" w:rsidR="006B5103" w:rsidRDefault="006B5103">
      <w:pPr>
        <w:pStyle w:val="Kop3"/>
        <w:divId w:val="2114661829"/>
        <w:rPr>
          <w:rFonts w:eastAsia="Times New Roman"/>
          <w:lang w:val="nl-NL"/>
        </w:rPr>
      </w:pPr>
      <w:bookmarkStart w:id="47" w:name="_Toc242191224"/>
      <w:r>
        <w:rPr>
          <w:rFonts w:eastAsia="Times New Roman"/>
          <w:lang w:val="nl-NL"/>
        </w:rPr>
        <w:t>Wat de website zegt</w:t>
      </w:r>
      <w:bookmarkEnd w:id="47"/>
    </w:p>
    <w:p w14:paraId="7E6D2B05" w14:textId="77777777" w:rsidR="006B5103" w:rsidRDefault="006B5103">
      <w:pPr>
        <w:pStyle w:val="Normaalweb"/>
        <w:divId w:val="2114661829"/>
        <w:rPr>
          <w:lang w:val="nl-NL"/>
        </w:rPr>
      </w:pPr>
      <w:r>
        <w:rPr>
          <w:lang w:val="nl-NL"/>
        </w:rPr>
        <w:t xml:space="preserve">Op de website van de federale handicapdienst staan vier wegen die de burger zelf kan bewandelen — zonder advocaat, zonder rechtbank. Ze heten een </w:t>
      </w:r>
      <w:r>
        <w:rPr>
          <w:rStyle w:val="Zwaar"/>
          <w:lang w:val="nl-NL"/>
        </w:rPr>
        <w:t>heropening</w:t>
      </w:r>
      <w:r>
        <w:rPr>
          <w:lang w:val="nl-NL"/>
        </w:rPr>
        <w:t>. Ze zijn schriftelijk aan te vragen via het contactformulier of per brief.</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9FDB5A6"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D185A26" w14:textId="77777777" w:rsidR="006B5103" w:rsidRDefault="006B5103">
            <w:pPr>
              <w:pStyle w:val="Normaalweb"/>
              <w:spacing w:before="120"/>
              <w:jc w:val="center"/>
              <w:rPr>
                <w:sz w:val="21"/>
                <w:szCs w:val="21"/>
              </w:rPr>
            </w:pPr>
            <w:r>
              <w:rPr>
                <w:noProof/>
                <w:sz w:val="21"/>
                <w:szCs w:val="21"/>
              </w:rPr>
              <w:drawing>
                <wp:inline distT="0" distB="0" distL="0" distR="0" wp14:anchorId="6D4B17ED" wp14:editId="280E5E8C">
                  <wp:extent cx="5715000" cy="2603500"/>
                  <wp:effectExtent l="0" t="0" r="0" b="635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5715000" cy="2603500"/>
                          </a:xfrm>
                          <a:prstGeom prst="rect">
                            <a:avLst/>
                          </a:prstGeom>
                          <a:noFill/>
                          <a:ln>
                            <a:noFill/>
                          </a:ln>
                        </pic:spPr>
                      </pic:pic>
                    </a:graphicData>
                  </a:graphic>
                </wp:inline>
              </w:drawing>
            </w:r>
          </w:p>
          <w:p w14:paraId="6A473D0B" w14:textId="77777777" w:rsidR="006B5103" w:rsidRDefault="006B5103">
            <w:pPr>
              <w:pStyle w:val="caption"/>
              <w:spacing w:after="120" w:afterAutospacing="0"/>
            </w:pPr>
            <w:r>
              <w:rPr>
                <w:rStyle w:val="Zwaar"/>
              </w:rPr>
              <w:t>Figuur VII.1 — De vier wegen van de heropening.</w:t>
            </w:r>
            <w:r>
              <w:t xml:space="preserve"> </w:t>
            </w:r>
            <w:r>
              <w:t>Ze staan op de website van de federale handicapdienst, niet in de brief. Ze zijn schriftelijk aan te vragen, zonder advocaat, zonder rechtbank.</w:t>
            </w:r>
          </w:p>
        </w:tc>
      </w:tr>
    </w:tbl>
    <w:p w14:paraId="252E754D" w14:textId="77777777" w:rsidR="006B5103" w:rsidRDefault="006B5103">
      <w:pPr>
        <w:pStyle w:val="Kop3"/>
        <w:divId w:val="2114661829"/>
        <w:rPr>
          <w:rFonts w:eastAsia="Times New Roman"/>
          <w:lang w:val="nl-NL"/>
        </w:rPr>
      </w:pPr>
      <w:bookmarkStart w:id="48" w:name="_Toc242191225"/>
      <w:r>
        <w:rPr>
          <w:rFonts w:eastAsia="Times New Roman"/>
          <w:lang w:val="nl-NL"/>
        </w:rPr>
        <w:t>Wat dit oplevert</w:t>
      </w:r>
      <w:bookmarkEnd w:id="48"/>
    </w:p>
    <w:p w14:paraId="0256D634" w14:textId="77777777" w:rsidR="006B5103" w:rsidRDefault="006B5103">
      <w:pPr>
        <w:pStyle w:val="Normaalweb"/>
        <w:divId w:val="2114661829"/>
        <w:rPr>
          <w:lang w:val="nl-NL"/>
        </w:rPr>
      </w:pPr>
      <w:r>
        <w:rPr>
          <w:lang w:val="nl-NL"/>
        </w:rPr>
        <w:t>Een heropening is geen beroep bij de rechter. Het is een verzoek aan dezelfde instantie om de beslissing opnieuw te bekijken — met nieuwe argumenten, nieuwe bewijzen, of een verduidelijking waarom de eerdere beslissing niet klopt. De behandelend arts kan daarbij helpen: hij of zij kan schriftelijk uitleggen waarom de beslissing van de handicapdienst niet juist is.</w:t>
      </w:r>
    </w:p>
    <w:p w14:paraId="58644A74" w14:textId="77777777" w:rsidR="006B5103" w:rsidRDefault="006B5103">
      <w:pPr>
        <w:pStyle w:val="Normaalweb"/>
        <w:divId w:val="2114661829"/>
        <w:rPr>
          <w:lang w:val="nl-NL"/>
        </w:rPr>
      </w:pPr>
      <w:r>
        <w:rPr>
          <w:lang w:val="nl-NL"/>
        </w:rPr>
        <w:t>In tegenstelling tot een rechtszaak kost een heropening geen advocaat en geen griffierechten. Het is een brief of een online formulier. En de beslissing komt opnieuw van dezelfde instantie, maar nu met de argumenten van de behandelend arts erbij.</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8F13321"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A891B83"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kreeg u een beslissing van de federale handicapdienst waar u het niet mee eens bent? Kijk op de website </w:t>
            </w:r>
            <w:r>
              <w:rPr>
                <w:rStyle w:val="Nadruk"/>
                <w:rFonts w:eastAsia="Times New Roman"/>
                <w:szCs w:val="22"/>
              </w:rPr>
              <w:t>handicap.belgium.be</w:t>
            </w:r>
            <w:r>
              <w:rPr>
                <w:rFonts w:eastAsia="Times New Roman"/>
                <w:szCs w:val="22"/>
              </w:rPr>
              <w:t xml:space="preserve"> onder "Een heropening aanvragen". Er zijn vier situaties beschreven. Kies de situatie die bij u past, dien de aanvraag schriftelijk in binnen drie maanden, en vraag uw huisarts om een begeleidende brief. Dit is geen rechtszaak — het is een verzoek tot herziening.</w:t>
            </w:r>
            <w:r>
              <w:rPr>
                <w:rFonts w:eastAsia="Times New Roman"/>
                <w:szCs w:val="22"/>
              </w:rPr>
              <w:br/>
            </w:r>
            <w:r>
              <w:rPr>
                <w:rFonts w:eastAsia="Times New Roman"/>
                <w:szCs w:val="22"/>
              </w:rPr>
              <w:br/>
              <w:t xml:space="preserve">Let op: de wettelijke termijn om naar de arbeidsrechtbank te gaan blijft drie maanden. Vraag bij twijfel juridisch advies </w:t>
            </w:r>
            <w:r>
              <w:rPr>
                <w:rFonts w:eastAsia="Times New Roman"/>
                <w:szCs w:val="22"/>
              </w:rPr>
              <w:t xml:space="preserve">voordat u die termijn laat verstrijken. </w:t>
            </w:r>
          </w:p>
        </w:tc>
      </w:tr>
    </w:tbl>
    <w:p w14:paraId="784337DA" w14:textId="77777777" w:rsidR="006B5103" w:rsidRDefault="006B5103">
      <w:pPr>
        <w:pStyle w:val="noot"/>
        <w:spacing w:after="120" w:afterAutospacing="0"/>
        <w:divId w:val="2114661829"/>
        <w:rPr>
          <w:lang w:val="nl-NL"/>
        </w:rPr>
      </w:pPr>
      <w:r>
        <w:rPr>
          <w:lang w:val="nl-NL"/>
        </w:rPr>
        <w:t>De informatie in dit hoofdstuk is gebaseerd op de officiële pagina "Een heropening aanvragen" van de FOD Sociale Zekerheid (DG Personen met een handicap), laatst bijgewerkt op 15 september 2025. De wettelijke basis en de procedure staan op handicap.belgium.be. Dit hoofdstuk is geen juridisch advies; raadpleeg bij twijfel een gespecialiseerde dienst of advocaat.</w:t>
      </w:r>
    </w:p>
    <w:p w14:paraId="023FB550" w14:textId="77777777" w:rsidR="006B5103" w:rsidRDefault="006B5103">
      <w:pPr>
        <w:pStyle w:val="marker"/>
        <w:ind w:left="800" w:right="800"/>
        <w:divId w:val="2114661829"/>
        <w:rPr>
          <w:lang w:val="nl-NL"/>
        </w:rPr>
      </w:pPr>
      <w:r>
        <w:br w:type="page"/>
      </w:r>
    </w:p>
    <w:p w14:paraId="53FE30D6" w14:textId="77777777" w:rsidR="006B5103" w:rsidRDefault="006B5103">
      <w:pPr>
        <w:pStyle w:val="Kop2"/>
        <w:divId w:val="2114661829"/>
        <w:rPr>
          <w:rFonts w:eastAsia="Times New Roman"/>
          <w:lang w:val="nl-NL"/>
        </w:rPr>
      </w:pPr>
      <w:bookmarkStart w:id="49" w:name="_Toc242191226"/>
      <w:r>
        <w:rPr>
          <w:rFonts w:eastAsia="Times New Roman"/>
          <w:lang w:val="nl-NL"/>
        </w:rPr>
        <w:t>De CM en de geldstromen</w:t>
      </w:r>
      <w:bookmarkEnd w:id="49"/>
    </w:p>
    <w:p w14:paraId="59A4707C" w14:textId="77777777" w:rsidR="006B5103" w:rsidRDefault="006B5103">
      <w:pPr>
        <w:pStyle w:val="lead"/>
        <w:divId w:val="2114661829"/>
        <w:rPr>
          <w:lang w:val="nl-NL"/>
        </w:rPr>
      </w:pPr>
      <w:r>
        <w:rPr>
          <w:lang w:val="nl-NL"/>
        </w:rPr>
        <w:t>Het ziekenfonds is geen bank met één rekening. Het is een instelling met drie gescheiden geldstromen: de verplichte ziekteverzekering, het pakket CM-diensten en -voordelen, en de facultatieve verzekeringen. De eerste stroom komt van de overheid via de RSZ. De tweede van het lidgeld. De derde van aparte premies. En elk van die stromen voedt een ander loket. Dit hoofdstuk toont waar het geld vandaan komt, waarom de ene tak wel werkt en de andere niet, en wie uiteindelijk kan ingrijpen wanneer de CM weigert.</w:t>
      </w:r>
    </w:p>
    <w:p w14:paraId="147C30B9" w14:textId="77777777" w:rsidR="006B5103" w:rsidRDefault="006B5103">
      <w:pPr>
        <w:pStyle w:val="Kop3"/>
        <w:divId w:val="2114661829"/>
        <w:rPr>
          <w:rFonts w:eastAsia="Times New Roman"/>
          <w:lang w:val="nl-NL"/>
        </w:rPr>
      </w:pPr>
      <w:bookmarkStart w:id="50" w:name="_Toc242191227"/>
      <w:r>
        <w:rPr>
          <w:rFonts w:eastAsia="Times New Roman"/>
          <w:lang w:val="nl-NL"/>
        </w:rPr>
        <w:t>Deel A — De drie geldstromen</w:t>
      </w:r>
      <w:bookmarkEnd w:id="50"/>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EC6BE5E"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B65DD5B" w14:textId="77777777" w:rsidR="006B5103" w:rsidRDefault="006B5103">
            <w:pPr>
              <w:pStyle w:val="Normaalweb"/>
              <w:spacing w:before="120"/>
              <w:jc w:val="center"/>
              <w:rPr>
                <w:sz w:val="21"/>
                <w:szCs w:val="21"/>
              </w:rPr>
            </w:pPr>
            <w:r>
              <w:rPr>
                <w:noProof/>
                <w:sz w:val="21"/>
                <w:szCs w:val="21"/>
              </w:rPr>
              <w:drawing>
                <wp:inline distT="0" distB="0" distL="0" distR="0" wp14:anchorId="16073854" wp14:editId="4A4DFAFF">
                  <wp:extent cx="5715000" cy="2667000"/>
                  <wp:effectExtent l="0" t="0" r="0" b="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5715000" cy="2667000"/>
                          </a:xfrm>
                          <a:prstGeom prst="rect">
                            <a:avLst/>
                          </a:prstGeom>
                          <a:noFill/>
                          <a:ln>
                            <a:noFill/>
                          </a:ln>
                        </pic:spPr>
                      </pic:pic>
                    </a:graphicData>
                  </a:graphic>
                </wp:inline>
              </w:drawing>
            </w:r>
          </w:p>
          <w:p w14:paraId="0DE9D616" w14:textId="77777777" w:rsidR="006B5103" w:rsidRDefault="006B5103">
            <w:pPr>
              <w:pStyle w:val="caption"/>
              <w:spacing w:after="120" w:afterAutospacing="0"/>
            </w:pPr>
            <w:r>
              <w:rPr>
                <w:rStyle w:val="Zwaar"/>
              </w:rPr>
              <w:t>Figuur XIV.1 — De drie geldstromen.</w:t>
            </w:r>
            <w:r>
              <w:t xml:space="preserve"> De verplichte ziekteverzekering wordt gefinancierd uit RSZ-bijdragen en belastingen, beheerd door het RIZIV, en uitgevoerd door de ziekenfondsen. De CM-diensten en -voordelen worden gefinancierd uit het lidgeld. De facultatieve verzekeringen uit aparte premies. Elk van de drie stromen voedt een ander loket.</w:t>
            </w:r>
          </w:p>
        </w:tc>
      </w:tr>
    </w:tbl>
    <w:p w14:paraId="0981F4B8" w14:textId="77777777" w:rsidR="006B5103" w:rsidRDefault="006B5103">
      <w:pPr>
        <w:pStyle w:val="Kop3"/>
        <w:divId w:val="2114661829"/>
        <w:rPr>
          <w:rFonts w:eastAsia="Times New Roman"/>
          <w:lang w:val="nl-NL"/>
        </w:rPr>
      </w:pPr>
      <w:bookmarkStart w:id="51" w:name="_Toc242191228"/>
      <w:r>
        <w:rPr>
          <w:rFonts w:eastAsia="Times New Roman"/>
          <w:lang w:val="nl-NL"/>
        </w:rPr>
        <w:t>Deel B — De RSZ-bijdrage en de bestemming</w:t>
      </w:r>
      <w:bookmarkEnd w:id="51"/>
    </w:p>
    <w:p w14:paraId="5995DEC8" w14:textId="77777777" w:rsidR="006B5103" w:rsidRDefault="006B5103">
      <w:pPr>
        <w:pStyle w:val="Normaalweb"/>
        <w:divId w:val="2114661829"/>
        <w:rPr>
          <w:lang w:val="nl-NL"/>
        </w:rPr>
      </w:pPr>
      <w:r>
        <w:rPr>
          <w:lang w:val="nl-NL"/>
        </w:rPr>
        <w:t>De verplichte ziekteverzekering wordt niet rechtstreeks door de CM betaald. De werkgever houdt een deel van het loon in en stort dat aan de Rijksdienst voor Sociale Zekerheid (RSZ). De RSZ verdeelt het geld over de sociale zekerheidstakken. Voor de ziekteverzekering zijn er twee aparte takken:</w:t>
      </w:r>
    </w:p>
    <w:p w14:paraId="65907160" w14:textId="77777777" w:rsidR="006B5103" w:rsidRDefault="006B5103">
      <w:pPr>
        <w:numPr>
          <w:ilvl w:val="0"/>
          <w:numId w:val="10"/>
        </w:numPr>
        <w:spacing w:before="100" w:beforeAutospacing="1" w:after="100" w:afterAutospacing="1"/>
        <w:divId w:val="2114661829"/>
        <w:rPr>
          <w:rFonts w:eastAsia="Times New Roman"/>
          <w:lang w:val="nl-NL"/>
        </w:rPr>
      </w:pPr>
      <w:r>
        <w:rPr>
          <w:rStyle w:val="Zwaar"/>
          <w:rFonts w:eastAsia="Times New Roman"/>
          <w:lang w:val="nl-NL"/>
        </w:rPr>
        <w:t>Geneeskundige verzorging</w:t>
      </w:r>
      <w:r>
        <w:rPr>
          <w:rFonts w:eastAsia="Times New Roman"/>
          <w:lang w:val="nl-NL"/>
        </w:rPr>
        <w:t xml:space="preserve"> — de terugbetaling van medische prestaties, geneesmiddelen, hulpmiddelen en conventies. Bijdragevoet werknemer: ongeveer 3,55% van het brutoloon.</w:t>
      </w:r>
    </w:p>
    <w:p w14:paraId="715A5E18" w14:textId="77777777" w:rsidR="006B5103" w:rsidRDefault="006B5103">
      <w:pPr>
        <w:numPr>
          <w:ilvl w:val="0"/>
          <w:numId w:val="10"/>
        </w:numPr>
        <w:spacing w:before="100" w:beforeAutospacing="1" w:after="100" w:afterAutospacing="1"/>
        <w:divId w:val="2114661829"/>
        <w:rPr>
          <w:rFonts w:eastAsia="Times New Roman"/>
          <w:lang w:val="nl-NL"/>
        </w:rPr>
      </w:pPr>
      <w:r>
        <w:rPr>
          <w:rStyle w:val="Zwaar"/>
          <w:rFonts w:eastAsia="Times New Roman"/>
          <w:lang w:val="nl-NL"/>
        </w:rPr>
        <w:t>Uitkeringen</w:t>
      </w:r>
      <w:r>
        <w:rPr>
          <w:rFonts w:eastAsia="Times New Roman"/>
          <w:lang w:val="nl-NL"/>
        </w:rPr>
        <w:t xml:space="preserve"> — de ziekte- en invaliditeitsuitkeringen bij arbeidsongeschiktheid. Bijdragevoet werknemer: ongeveer 1,15% van het brutoloon.</w:t>
      </w:r>
    </w:p>
    <w:p w14:paraId="32D89FFA" w14:textId="77777777" w:rsidR="006B5103" w:rsidRDefault="006B5103">
      <w:pPr>
        <w:pStyle w:val="Normaalweb"/>
        <w:divId w:val="2114661829"/>
        <w:rPr>
          <w:lang w:val="nl-NL"/>
        </w:rPr>
      </w:pPr>
      <w:r>
        <w:rPr>
          <w:lang w:val="nl-NL"/>
        </w:rPr>
        <w:t>Het RIZIV ontvangt het totaalbudget en verdeelt het over de ziekenfondsen. Elk ziekenfonds krijgt een budget op basis van het aantal leden en hun profiel. Het ziekenfonds betaalt daaruit de prestaties aan zijn leden. Voor de administratieve kosten ontvangt het ziekenfonds een aparte vergoeding.</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084C64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B7E0AF8" w14:textId="77777777" w:rsidR="006B5103" w:rsidRDefault="006B5103">
            <w:pPr>
              <w:pStyle w:val="Normaalweb"/>
              <w:spacing w:before="120"/>
              <w:jc w:val="center"/>
              <w:rPr>
                <w:sz w:val="21"/>
                <w:szCs w:val="21"/>
              </w:rPr>
            </w:pPr>
            <w:r>
              <w:rPr>
                <w:noProof/>
                <w:sz w:val="21"/>
                <w:szCs w:val="21"/>
              </w:rPr>
              <w:drawing>
                <wp:inline distT="0" distB="0" distL="0" distR="0" wp14:anchorId="1EC501B8" wp14:editId="2CA2F62F">
                  <wp:extent cx="5715000" cy="1974850"/>
                  <wp:effectExtent l="0" t="0" r="0" b="635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5715000" cy="1974850"/>
                          </a:xfrm>
                          <a:prstGeom prst="rect">
                            <a:avLst/>
                          </a:prstGeom>
                          <a:noFill/>
                          <a:ln>
                            <a:noFill/>
                          </a:ln>
                        </pic:spPr>
                      </pic:pic>
                    </a:graphicData>
                  </a:graphic>
                </wp:inline>
              </w:drawing>
            </w:r>
          </w:p>
          <w:p w14:paraId="6D779B11" w14:textId="77777777" w:rsidR="006B5103" w:rsidRDefault="006B5103">
            <w:pPr>
              <w:pStyle w:val="caption"/>
              <w:spacing w:after="120" w:afterAutospacing="0"/>
            </w:pPr>
            <w:r>
              <w:rPr>
                <w:rStyle w:val="Zwaar"/>
              </w:rPr>
              <w:t>Figuur XIV.2 — De weg van het loon naar de zorg.</w:t>
            </w:r>
            <w:r>
              <w:t xml:space="preserve"> De werkgever houdt de RSZ-bijdrage in op het loon. De RSZ stort aan het RIZIV. Het RIZIV verdeelt over de ziekenfondsen. Het ziekenfonds betaalt uit de twee takken: geneeskundige verzorging en uitkeringen.</w:t>
            </w:r>
          </w:p>
        </w:tc>
      </w:tr>
    </w:tbl>
    <w:p w14:paraId="20B64E75" w14:textId="77777777" w:rsidR="006B5103" w:rsidRDefault="006B5103">
      <w:pPr>
        <w:pStyle w:val="Kop3"/>
        <w:divId w:val="2114661829"/>
        <w:rPr>
          <w:rFonts w:eastAsia="Times New Roman"/>
          <w:lang w:val="nl-NL"/>
        </w:rPr>
      </w:pPr>
      <w:bookmarkStart w:id="52" w:name="_Toc242191229"/>
      <w:r>
        <w:rPr>
          <w:rFonts w:eastAsia="Times New Roman"/>
          <w:lang w:val="nl-NL"/>
        </w:rPr>
        <w:t>Deel C — Waarom hulpmiddelen wel en uitkeringen niet</w:t>
      </w:r>
      <w:bookmarkEnd w:id="52"/>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BCE820A"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CECA3BE" w14:textId="77777777" w:rsidR="006B5103" w:rsidRDefault="006B5103">
            <w:pPr>
              <w:pStyle w:val="Normaalweb"/>
              <w:spacing w:before="120"/>
              <w:jc w:val="center"/>
              <w:rPr>
                <w:sz w:val="21"/>
                <w:szCs w:val="21"/>
              </w:rPr>
            </w:pPr>
            <w:r>
              <w:rPr>
                <w:noProof/>
                <w:sz w:val="21"/>
                <w:szCs w:val="21"/>
              </w:rPr>
              <w:drawing>
                <wp:inline distT="0" distB="0" distL="0" distR="0" wp14:anchorId="509FA363" wp14:editId="02CB31FC">
                  <wp:extent cx="5715000" cy="2952750"/>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5715000" cy="2952750"/>
                          </a:xfrm>
                          <a:prstGeom prst="rect">
                            <a:avLst/>
                          </a:prstGeom>
                          <a:noFill/>
                          <a:ln>
                            <a:noFill/>
                          </a:ln>
                        </pic:spPr>
                      </pic:pic>
                    </a:graphicData>
                  </a:graphic>
                </wp:inline>
              </w:drawing>
            </w:r>
          </w:p>
          <w:p w14:paraId="6D525D34" w14:textId="77777777" w:rsidR="006B5103" w:rsidRDefault="006B5103">
            <w:pPr>
              <w:pStyle w:val="caption"/>
              <w:spacing w:after="120" w:afterAutospacing="0"/>
            </w:pPr>
            <w:r>
              <w:rPr>
                <w:rStyle w:val="Zwaar"/>
              </w:rPr>
              <w:t>Figuur XIV.3 — Twee takken, twee logica's.</w:t>
            </w:r>
            <w:r>
              <w:t xml:space="preserve"> </w:t>
            </w:r>
            <w:r>
              <w:t>De tak geneeskundige verzorging werkt met objectieve, meetbare prestaties. De tak uitkeringen werkt met subjectieve beoordelingen en nationale voorwaarden. Dezelfde instelling, dezelfde RSZ-bijdrage, maar een fundamenteel verschillende logica — en dus een fundamenteel verschillend resultaat.</w:t>
            </w:r>
          </w:p>
        </w:tc>
      </w:tr>
    </w:tbl>
    <w:p w14:paraId="0C5F6DB6" w14:textId="77777777" w:rsidR="006B5103" w:rsidRDefault="006B5103">
      <w:pPr>
        <w:pStyle w:val="Kop3"/>
        <w:divId w:val="2114661829"/>
        <w:rPr>
          <w:rFonts w:eastAsia="Times New Roman"/>
          <w:lang w:val="nl-NL"/>
        </w:rPr>
      </w:pPr>
      <w:bookmarkStart w:id="53" w:name="_Toc242191230"/>
      <w:r>
        <w:rPr>
          <w:rFonts w:eastAsia="Times New Roman"/>
          <w:lang w:val="nl-NL"/>
        </w:rPr>
        <w:t>Deel D — De CDZ als toezichthouder</w:t>
      </w:r>
      <w:bookmarkEnd w:id="53"/>
    </w:p>
    <w:p w14:paraId="44009BCF" w14:textId="77777777" w:rsidR="006B5103" w:rsidRDefault="006B5103">
      <w:pPr>
        <w:pStyle w:val="Normaalweb"/>
        <w:divId w:val="2114661829"/>
        <w:rPr>
          <w:lang w:val="nl-NL"/>
        </w:rPr>
      </w:pPr>
      <w:r>
        <w:rPr>
          <w:lang w:val="nl-NL"/>
        </w:rPr>
        <w:t>Op de CM als geheel — zowel de verplichte verzekering als de aanvullende diensten en de facultatieve verzekeringen — houdt de Controledienst voor de Ziekenfondsen (CDZ) toezicht. De CDZ controleert de boekhouding, de financiële regels en de correcte toepassing van de wettelijke bepalingen. Ze kan adviezen formuleren aan de minister en statutaire wijzigingen goedkeuren.</w:t>
      </w:r>
    </w:p>
    <w:p w14:paraId="666632FB" w14:textId="77777777" w:rsidR="006B5103" w:rsidRDefault="006B5103">
      <w:pPr>
        <w:pStyle w:val="Normaalweb"/>
        <w:divId w:val="2114661829"/>
        <w:rPr>
          <w:lang w:val="nl-NL"/>
        </w:rPr>
      </w:pPr>
      <w:r>
        <w:rPr>
          <w:lang w:val="nl-NL"/>
        </w:rPr>
        <w:t>Wat de CDZ niet doet: individuele geschillen beslechten. De CDZ is een administratieve toezichthouder, geen geschillenbeslechter. Ze kan de structurele werking van het ziekenfonds onderzoeken, maar geen beslissing in een individueel dossier herzien. Ze is geen beroepsinstantie.</w:t>
      </w:r>
    </w:p>
    <w:p w14:paraId="79BEBEC4" w14:textId="77777777" w:rsidR="006B5103" w:rsidRDefault="006B5103">
      <w:pPr>
        <w:pStyle w:val="Kop3"/>
        <w:divId w:val="2114661829"/>
        <w:rPr>
          <w:rFonts w:eastAsia="Times New Roman"/>
          <w:lang w:val="nl-NL"/>
        </w:rPr>
      </w:pPr>
      <w:bookmarkStart w:id="54" w:name="_Toc242191231"/>
      <w:r>
        <w:rPr>
          <w:rFonts w:eastAsia="Times New Roman"/>
          <w:lang w:val="nl-NL"/>
        </w:rPr>
        <w:t>Deel E — Het Arbeidsauditoraat: wie controleert de controleur?</w:t>
      </w:r>
      <w:bookmarkEnd w:id="54"/>
    </w:p>
    <w:p w14:paraId="25A96183" w14:textId="77777777" w:rsidR="006B5103" w:rsidRDefault="006B5103">
      <w:pPr>
        <w:pStyle w:val="Normaalweb"/>
        <w:divId w:val="2114661829"/>
        <w:rPr>
          <w:lang w:val="nl-NL"/>
        </w:rPr>
      </w:pPr>
      <w:r>
        <w:rPr>
          <w:lang w:val="nl-NL"/>
        </w:rPr>
        <w:t>Wanneer een uitvoeringsinstantie de wet structureel naast zich neerlegt, is er in België een justitiële instantie die in theorie kan ingrijpen: het Arbeidsauditoraat, het openbaar ministerie bij de arbeidsrechtbanken. Het is bevoegd voor de handhaving van de sociale zekerheidswetgeving en kan optreden wanneer een instelling de wet niet naleeft.</w:t>
      </w:r>
    </w:p>
    <w:p w14:paraId="6E0E9F40" w14:textId="77777777" w:rsidR="006B5103" w:rsidRDefault="006B5103">
      <w:pPr>
        <w:pStyle w:val="Normaalweb"/>
        <w:divId w:val="2114661829"/>
        <w:rPr>
          <w:lang w:val="nl-NL"/>
        </w:rPr>
      </w:pPr>
      <w:r>
        <w:rPr>
          <w:lang w:val="nl-NL"/>
        </w:rPr>
        <w:t>In dit dossier is op 10 september 2026 een formele melding gedaan aan het Arbeidsauditoraat Gent. De melding betrof structurele procedurefouten bij de CM, schending van de Europese coördinatieverordening, en het niet-naleven van RIZIV-onderrichtingen. De integrale tijdlijn en het fiscaal-medisch getuigschrift werden als bewijsstukken bijgevoegd.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313415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2005116" w14:textId="77777777" w:rsidR="006B5103" w:rsidRDefault="006B5103">
            <w:pPr>
              <w:pStyle w:val="Normaalweb"/>
              <w:spacing w:before="120"/>
              <w:jc w:val="center"/>
              <w:rPr>
                <w:sz w:val="21"/>
                <w:szCs w:val="21"/>
              </w:rPr>
            </w:pPr>
            <w:r>
              <w:rPr>
                <w:noProof/>
                <w:sz w:val="21"/>
                <w:szCs w:val="21"/>
              </w:rPr>
              <w:drawing>
                <wp:inline distT="0" distB="0" distL="0" distR="0" wp14:anchorId="553B8602" wp14:editId="484939E8">
                  <wp:extent cx="5715000" cy="175895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link="rId37">
                            <a:extLst>
                              <a:ext uri="{28A0092B-C50C-407E-A947-70E740481C1C}">
                                <a14:useLocalDpi xmlns:a14="http://schemas.microsoft.com/office/drawing/2010/main" val="0"/>
                              </a:ext>
                            </a:extLst>
                          </a:blip>
                          <a:srcRect/>
                          <a:stretch>
                            <a:fillRect/>
                          </a:stretch>
                        </pic:blipFill>
                        <pic:spPr bwMode="auto">
                          <a:xfrm>
                            <a:off x="0" y="0"/>
                            <a:ext cx="5715000" cy="1758950"/>
                          </a:xfrm>
                          <a:prstGeom prst="rect">
                            <a:avLst/>
                          </a:prstGeom>
                          <a:noFill/>
                          <a:ln>
                            <a:noFill/>
                          </a:ln>
                        </pic:spPr>
                      </pic:pic>
                    </a:graphicData>
                  </a:graphic>
                </wp:inline>
              </w:drawing>
            </w:r>
          </w:p>
          <w:p w14:paraId="21339621" w14:textId="77777777" w:rsidR="006B5103" w:rsidRDefault="006B5103">
            <w:pPr>
              <w:pStyle w:val="caption"/>
              <w:spacing w:after="120" w:afterAutospacing="0"/>
            </w:pPr>
            <w:r>
              <w:rPr>
                <w:rStyle w:val="Zwaar"/>
              </w:rPr>
              <w:t>Figuur XIV.4 — Het Arbeidsauditoraat.</w:t>
            </w:r>
            <w:r>
              <w:t xml:space="preserve"> </w:t>
            </w:r>
            <w:r>
              <w:t>De melding bereikt het Arbeidsauditoraat op 10 september 2026. De reactie komt één dag later: de instantie verklaart zich onbevoegd en kwalificeert de structurele blokkade als een burgerlijk geschil. De burger wordt doorverwezen naar de arbeidsrechtbank, de langzaamste weg.</w:t>
            </w:r>
          </w:p>
        </w:tc>
      </w:tr>
    </w:tbl>
    <w:p w14:paraId="24BF4A4E" w14:textId="77777777" w:rsidR="006B5103" w:rsidRDefault="006B5103">
      <w:pPr>
        <w:pStyle w:val="Normaalweb"/>
        <w:divId w:val="2114661829"/>
        <w:rPr>
          <w:lang w:val="nl-NL"/>
        </w:rPr>
      </w:pPr>
      <w:r>
        <w:rPr>
          <w:lang w:val="nl-NL"/>
        </w:rPr>
        <w:t>Wat het Arbeidsauditoraat daarmee doet, is hetzelfde als wat de CDZ doet: het verantwoordelijkheidsvraagstuk doorschuiven. De instantie die zou moeten ingrijpen bij schending van de sociale wetgeving, kwalificeert het geschil als een privéaangelegenheid. En de burger blijft achter met een instantie minder om aan te kloppen.</w:t>
      </w:r>
    </w:p>
    <w:p w14:paraId="59924AAE" w14:textId="77777777" w:rsidR="006B5103" w:rsidRDefault="006B5103">
      <w:pPr>
        <w:pStyle w:val="Kop3"/>
        <w:divId w:val="2114661829"/>
        <w:rPr>
          <w:rFonts w:eastAsia="Times New Roman"/>
          <w:lang w:val="nl-NL"/>
        </w:rPr>
      </w:pPr>
      <w:bookmarkStart w:id="55" w:name="_Toc242191232"/>
      <w:r>
        <w:rPr>
          <w:rFonts w:eastAsia="Times New Roman"/>
          <w:lang w:val="nl-NL"/>
        </w:rPr>
        <w:t>Deel F — De Orde der Artsen: tuchtrecht tegen de adviserend arts</w:t>
      </w:r>
      <w:bookmarkEnd w:id="55"/>
    </w:p>
    <w:p w14:paraId="5C47E5D4" w14:textId="77777777" w:rsidR="006B5103" w:rsidRDefault="006B5103">
      <w:pPr>
        <w:pStyle w:val="Normaalweb"/>
        <w:divId w:val="2114661829"/>
        <w:rPr>
          <w:lang w:val="nl-NL"/>
        </w:rPr>
      </w:pPr>
      <w:r>
        <w:rPr>
          <w:lang w:val="nl-NL"/>
        </w:rPr>
        <w:t>De Orde der Artsen is de wettelijke instantie die waakt over de medische deontologie en het tuchtrecht uitoefent op individuele artsen. Ze kan klachten onderzoeken, tuchtsancties opleggen — van waarschuwing tot schrapping uit het artsenregister — maar heeft geen bevoegdheid over administratieve beslissingen van instellingen of over algoritmische processen binnen een ziekenfonds.</w:t>
      </w:r>
    </w:p>
    <w:p w14:paraId="4D48D014" w14:textId="77777777" w:rsidR="006B5103" w:rsidRDefault="006B5103">
      <w:pPr>
        <w:pStyle w:val="Normaalweb"/>
        <w:divId w:val="2114661829"/>
        <w:rPr>
          <w:lang w:val="nl-NL"/>
        </w:rPr>
      </w:pPr>
      <w:r>
        <w:rPr>
          <w:lang w:val="nl-NL"/>
        </w:rPr>
        <w:t>In dit dossier is op 19 september 2026 een klacht ingediend bij de Provinciale Raad van Antwerpen tegen het functioneren van de adviserend arts van de CM. De klacht betreft het genereren van tegengestelde beslissingen onder een visueel identieke handtekening, zonder traceerbare toegang tot het actuele medische dossier. De vraag is of deze praktijk deontologisch verenigbaar is met de onafhankelijke uitoefening van de geneeskunde.</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A62537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D6375D7" w14:textId="77777777" w:rsidR="006B5103" w:rsidRDefault="006B5103">
            <w:pPr>
              <w:pStyle w:val="Normaalweb"/>
              <w:spacing w:before="120"/>
              <w:jc w:val="center"/>
              <w:rPr>
                <w:sz w:val="21"/>
                <w:szCs w:val="21"/>
              </w:rPr>
            </w:pPr>
            <w:r>
              <w:rPr>
                <w:noProof/>
                <w:sz w:val="21"/>
                <w:szCs w:val="21"/>
              </w:rPr>
              <w:drawing>
                <wp:inline distT="0" distB="0" distL="0" distR="0" wp14:anchorId="3B7981DD" wp14:editId="3C3F5D50">
                  <wp:extent cx="5715000" cy="2178050"/>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link="rId38">
                            <a:extLst>
                              <a:ext uri="{28A0092B-C50C-407E-A947-70E740481C1C}">
                                <a14:useLocalDpi xmlns:a14="http://schemas.microsoft.com/office/drawing/2010/main" val="0"/>
                              </a:ext>
                            </a:extLst>
                          </a:blip>
                          <a:srcRect/>
                          <a:stretch>
                            <a:fillRect/>
                          </a:stretch>
                        </pic:blipFill>
                        <pic:spPr bwMode="auto">
                          <a:xfrm>
                            <a:off x="0" y="0"/>
                            <a:ext cx="5715000" cy="2178050"/>
                          </a:xfrm>
                          <a:prstGeom prst="rect">
                            <a:avLst/>
                          </a:prstGeom>
                          <a:noFill/>
                          <a:ln>
                            <a:noFill/>
                          </a:ln>
                        </pic:spPr>
                      </pic:pic>
                    </a:graphicData>
                  </a:graphic>
                </wp:inline>
              </w:drawing>
            </w:r>
          </w:p>
          <w:p w14:paraId="6BACAC7E" w14:textId="77777777" w:rsidR="006B5103" w:rsidRDefault="006B5103">
            <w:pPr>
              <w:pStyle w:val="caption"/>
              <w:spacing w:after="120" w:afterAutospacing="0"/>
            </w:pPr>
            <w:r>
              <w:rPr>
                <w:rStyle w:val="Zwaar"/>
              </w:rPr>
              <w:t>Figuur XIV.5 — De Orde der Artsen.</w:t>
            </w:r>
            <w:r>
              <w:t xml:space="preserve"> De tuchtrechtelijke weg kan de individuele arts treffen, maar niet de architectuur die de beslissing voortbrengt. Zelfs een gegronde klacht verandert niets aan de uitkomst voor de patiënt, want het ziekenfonds vervangt de arts en het algoritme blijft ongewijzigd.</w:t>
            </w:r>
          </w:p>
        </w:tc>
      </w:tr>
    </w:tbl>
    <w:p w14:paraId="0929A3AD" w14:textId="77777777" w:rsidR="006B5103" w:rsidRDefault="006B5103">
      <w:pPr>
        <w:pStyle w:val="Kop3"/>
        <w:divId w:val="2114661829"/>
        <w:rPr>
          <w:rFonts w:eastAsia="Times New Roman"/>
          <w:lang w:val="nl-NL"/>
        </w:rPr>
      </w:pPr>
      <w:bookmarkStart w:id="56" w:name="_Toc242191233"/>
      <w:r>
        <w:rPr>
          <w:rFonts w:eastAsia="Times New Roman"/>
          <w:lang w:val="nl-NL"/>
        </w:rPr>
        <w:t>Deel G — Wat dit hoofdstuk vaststelt</w:t>
      </w:r>
      <w:bookmarkEnd w:id="56"/>
    </w:p>
    <w:p w14:paraId="1D78DF58" w14:textId="77777777" w:rsidR="006B5103" w:rsidRDefault="006B5103">
      <w:pPr>
        <w:pStyle w:val="Normaalweb"/>
        <w:divId w:val="2114661829"/>
        <w:rPr>
          <w:lang w:val="nl-NL"/>
        </w:rPr>
      </w:pPr>
      <w:r>
        <w:rPr>
          <w:lang w:val="nl-NL"/>
        </w:rPr>
        <w:t>De vraag waarom hulpmiddelen wel en uitkeringen niet worden betaald, heeft een structureel antwoord. De CM voert twee wettelijk gescheiden taken uit binnen de verplichte ziekteverzekering. De ene taak werkt met meetbare prestaties en vaste tarieven. De andere werkt met subjectieve beoordelingen en nationale voorwaarden.</w:t>
      </w:r>
    </w:p>
    <w:p w14:paraId="411CEEFD" w14:textId="77777777" w:rsidR="006B5103" w:rsidRDefault="006B5103">
      <w:pPr>
        <w:pStyle w:val="Normaalweb"/>
        <w:divId w:val="2114661829"/>
        <w:rPr>
          <w:lang w:val="nl-NL"/>
        </w:rPr>
      </w:pPr>
      <w:r>
        <w:rPr>
          <w:lang w:val="nl-NL"/>
        </w:rPr>
        <w:t>Binnen dezelfde instelling bestaan dus twee verschillende regimes. Voor de geneeskundige verzorging hoeft de CM geen mens te beoordelen — ze betaalt een factuur. Voor de uitkeringen moet ze wél beoordelen of iemand arbeidsongeschikt is, en die beoordeling is onderworpen aan voorwaarden die de wet oplegt. Voor een grensarbeider zijn die voorwaarden problematisch, omdat ze zijn gebaseerd op nationale referteperiodes en verblijfsvoorwaarden.</w:t>
      </w:r>
    </w:p>
    <w:p w14:paraId="0E092659" w14:textId="77777777" w:rsidR="006B5103" w:rsidRDefault="006B5103">
      <w:pPr>
        <w:pStyle w:val="Normaalweb"/>
        <w:divId w:val="2114661829"/>
        <w:rPr>
          <w:lang w:val="nl-NL"/>
        </w:rPr>
      </w:pPr>
      <w:r>
        <w:rPr>
          <w:lang w:val="nl-NL"/>
        </w:rPr>
        <w:t>En wanneer de CM weigert, blijken de twee toezichthoudende instanties — de CDZ en het Arbeidsauditoraat — zich niet bevoegd te achten voor individuele dossiers. De Orde der Artsen kan alleen de individuele arts treffen, niet het systeem dat de beslissing stuurt. De conclusie is geen beschuldiging van kwade wil. Het is de constatering dat het systeem de verantwoordelijkheid voor het geheel nergens belegt. Elke instantie doet haar eigen stukje. En geen enkele instantie draagt het geheel.</w:t>
      </w:r>
    </w:p>
    <w:p w14:paraId="1010CDEC"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De informatie over de financiering is gebaseerd op de offici</w:t>
      </w:r>
      <w:r>
        <w:rPr>
          <w:rFonts w:cs="Aptos"/>
          <w:lang w:val="nl-NL"/>
        </w:rPr>
        <w:t>ë</w:t>
      </w:r>
      <w:r>
        <w:rPr>
          <w:lang w:val="nl-NL"/>
        </w:rPr>
        <w:t>le communicatie van de CM, het RIZIV en de CDZ. De procedurele informatie over het Arbeidsauditoraat en de Orde der Artsen is gebaseerd op Document B en openbare bronnen. Dit hoofdstuk is geen juridisch of financieel advies.</w:t>
      </w:r>
    </w:p>
    <w:p w14:paraId="72EE432D" w14:textId="77777777" w:rsidR="006B5103" w:rsidRDefault="006B5103">
      <w:pPr>
        <w:pStyle w:val="marker"/>
        <w:ind w:left="800" w:right="800"/>
        <w:divId w:val="2114661829"/>
        <w:rPr>
          <w:lang w:val="nl-NL"/>
        </w:rPr>
      </w:pPr>
      <w:r>
        <w:br w:type="page"/>
      </w:r>
    </w:p>
    <w:p w14:paraId="148437D6" w14:textId="77777777" w:rsidR="006B5103" w:rsidRDefault="006B5103">
      <w:pPr>
        <w:pStyle w:val="Kop1"/>
        <w:divId w:val="2114661829"/>
        <w:rPr>
          <w:rFonts w:eastAsia="Times New Roman"/>
          <w:lang w:val="nl-NL"/>
        </w:rPr>
      </w:pPr>
      <w:bookmarkStart w:id="57" w:name="_Toc242191234"/>
      <w:r>
        <w:rPr>
          <w:rFonts w:eastAsia="Times New Roman"/>
          <w:lang w:val="nl-NL"/>
        </w:rPr>
        <w:t>III. Nederland</w:t>
      </w:r>
      <w:bookmarkEnd w:id="57"/>
    </w:p>
    <w:p w14:paraId="2F5ECFF4" w14:textId="77777777" w:rsidR="006B5103" w:rsidRDefault="006B5103">
      <w:pPr>
        <w:pStyle w:val="Kop2"/>
        <w:divId w:val="2114661829"/>
        <w:rPr>
          <w:rFonts w:eastAsia="Times New Roman"/>
          <w:lang w:val="nl-NL"/>
        </w:rPr>
      </w:pPr>
      <w:bookmarkStart w:id="58" w:name="_Toc242191235"/>
      <w:r>
        <w:rPr>
          <w:rFonts w:eastAsia="Times New Roman"/>
          <w:lang w:val="nl-NL"/>
        </w:rPr>
        <w:t>Het UWV en de bezwaarmolen</w:t>
      </w:r>
      <w:bookmarkEnd w:id="58"/>
    </w:p>
    <w:p w14:paraId="635C9ADB" w14:textId="77777777" w:rsidR="006B5103" w:rsidRDefault="006B5103">
      <w:pPr>
        <w:pStyle w:val="lead"/>
        <w:divId w:val="2114661829"/>
        <w:rPr>
          <w:lang w:val="nl-NL"/>
        </w:rPr>
      </w:pPr>
      <w:r>
        <w:rPr>
          <w:lang w:val="nl-NL"/>
        </w:rPr>
        <w:t>Het UWV beoordeelt of iemand arbeidsongeschikt is en of er recht bestaat op een uitkering. Wat volgt is geen weigering. Het is een reeks weigeringen. Elke weigering heeft een eigen reden, een eigen procedure, en een eigen uitkomst. Geen enkele weigering wordt inhoudelijk behandeld. En de RVA, de Belgische tegenhanger, hanteert op zijn beurt dezelfde tactiek in de tegenovergestelde richting.</w:t>
      </w:r>
    </w:p>
    <w:p w14:paraId="72ADADE1" w14:textId="77777777" w:rsidR="006B5103" w:rsidRDefault="006B5103">
      <w:pPr>
        <w:pStyle w:val="Kop3"/>
        <w:divId w:val="2114661829"/>
        <w:rPr>
          <w:rFonts w:eastAsia="Times New Roman"/>
          <w:lang w:val="nl-NL"/>
        </w:rPr>
      </w:pPr>
      <w:bookmarkStart w:id="59" w:name="_Toc242191236"/>
      <w:r>
        <w:rPr>
          <w:rFonts w:eastAsia="Times New Roman"/>
          <w:lang w:val="nl-NL"/>
        </w:rPr>
        <w:t>Deel A — Zes rondes bij het UWV</w:t>
      </w:r>
      <w:bookmarkEnd w:id="59"/>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F35AAF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BF48747" w14:textId="77777777" w:rsidR="006B5103" w:rsidRDefault="006B5103">
            <w:pPr>
              <w:pStyle w:val="Normaalweb"/>
              <w:spacing w:before="120"/>
              <w:jc w:val="center"/>
              <w:rPr>
                <w:sz w:val="21"/>
                <w:szCs w:val="21"/>
              </w:rPr>
            </w:pPr>
            <w:r>
              <w:rPr>
                <w:noProof/>
                <w:sz w:val="21"/>
                <w:szCs w:val="21"/>
              </w:rPr>
              <w:drawing>
                <wp:inline distT="0" distB="0" distL="0" distR="0" wp14:anchorId="72F8C124" wp14:editId="65EBA359">
                  <wp:extent cx="5715000" cy="342900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link="rId39">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3EF6700E" w14:textId="77777777" w:rsidR="006B5103" w:rsidRDefault="006B5103">
            <w:pPr>
              <w:pStyle w:val="caption"/>
              <w:spacing w:after="120" w:afterAutospacing="0"/>
            </w:pPr>
            <w:r>
              <w:rPr>
                <w:rStyle w:val="Zwaar"/>
              </w:rPr>
              <w:t>Figuur IX.1 — De zes rondes.</w:t>
            </w:r>
            <w:r>
              <w:t xml:space="preserve"> Vijf aanvragen, twee bezwaren, één herziening. Elke ronde eindigt met een formele afwijzing. In de hele keten wordt geen enkele keer de medische situatie inhoudelijk getoetst, ondanks vijf onafhankelijke medische vaststellingen en honderden pagina's bewijslast.</w:t>
            </w:r>
          </w:p>
        </w:tc>
      </w:tr>
    </w:tbl>
    <w:p w14:paraId="18EBC1EF" w14:textId="77777777" w:rsidR="006B5103" w:rsidRDefault="006B5103">
      <w:pPr>
        <w:pStyle w:val="Kop3"/>
        <w:divId w:val="2114661829"/>
        <w:rPr>
          <w:rFonts w:eastAsia="Times New Roman"/>
          <w:lang w:val="nl-NL"/>
        </w:rPr>
      </w:pPr>
      <w:bookmarkStart w:id="60" w:name="_Toc242191237"/>
      <w:r>
        <w:rPr>
          <w:rFonts w:eastAsia="Times New Roman"/>
          <w:lang w:val="nl-NL"/>
        </w:rPr>
        <w:t>Deel B — De RVA en het C4-formulier</w:t>
      </w:r>
      <w:bookmarkEnd w:id="60"/>
    </w:p>
    <w:p w14:paraId="277BB442" w14:textId="77777777" w:rsidR="006B5103" w:rsidRDefault="006B5103">
      <w:pPr>
        <w:pStyle w:val="Normaalweb"/>
        <w:divId w:val="2114661829"/>
        <w:rPr>
          <w:lang w:val="nl-NL"/>
        </w:rPr>
      </w:pPr>
      <w:r>
        <w:rPr>
          <w:lang w:val="nl-NL"/>
        </w:rPr>
        <w:t>Het UWV is niet de enige instantie die een loopbaanbewijs blokkeert. De Rijksdienst voor Arbeidsvoorziening (RVA) hanteert op de Belgische zijde een vergelijkbare tactiek, maar dan voor de onderwijsloopbaan.</w:t>
      </w:r>
    </w:p>
    <w:p w14:paraId="4FBF17ED" w14:textId="77777777" w:rsidR="006B5103" w:rsidRDefault="006B5103">
      <w:pPr>
        <w:pStyle w:val="Kop4"/>
        <w:divId w:val="2114661829"/>
        <w:rPr>
          <w:rFonts w:eastAsia="Times New Roman"/>
          <w:lang w:val="nl-NL"/>
        </w:rPr>
      </w:pPr>
      <w:r>
        <w:rPr>
          <w:rFonts w:eastAsia="Times New Roman"/>
          <w:lang w:val="nl-NL"/>
        </w:rPr>
        <w:t>Het probleem met de onderwijsloopbaan</w:t>
      </w:r>
    </w:p>
    <w:p w14:paraId="7105B1AA" w14:textId="77777777" w:rsidR="006B5103" w:rsidRDefault="006B5103">
      <w:pPr>
        <w:pStyle w:val="Normaalweb"/>
        <w:divId w:val="2114661829"/>
        <w:rPr>
          <w:lang w:val="nl-NL"/>
        </w:rPr>
      </w:pPr>
      <w:r>
        <w:rPr>
          <w:lang w:val="nl-NL"/>
        </w:rPr>
        <w:t xml:space="preserve">De partner werkt als vastbenoemde leerkracht in het Vlaamse onderwijs. Voor de aanvraag van het Europese loopbaanbewijs (PD U1) moet de RVA een formulier invullen dat de volledige onderwijsloopbaan documenteert. Maar de RVA blokkeert de aanvraag met de eis om een </w:t>
      </w:r>
      <w:r>
        <w:rPr>
          <w:rStyle w:val="Zwaar"/>
          <w:lang w:val="nl-NL"/>
        </w:rPr>
        <w:t>C4-formulier</w:t>
      </w:r>
      <w:r>
        <w:rPr>
          <w:lang w:val="nl-NL"/>
        </w:rPr>
        <w:t>.</w:t>
      </w:r>
    </w:p>
    <w:p w14:paraId="027DCD68" w14:textId="77777777" w:rsidR="006B5103" w:rsidRDefault="006B5103">
      <w:pPr>
        <w:pStyle w:val="Normaalweb"/>
        <w:divId w:val="2114661829"/>
        <w:rPr>
          <w:lang w:val="nl-NL"/>
        </w:rPr>
      </w:pPr>
      <w:r>
        <w:rPr>
          <w:lang w:val="nl-NL"/>
        </w:rPr>
        <w:t>Wat is het C4-formulier? Het is een ontslagdocument uit de privésector. Het wordt gebruikt wanneer een werknemer in de privésector uit dienst gaat. Voor vastbenoemden in het onderwijs bestaat dit formulier juridisch niet. Er is geen ontslag, geen privéwerkgever, geen C4.</w:t>
      </w:r>
    </w:p>
    <w:p w14:paraId="2F3DD1FE" w14:textId="77777777" w:rsidR="006B5103" w:rsidRDefault="006B5103">
      <w:pPr>
        <w:pStyle w:val="Normaalweb"/>
        <w:divId w:val="2114661829"/>
        <w:rPr>
          <w:lang w:val="nl-NL"/>
        </w:rPr>
      </w:pPr>
      <w:r>
        <w:rPr>
          <w:lang w:val="nl-NL"/>
        </w:rPr>
        <w:t>De RVA past dus de logica van de privésector toe op een loopbaan die volledig buiten dat kader valt. De instantie perst een publieke loopbaan in een private mal.</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E97D9EA"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1ADD47D" w14:textId="77777777" w:rsidR="006B5103" w:rsidRDefault="006B5103">
            <w:pPr>
              <w:pStyle w:val="Normaalweb"/>
              <w:spacing w:before="120"/>
              <w:jc w:val="center"/>
              <w:rPr>
                <w:sz w:val="21"/>
                <w:szCs w:val="21"/>
              </w:rPr>
            </w:pPr>
            <w:r>
              <w:rPr>
                <w:noProof/>
                <w:sz w:val="21"/>
                <w:szCs w:val="21"/>
              </w:rPr>
              <w:drawing>
                <wp:inline distT="0" distB="0" distL="0" distR="0" wp14:anchorId="12D680D8" wp14:editId="1BE66CA5">
                  <wp:extent cx="5715000" cy="1562100"/>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link="rId40">
                            <a:extLst>
                              <a:ext uri="{28A0092B-C50C-407E-A947-70E740481C1C}">
                                <a14:useLocalDpi xmlns:a14="http://schemas.microsoft.com/office/drawing/2010/main" val="0"/>
                              </a:ext>
                            </a:extLst>
                          </a:blip>
                          <a:srcRect/>
                          <a:stretch>
                            <a:fillRect/>
                          </a:stretch>
                        </pic:blipFill>
                        <pic:spPr bwMode="auto">
                          <a:xfrm>
                            <a:off x="0" y="0"/>
                            <a:ext cx="5715000" cy="1562100"/>
                          </a:xfrm>
                          <a:prstGeom prst="rect">
                            <a:avLst/>
                          </a:prstGeom>
                          <a:noFill/>
                          <a:ln>
                            <a:noFill/>
                          </a:ln>
                        </pic:spPr>
                      </pic:pic>
                    </a:graphicData>
                  </a:graphic>
                </wp:inline>
              </w:drawing>
            </w:r>
          </w:p>
          <w:p w14:paraId="34BDC0BD" w14:textId="77777777" w:rsidR="006B5103" w:rsidRDefault="006B5103">
            <w:pPr>
              <w:pStyle w:val="caption"/>
              <w:spacing w:after="120" w:afterAutospacing="0"/>
            </w:pPr>
            <w:r>
              <w:t>De RVA eist een C4-formulier voor een loopbaan die juridisch geen C4 kent. De aanvraag wordt geblokkeerd. De burger moet zelf een alternatief bewijs aanleveren via het Agentschap voor Onderwijsdiensten (AGODI), dat de officiële Berekening Geldelijke Anciënniteit aflevert.</w:t>
            </w:r>
          </w:p>
        </w:tc>
      </w:tr>
    </w:tbl>
    <w:p w14:paraId="528FDC3E" w14:textId="77777777" w:rsidR="006B5103" w:rsidRDefault="006B5103">
      <w:pPr>
        <w:pStyle w:val="Kop4"/>
        <w:divId w:val="2114661829"/>
        <w:rPr>
          <w:rFonts w:eastAsia="Times New Roman"/>
          <w:lang w:val="nl-NL"/>
        </w:rPr>
      </w:pPr>
      <w:r>
        <w:rPr>
          <w:rFonts w:eastAsia="Times New Roman"/>
          <w:lang w:val="nl-NL"/>
        </w:rPr>
        <w:t>De handmatige aanlevering</w:t>
      </w:r>
    </w:p>
    <w:p w14:paraId="740128A3" w14:textId="77777777" w:rsidR="006B5103" w:rsidRDefault="006B5103">
      <w:pPr>
        <w:pStyle w:val="Normaalweb"/>
        <w:divId w:val="2114661829"/>
        <w:rPr>
          <w:lang w:val="nl-NL"/>
        </w:rPr>
      </w:pPr>
      <w:r>
        <w:rPr>
          <w:lang w:val="nl-NL"/>
        </w:rPr>
        <w:t>De patiënt lost het op met een handmatige aanlevering van het AGODI-bewijs. Het Agentschap voor Onderwijsdiensten levert een officieel document waaruit de volledige onderwijsloopbaan blijkt. Dat document wordt aan de RVA bezorgd, waarna het tweede PD U1-attest wordt afgeleverd.</w:t>
      </w:r>
    </w:p>
    <w:p w14:paraId="6B80E78E" w14:textId="77777777" w:rsidR="006B5103" w:rsidRDefault="006B5103">
      <w:pPr>
        <w:pStyle w:val="Normaalweb"/>
        <w:divId w:val="2114661829"/>
        <w:rPr>
          <w:lang w:val="nl-NL"/>
        </w:rPr>
      </w:pPr>
      <w:r>
        <w:rPr>
          <w:lang w:val="nl-NL"/>
        </w:rPr>
        <w:t>Wat dit oplevert, is een derde laag van manuele tussenkomst. De patiënt werkt niet alleen als data-hub tussen twee landen, maar ook als data-hub tussen twee instanties binnen hetzelfde land: tussen de federale RVA en het Vlaamse AGODI. Twee overheidsniveaus die over dezelfde loopbaan beschikken, wisselen die gegevens niet automatisch uit.</w:t>
      </w:r>
    </w:p>
    <w:p w14:paraId="4B40139E" w14:textId="77777777" w:rsidR="006B5103" w:rsidRDefault="006B5103">
      <w:pPr>
        <w:pStyle w:val="Kop3"/>
        <w:divId w:val="2114661829"/>
        <w:rPr>
          <w:rFonts w:eastAsia="Times New Roman"/>
          <w:lang w:val="nl-NL"/>
        </w:rPr>
      </w:pPr>
      <w:bookmarkStart w:id="61" w:name="_Toc242191238"/>
      <w:r>
        <w:rPr>
          <w:rFonts w:eastAsia="Times New Roman"/>
          <w:lang w:val="nl-NL"/>
        </w:rPr>
        <w:t>Deel C — De weigering om buitenlandse data te synchroniseren</w:t>
      </w:r>
      <w:bookmarkEnd w:id="61"/>
    </w:p>
    <w:p w14:paraId="743D76ED" w14:textId="77777777" w:rsidR="006B5103" w:rsidRDefault="006B5103">
      <w:pPr>
        <w:pStyle w:val="Normaalweb"/>
        <w:divId w:val="2114661829"/>
        <w:rPr>
          <w:lang w:val="nl-NL"/>
        </w:rPr>
      </w:pPr>
      <w:r>
        <w:rPr>
          <w:lang w:val="nl-NL"/>
        </w:rPr>
        <w:t>Na de afgifte van het tweede PD U1-attest dient de patiënt een formeel verzoek in om de Nederlandse loopbaangegevens te synchroniseren met de Belgische MyCareer-omgeving. De RVA weigert.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061222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5085CD4" w14:textId="77777777" w:rsidR="006B5103" w:rsidRDefault="006B5103">
            <w:pPr>
              <w:pStyle w:val="Normaalweb"/>
              <w:spacing w:before="120"/>
              <w:jc w:val="center"/>
              <w:rPr>
                <w:sz w:val="21"/>
                <w:szCs w:val="21"/>
              </w:rPr>
            </w:pPr>
            <w:r>
              <w:rPr>
                <w:noProof/>
                <w:sz w:val="21"/>
                <w:szCs w:val="21"/>
              </w:rPr>
              <w:drawing>
                <wp:inline distT="0" distB="0" distL="0" distR="0" wp14:anchorId="510C6D94" wp14:editId="71E2AB36">
                  <wp:extent cx="5715000" cy="1670050"/>
                  <wp:effectExtent l="0" t="0" r="0" b="635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5715000" cy="1670050"/>
                          </a:xfrm>
                          <a:prstGeom prst="rect">
                            <a:avLst/>
                          </a:prstGeom>
                          <a:noFill/>
                          <a:ln>
                            <a:noFill/>
                          </a:ln>
                        </pic:spPr>
                      </pic:pic>
                    </a:graphicData>
                  </a:graphic>
                </wp:inline>
              </w:drawing>
            </w:r>
          </w:p>
          <w:p w14:paraId="5CDE1F3C" w14:textId="77777777" w:rsidR="006B5103" w:rsidRDefault="006B5103">
            <w:pPr>
              <w:pStyle w:val="caption"/>
              <w:spacing w:after="120" w:afterAutospacing="0"/>
            </w:pPr>
            <w:r>
              <w:t>UWV levert de gegevens, RVA weigert ze te verwerken. De patiënt omzeilt de RVA via een andere federale instantie. Twee overheidsinstanties binnen hetzelfde land kunnen elkaars gegevens niet uitwisselen zonder dat de burger zelf als data-hub fungeert.</w:t>
            </w:r>
          </w:p>
        </w:tc>
      </w:tr>
    </w:tbl>
    <w:p w14:paraId="396723F4" w14:textId="77777777" w:rsidR="006B5103" w:rsidRDefault="006B5103">
      <w:pPr>
        <w:pStyle w:val="Kop3"/>
        <w:divId w:val="2114661829"/>
        <w:rPr>
          <w:rFonts w:eastAsia="Times New Roman"/>
          <w:lang w:val="nl-NL"/>
        </w:rPr>
      </w:pPr>
      <w:bookmarkStart w:id="62" w:name="_Toc242191239"/>
      <w:r>
        <w:rPr>
          <w:rFonts w:eastAsia="Times New Roman"/>
          <w:lang w:val="nl-NL"/>
        </w:rPr>
        <w:t>Deel D — Het patroon: procedureel afwijzen</w:t>
      </w:r>
      <w:bookmarkEnd w:id="62"/>
    </w:p>
    <w:p w14:paraId="44DB2AEC" w14:textId="77777777" w:rsidR="006B5103" w:rsidRDefault="006B5103">
      <w:pPr>
        <w:pStyle w:val="Normaalweb"/>
        <w:divId w:val="2114661829"/>
        <w:rPr>
          <w:lang w:val="nl-NL"/>
        </w:rPr>
      </w:pPr>
      <w:r>
        <w:rPr>
          <w:lang w:val="nl-NL"/>
        </w:rPr>
        <w:t xml:space="preserve">Wat het UWV consequent doet, is niet weigeren. Het is </w:t>
      </w:r>
      <w:r>
        <w:rPr>
          <w:rStyle w:val="Zwaar"/>
          <w:lang w:val="nl-NL"/>
        </w:rPr>
        <w:t>procedureel afwijzen</w:t>
      </w:r>
      <w:r>
        <w:rPr>
          <w:lang w:val="nl-NL"/>
        </w:rPr>
        <w:t>. Dat is een fundamenteel verschil.</w:t>
      </w:r>
    </w:p>
    <w:p w14:paraId="270A6D10" w14:textId="77777777" w:rsidR="006B5103" w:rsidRDefault="006B5103">
      <w:pPr>
        <w:pStyle w:val="Normaalweb"/>
        <w:divId w:val="2114661829"/>
        <w:rPr>
          <w:lang w:val="nl-NL"/>
        </w:rPr>
      </w:pPr>
      <w:r>
        <w:rPr>
          <w:lang w:val="nl-NL"/>
        </w:rPr>
        <w:t xml:space="preserve">Bij een inhoudelijke weigering zou het UWV moeten stellen: </w:t>
      </w:r>
      <w:r>
        <w:rPr>
          <w:rStyle w:val="Nadruk"/>
          <w:lang w:val="nl-NL"/>
        </w:rPr>
        <w:t>de medische situatie is niet erg genoeg</w:t>
      </w:r>
      <w:r>
        <w:rPr>
          <w:lang w:val="nl-NL"/>
        </w:rPr>
        <w:t>. Dat zou betekenen dat een arts het lichaam heeft gezien, de amputaties heeft vastgesteld, de visus heeft getest, en op basis daarvan tot de conclusie is gekomen dat er geen recht bestaat.</w:t>
      </w:r>
    </w:p>
    <w:p w14:paraId="5606C3AC" w14:textId="77777777" w:rsidR="006B5103" w:rsidRDefault="006B5103">
      <w:pPr>
        <w:pStyle w:val="Normaalweb"/>
        <w:divId w:val="2114661829"/>
        <w:rPr>
          <w:lang w:val="nl-NL"/>
        </w:rPr>
      </w:pPr>
      <w:r>
        <w:rPr>
          <w:lang w:val="nl-NL"/>
        </w:rPr>
        <w:t xml:space="preserve">Bij een procedurele afwijzing stelt het UWV: </w:t>
      </w:r>
      <w:r>
        <w:rPr>
          <w:rStyle w:val="Nadruk"/>
          <w:lang w:val="nl-NL"/>
        </w:rPr>
        <w:t>de aanvraag voldoet niet aan de vormvoorwaarde</w:t>
      </w:r>
      <w:r>
        <w:rPr>
          <w:lang w:val="nl-NL"/>
        </w:rPr>
        <w:t>. Geen vinkje. Geen juiste peildatum. Geen verzekeringsgrond. Geen Belgische beslissing. Geen C4-formulier.</w:t>
      </w:r>
    </w:p>
    <w:p w14:paraId="5C8D748D" w14:textId="77777777" w:rsidR="006B5103" w:rsidRDefault="006B5103">
      <w:pPr>
        <w:pStyle w:val="Normaalweb"/>
        <w:divId w:val="2114661829"/>
        <w:rPr>
          <w:lang w:val="nl-NL"/>
        </w:rPr>
      </w:pPr>
      <w:r>
        <w:rPr>
          <w:lang w:val="nl-NL"/>
        </w:rPr>
        <w:t>De procedurele afwijzing heeft drie voordelen voor de instantie:</w:t>
      </w:r>
    </w:p>
    <w:p w14:paraId="39BD219C" w14:textId="77777777" w:rsidR="006B5103" w:rsidRDefault="006B5103">
      <w:pPr>
        <w:numPr>
          <w:ilvl w:val="0"/>
          <w:numId w:val="11"/>
        </w:numPr>
        <w:spacing w:before="100" w:beforeAutospacing="1" w:after="100" w:afterAutospacing="1"/>
        <w:divId w:val="2114661829"/>
        <w:rPr>
          <w:rFonts w:eastAsia="Times New Roman"/>
          <w:lang w:val="nl-NL"/>
        </w:rPr>
      </w:pPr>
      <w:r>
        <w:rPr>
          <w:rStyle w:val="Zwaar"/>
          <w:rFonts w:eastAsia="Times New Roman"/>
          <w:lang w:val="nl-NL"/>
        </w:rPr>
        <w:t>Geen medische beoordeling nodig.</w:t>
      </w:r>
      <w:r>
        <w:rPr>
          <w:rFonts w:eastAsia="Times New Roman"/>
          <w:lang w:val="nl-NL"/>
        </w:rPr>
        <w:t xml:space="preserve"> De beoordeling wordt overgeslagen of uitgesteld.</w:t>
      </w:r>
    </w:p>
    <w:p w14:paraId="27BF3617" w14:textId="77777777" w:rsidR="006B5103" w:rsidRDefault="006B5103">
      <w:pPr>
        <w:numPr>
          <w:ilvl w:val="0"/>
          <w:numId w:val="11"/>
        </w:numPr>
        <w:spacing w:before="100" w:beforeAutospacing="1" w:after="100" w:afterAutospacing="1"/>
        <w:divId w:val="2114661829"/>
        <w:rPr>
          <w:rFonts w:eastAsia="Times New Roman"/>
          <w:lang w:val="nl-NL"/>
        </w:rPr>
      </w:pPr>
      <w:r>
        <w:rPr>
          <w:rStyle w:val="Zwaar"/>
          <w:rFonts w:eastAsia="Times New Roman"/>
          <w:lang w:val="nl-NL"/>
        </w:rPr>
        <w:t>Geen betwistbare beslissing.</w:t>
      </w:r>
      <w:r>
        <w:rPr>
          <w:rFonts w:eastAsia="Times New Roman"/>
          <w:lang w:val="nl-NL"/>
        </w:rPr>
        <w:t xml:space="preserve"> Formele argumenten zijn moeilijk aan te vechten via de rechter.</w:t>
      </w:r>
    </w:p>
    <w:p w14:paraId="6D8AD0B7" w14:textId="77777777" w:rsidR="006B5103" w:rsidRDefault="006B5103">
      <w:pPr>
        <w:numPr>
          <w:ilvl w:val="0"/>
          <w:numId w:val="11"/>
        </w:numPr>
        <w:spacing w:before="100" w:beforeAutospacing="1" w:after="100" w:afterAutospacing="1"/>
        <w:divId w:val="2114661829"/>
        <w:rPr>
          <w:rFonts w:eastAsia="Times New Roman"/>
          <w:lang w:val="nl-NL"/>
        </w:rPr>
      </w:pPr>
      <w:r>
        <w:rPr>
          <w:rStyle w:val="Zwaar"/>
          <w:rFonts w:eastAsia="Times New Roman"/>
          <w:lang w:val="nl-NL"/>
        </w:rPr>
        <w:t>Automatische doorschuiving naar de burger.</w:t>
      </w:r>
      <w:r>
        <w:rPr>
          <w:rFonts w:eastAsia="Times New Roman"/>
          <w:lang w:val="nl-NL"/>
        </w:rPr>
        <w:t xml:space="preserve"> De burger moet eerst een andere beslissing forceren voordat de instantie iets doet.</w:t>
      </w:r>
    </w:p>
    <w:p w14:paraId="0175FDD0" w14:textId="77777777" w:rsidR="006B5103" w:rsidRDefault="006B5103">
      <w:pPr>
        <w:pStyle w:val="Normaalweb"/>
        <w:divId w:val="2114661829"/>
        <w:rPr>
          <w:lang w:val="nl-NL"/>
        </w:rPr>
      </w:pPr>
      <w:r>
        <w:rPr>
          <w:lang w:val="nl-NL"/>
        </w:rPr>
        <w:t>Het UWV en de RVA hanteren hier hetzelfde patroon, maar in tegenovergestelde richting. Het UWV weigert de Belgische beslissing te lezen. De RVA weigert de Nederlandse beslissing te lezen. Beide instanties wachten op de andere, en geen van beide neemt de verantwoordelijkheid.</w:t>
      </w:r>
    </w:p>
    <w:p w14:paraId="2696B575" w14:textId="77777777" w:rsidR="006B5103" w:rsidRDefault="006B5103">
      <w:pPr>
        <w:pStyle w:val="Kop3"/>
        <w:divId w:val="2114661829"/>
        <w:rPr>
          <w:rFonts w:eastAsia="Times New Roman"/>
          <w:lang w:val="nl-NL"/>
        </w:rPr>
      </w:pPr>
      <w:bookmarkStart w:id="63" w:name="_Toc242191240"/>
      <w:r>
        <w:rPr>
          <w:rFonts w:eastAsia="Times New Roman"/>
          <w:lang w:val="nl-NL"/>
        </w:rPr>
        <w:t>Deel E — De afwijzingsredenen op een rij</w:t>
      </w:r>
      <w:bookmarkEnd w:id="63"/>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B707DC6"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EBC1960" w14:textId="77777777" w:rsidR="006B5103" w:rsidRDefault="006B5103">
            <w:pPr>
              <w:pStyle w:val="Normaalweb"/>
              <w:spacing w:before="120"/>
              <w:jc w:val="center"/>
              <w:rPr>
                <w:sz w:val="21"/>
                <w:szCs w:val="21"/>
              </w:rPr>
            </w:pPr>
            <w:r>
              <w:rPr>
                <w:noProof/>
                <w:sz w:val="21"/>
                <w:szCs w:val="21"/>
              </w:rPr>
              <w:drawing>
                <wp:inline distT="0" distB="0" distL="0" distR="0" wp14:anchorId="4CD18417" wp14:editId="1FCF3C71">
                  <wp:extent cx="5715000" cy="180975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link="rId42">
                            <a:extLst>
                              <a:ext uri="{28A0092B-C50C-407E-A947-70E740481C1C}">
                                <a14:useLocalDpi xmlns:a14="http://schemas.microsoft.com/office/drawing/2010/main" val="0"/>
                              </a:ext>
                            </a:extLst>
                          </a:blip>
                          <a:srcRect/>
                          <a:stretch>
                            <a:fillRect/>
                          </a:stretch>
                        </pic:blipFill>
                        <pic:spPr bwMode="auto">
                          <a:xfrm>
                            <a:off x="0" y="0"/>
                            <a:ext cx="5715000" cy="1809750"/>
                          </a:xfrm>
                          <a:prstGeom prst="rect">
                            <a:avLst/>
                          </a:prstGeom>
                          <a:noFill/>
                          <a:ln>
                            <a:noFill/>
                          </a:ln>
                        </pic:spPr>
                      </pic:pic>
                    </a:graphicData>
                  </a:graphic>
                </wp:inline>
              </w:drawing>
            </w:r>
          </w:p>
          <w:p w14:paraId="11267558" w14:textId="77777777" w:rsidR="006B5103" w:rsidRDefault="006B5103">
            <w:pPr>
              <w:pStyle w:val="caption"/>
              <w:spacing w:after="120" w:afterAutospacing="0"/>
            </w:pPr>
            <w:r>
              <w:rPr>
                <w:rStyle w:val="Zwaar"/>
              </w:rPr>
              <w:t>Figuur IX.4 — Zes afwijzingen, zes redenen.</w:t>
            </w:r>
            <w:r>
              <w:t xml:space="preserve"> </w:t>
            </w:r>
            <w:r>
              <w:t>Alle redenen zijn procedureel. Geen enkele reden is medisch. De medische situatie wordt in de hele keten niet inhoudelijk getoetst.</w:t>
            </w:r>
          </w:p>
        </w:tc>
      </w:tr>
    </w:tbl>
    <w:p w14:paraId="7595CF5F" w14:textId="77777777" w:rsidR="006B5103" w:rsidRDefault="006B5103">
      <w:pPr>
        <w:pStyle w:val="Kop3"/>
        <w:divId w:val="2114661829"/>
        <w:rPr>
          <w:rFonts w:eastAsia="Times New Roman"/>
          <w:lang w:val="nl-NL"/>
        </w:rPr>
      </w:pPr>
      <w:bookmarkStart w:id="64" w:name="_Toc242191241"/>
      <w:r>
        <w:rPr>
          <w:rFonts w:eastAsia="Times New Roman"/>
          <w:lang w:val="nl-NL"/>
        </w:rPr>
        <w:t>Deel F — De twee bezwaren in detail</w:t>
      </w:r>
      <w:bookmarkEnd w:id="64"/>
    </w:p>
    <w:p w14:paraId="0F41636E" w14:textId="77777777" w:rsidR="006B5103" w:rsidRDefault="006B5103">
      <w:pPr>
        <w:pStyle w:val="Kop4"/>
        <w:divId w:val="2114661829"/>
        <w:rPr>
          <w:rFonts w:eastAsia="Times New Roman"/>
          <w:lang w:val="nl-NL"/>
        </w:rPr>
      </w:pPr>
      <w:r>
        <w:rPr>
          <w:rFonts w:eastAsia="Times New Roman"/>
          <w:lang w:val="nl-NL"/>
        </w:rPr>
        <w:t>Bezwaar 1 — De Caren-aanvulling</w:t>
      </w:r>
    </w:p>
    <w:p w14:paraId="5A90266F" w14:textId="77777777" w:rsidR="006B5103" w:rsidRDefault="006B5103">
      <w:pPr>
        <w:pStyle w:val="tijd"/>
        <w:divId w:val="2114661829"/>
        <w:rPr>
          <w:lang w:val="nl-NL"/>
        </w:rPr>
      </w:pPr>
      <w:r>
        <w:rPr>
          <w:lang w:val="nl-NL"/>
        </w:rPr>
        <w:t>04-06-2026</w:t>
      </w:r>
    </w:p>
    <w:p w14:paraId="671F685B" w14:textId="77777777" w:rsidR="006B5103" w:rsidRDefault="006B5103">
      <w:pPr>
        <w:pStyle w:val="Normaalweb"/>
        <w:divId w:val="2114661829"/>
        <w:rPr>
          <w:lang w:val="nl-NL"/>
        </w:rPr>
      </w:pPr>
      <w:r>
        <w:rPr>
          <w:lang w:val="nl-NL"/>
        </w:rPr>
        <w:t>Op 1 juni 2026 dient de patiënt drie aanvullende bewijsstukken in voor het eerste bezwaar: de Caren-rapportage van de Nederlandse thuiszorg (126 klinische entries die de hospitalisatieperiode 11 april tot 9 mei 2025 bevestigen), een oogheelkundig verslag van het academisch ziekenhuis, en een endocrinologisch verslag.</w:t>
      </w:r>
    </w:p>
    <w:p w14:paraId="3AF36AD0" w14:textId="77777777" w:rsidR="006B5103" w:rsidRDefault="006B5103">
      <w:pPr>
        <w:pStyle w:val="Normaalweb"/>
        <w:divId w:val="2114661829"/>
        <w:rPr>
          <w:lang w:val="nl-NL"/>
        </w:rPr>
      </w:pPr>
      <w:r>
        <w:rPr>
          <w:lang w:val="nl-NL"/>
        </w:rPr>
        <w:t>Drie dagen later verklaart het UWV het bezwaar ongegrond. Zes weken vóór de door het UWV zelf aangekondigde deadline van 15 juli 2026. De Caren-rapportage — het Nederlandse bewijs dat de peildatum bevestigt — wordt niet inhoudelijk behandeld.</w:t>
      </w:r>
    </w:p>
    <w:p w14:paraId="27557BCA" w14:textId="77777777" w:rsidR="006B5103" w:rsidRDefault="006B5103">
      <w:pPr>
        <w:pStyle w:val="Kop4"/>
        <w:divId w:val="2114661829"/>
        <w:rPr>
          <w:rFonts w:eastAsia="Times New Roman"/>
          <w:lang w:val="nl-NL"/>
        </w:rPr>
      </w:pPr>
      <w:r>
        <w:rPr>
          <w:rFonts w:eastAsia="Times New Roman"/>
          <w:lang w:val="nl-NL"/>
        </w:rPr>
        <w:t>Bezwaar 2 — De Vester-weigering</w:t>
      </w:r>
    </w:p>
    <w:p w14:paraId="157AC023" w14:textId="77777777" w:rsidR="006B5103" w:rsidRDefault="006B5103">
      <w:pPr>
        <w:pStyle w:val="tijd"/>
        <w:divId w:val="2114661829"/>
        <w:rPr>
          <w:lang w:val="nl-NL"/>
        </w:rPr>
      </w:pPr>
      <w:r>
        <w:rPr>
          <w:lang w:val="nl-NL"/>
        </w:rPr>
        <w:t>08-07-2026</w:t>
      </w:r>
    </w:p>
    <w:p w14:paraId="2129CAB2" w14:textId="77777777" w:rsidR="006B5103" w:rsidRDefault="006B5103">
      <w:pPr>
        <w:pStyle w:val="Normaalweb"/>
        <w:divId w:val="2114661829"/>
        <w:rPr>
          <w:lang w:val="nl-NL"/>
        </w:rPr>
      </w:pPr>
      <w:r>
        <w:rPr>
          <w:lang w:val="nl-NL"/>
        </w:rPr>
        <w:t>Het tweede bezwaar betreft de WIA-afwijzing van 14 april 2026. De patiënt voert het Vester-arrest aan: bij opeenvolgende verzekeringen in twee lidstaten mag een lidstaat de wachttijd niet zo toepassen dat er een inkomenshiaat ontstaat. Het UWV wijst dit expliciet af met de stelling dat het inkomenshiaat niet kan worden vastgesteld zonder een formele beslissing uit België.</w:t>
      </w:r>
    </w:p>
    <w:p w14:paraId="5B51C92F" w14:textId="77777777" w:rsidR="006B5103" w:rsidRDefault="006B5103">
      <w:pPr>
        <w:pStyle w:val="Normaalweb"/>
        <w:divId w:val="2114661829"/>
        <w:rPr>
          <w:lang w:val="nl-NL"/>
        </w:rPr>
      </w:pPr>
      <w:r>
        <w:rPr>
          <w:lang w:val="nl-NL"/>
        </w:rPr>
        <w:t>Omdat België eveneens weigert, sluit het UWV het dossier met de boodschap dat de burger eerst de Belgische beslissing moet forceren. De verantwoordelijkheid voor het doorbreken van de patstelling wordt teruggeschoven naar de burger.</w:t>
      </w:r>
    </w:p>
    <w:p w14:paraId="6B9FE497" w14:textId="77777777" w:rsidR="006B5103" w:rsidRDefault="006B5103">
      <w:pPr>
        <w:pStyle w:val="Kop3"/>
        <w:divId w:val="2114661829"/>
        <w:rPr>
          <w:rFonts w:eastAsia="Times New Roman"/>
          <w:lang w:val="nl-NL"/>
        </w:rPr>
      </w:pPr>
      <w:bookmarkStart w:id="65" w:name="_Toc242191242"/>
      <w:r>
        <w:rPr>
          <w:rFonts w:eastAsia="Times New Roman"/>
          <w:lang w:val="nl-NL"/>
        </w:rPr>
        <w:t>Deel G — Wat dit hoofdstuk vaststelt</w:t>
      </w:r>
      <w:bookmarkEnd w:id="65"/>
    </w:p>
    <w:p w14:paraId="701170DC" w14:textId="77777777" w:rsidR="006B5103" w:rsidRDefault="006B5103">
      <w:pPr>
        <w:pStyle w:val="Normaalweb"/>
        <w:divId w:val="2114661829"/>
        <w:rPr>
          <w:lang w:val="nl-NL"/>
        </w:rPr>
      </w:pPr>
      <w:r>
        <w:rPr>
          <w:lang w:val="nl-NL"/>
        </w:rPr>
        <w:t>Het UWV en de RVA hanteren hetzelfde patroon in tegenovergestelde richting. Beide instanties wijzen procedureel af. Beide instanties weigeren de gegevens van de andere kant te lezen. Beide instanties schuiven de verantwoordelijkheid terug naar de burger.</w:t>
      </w:r>
    </w:p>
    <w:p w14:paraId="68239970" w14:textId="77777777" w:rsidR="006B5103" w:rsidRDefault="006B5103">
      <w:pPr>
        <w:pStyle w:val="Normaalweb"/>
        <w:divId w:val="2114661829"/>
        <w:rPr>
          <w:lang w:val="nl-NL"/>
        </w:rPr>
      </w:pPr>
      <w:r>
        <w:rPr>
          <w:lang w:val="nl-NL"/>
        </w:rPr>
        <w:t>De burger zit vast tussen twee instanties die elk een eigen voorwaarde stellen die door de andere instantie onvervulbaar is gemaakt. En in de hele keten wordt de medische situatie niet één keer inhoudelijk getoetst.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EECFB4E"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38C23EB8"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bij een afwijzing door het UWV of de RVA is het belangrijk te controleren of de afwijzing inhoudelijk is of procedureel. Een procedurele afwijzing kan vaak worden aangevochten door de vormvoorwaarde te vervullen — maar als die voorwaarde in de praktijk onvervulbaar is (zoals een C4-formulier dat niet bestaat), kan een </w:t>
            </w:r>
            <w:r>
              <w:rPr>
                <w:rStyle w:val="Nadruk"/>
                <w:rFonts w:eastAsia="Times New Roman"/>
                <w:szCs w:val="22"/>
              </w:rPr>
              <w:t>herzieningsverzoek</w:t>
            </w:r>
            <w:r>
              <w:rPr>
                <w:rFonts w:eastAsia="Times New Roman"/>
                <w:szCs w:val="22"/>
              </w:rPr>
              <w:t xml:space="preserve"> op grond van artikel 4:6 van de Algemene wet bestuursrecht (NL) of een formeel bezwaarschrift (BE) de juiste weg zijn. </w:t>
            </w:r>
            <w:r>
              <w:rPr>
                <w:rFonts w:eastAsia="Times New Roman"/>
                <w:szCs w:val="22"/>
              </w:rPr>
              <w:br/>
            </w:r>
            <w:r>
              <w:rPr>
                <w:rFonts w:eastAsia="Times New Roman"/>
                <w:szCs w:val="22"/>
              </w:rPr>
              <w:br/>
              <w:t xml:space="preserve">Voor loopbaandocumentatie: vraag bij het AGODI een </w:t>
            </w:r>
            <w:r>
              <w:rPr>
                <w:rFonts w:eastAsia="Times New Roman"/>
                <w:szCs w:val="22"/>
              </w:rPr>
              <w:t xml:space="preserve">officiële Berekening Geldelijke Anciënniteit aan als alternatief bewijs voor de RVA. Voor Nederlandse gegevens: injecteer de PD U1 handmatig via het MyCareer-portaal van de FOD Sociale Zekerheid. </w:t>
            </w:r>
          </w:p>
        </w:tc>
      </w:tr>
    </w:tbl>
    <w:p w14:paraId="34718660"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De feiten zijn gebaseerd op Document B. Dit hoofdstuk is geen juridisch advies.</w:t>
      </w:r>
    </w:p>
    <w:p w14:paraId="02088898" w14:textId="77777777" w:rsidR="006B5103" w:rsidRDefault="006B5103">
      <w:pPr>
        <w:pStyle w:val="marker"/>
        <w:ind w:left="800" w:right="800"/>
        <w:divId w:val="2114661829"/>
        <w:rPr>
          <w:lang w:val="nl-NL"/>
        </w:rPr>
      </w:pPr>
      <w:r>
        <w:br w:type="page"/>
      </w:r>
    </w:p>
    <w:p w14:paraId="73EBB855" w14:textId="77777777" w:rsidR="006B5103" w:rsidRDefault="006B5103">
      <w:pPr>
        <w:pStyle w:val="Kop2"/>
        <w:divId w:val="2114661829"/>
        <w:rPr>
          <w:rFonts w:eastAsia="Times New Roman"/>
          <w:lang w:val="nl-NL"/>
        </w:rPr>
      </w:pPr>
      <w:bookmarkStart w:id="66" w:name="_Toc242191243"/>
      <w:r>
        <w:rPr>
          <w:rFonts w:eastAsia="Times New Roman"/>
          <w:lang w:val="nl-NL"/>
        </w:rPr>
        <w:t>CZ — de twee gezichten van de poortwachter</w:t>
      </w:r>
      <w:bookmarkEnd w:id="66"/>
    </w:p>
    <w:p w14:paraId="350B9802" w14:textId="77777777" w:rsidR="006B5103" w:rsidRDefault="006B5103">
      <w:pPr>
        <w:pStyle w:val="lead"/>
        <w:divId w:val="2114661829"/>
        <w:rPr>
          <w:lang w:val="nl-NL"/>
        </w:rPr>
      </w:pPr>
      <w:r>
        <w:rPr>
          <w:lang w:val="nl-NL"/>
        </w:rPr>
        <w:t>CZ voert voor een inwoner van Nederland met een baan in België de verdragspolis uit. CZ vergoedt de zorg, maar weigert de registratie die tot zorgtoeslag leidt. CZ weigert ook het ziekenvervoer, met een eis die in het behandelende land niet bestaat. In beide gevallen: het protocol van de instantie gaat boven de medische realiteit. En in beide gevallen: de instanties die de keten zouden moeten sluiten, sluiten hem niet.</w:t>
      </w:r>
    </w:p>
    <w:p w14:paraId="18D34A56" w14:textId="77777777" w:rsidR="006B5103" w:rsidRDefault="006B5103">
      <w:pPr>
        <w:pStyle w:val="Kop3"/>
        <w:divId w:val="2114661829"/>
        <w:rPr>
          <w:rFonts w:eastAsia="Times New Roman"/>
          <w:lang w:val="nl-NL"/>
        </w:rPr>
      </w:pPr>
      <w:bookmarkStart w:id="67" w:name="_Toc242191244"/>
      <w:r>
        <w:rPr>
          <w:rFonts w:eastAsia="Times New Roman"/>
          <w:lang w:val="nl-NL"/>
        </w:rPr>
        <w:t>Verhaal 1 — De verdragspolis en de zorgtoeslag</w:t>
      </w:r>
      <w:bookmarkEnd w:id="67"/>
    </w:p>
    <w:p w14:paraId="7CD79543" w14:textId="77777777" w:rsidR="006B5103" w:rsidRDefault="006B5103">
      <w:pPr>
        <w:pStyle w:val="Kop4"/>
        <w:divId w:val="2114661829"/>
        <w:rPr>
          <w:rFonts w:eastAsia="Times New Roman"/>
          <w:lang w:val="nl-NL"/>
        </w:rPr>
      </w:pPr>
      <w:r>
        <w:rPr>
          <w:rFonts w:eastAsia="Times New Roman"/>
          <w:lang w:val="nl-NL"/>
        </w:rPr>
        <w:t>Wat de verdragspolis is</w:t>
      </w:r>
    </w:p>
    <w:p w14:paraId="75862B3D" w14:textId="77777777" w:rsidR="006B5103" w:rsidRDefault="006B5103">
      <w:pPr>
        <w:pStyle w:val="Normaalweb"/>
        <w:divId w:val="2114661829"/>
        <w:rPr>
          <w:lang w:val="nl-NL"/>
        </w:rPr>
      </w:pPr>
      <w:r>
        <w:rPr>
          <w:lang w:val="nl-NL"/>
        </w:rPr>
        <w:t>Een verdragspolis is een Europees instrument. De werknemer woont in Nederland, werkt in België. Volgens de Europese coördinatieregels is het werkland bevoegd voor de sociale zekerheid. De werknemer betaalt zijn sociale premies in België, aan het Belgische ziekenfonds.</w:t>
      </w:r>
    </w:p>
    <w:p w14:paraId="3735C5C3" w14:textId="77777777" w:rsidR="006B5103" w:rsidRDefault="006B5103">
      <w:pPr>
        <w:pStyle w:val="Normaalweb"/>
        <w:divId w:val="2114661829"/>
        <w:rPr>
          <w:lang w:val="nl-NL"/>
        </w:rPr>
      </w:pPr>
      <w:r>
        <w:rPr>
          <w:lang w:val="nl-NL"/>
        </w:rPr>
        <w:t>Maar hij heeft ook recht op zorg in zijn woonland. Daarvoor dient de verdragspolis: CZ treedt op als Nederlandse uitvoerder van de polis, vergoedt de Nederlandse zorgkosten, en verrekent die met België.</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45224C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4F09465" w14:textId="77777777" w:rsidR="006B5103" w:rsidRDefault="006B5103">
            <w:pPr>
              <w:pStyle w:val="Normaalweb"/>
              <w:spacing w:before="120"/>
              <w:jc w:val="center"/>
              <w:rPr>
                <w:sz w:val="21"/>
                <w:szCs w:val="21"/>
              </w:rPr>
            </w:pPr>
            <w:r>
              <w:rPr>
                <w:noProof/>
                <w:sz w:val="21"/>
                <w:szCs w:val="21"/>
              </w:rPr>
              <w:drawing>
                <wp:inline distT="0" distB="0" distL="0" distR="0" wp14:anchorId="58BD92FF" wp14:editId="6C4E7E69">
                  <wp:extent cx="5715000" cy="1758950"/>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link="rId43">
                            <a:extLst>
                              <a:ext uri="{28A0092B-C50C-407E-A947-70E740481C1C}">
                                <a14:useLocalDpi xmlns:a14="http://schemas.microsoft.com/office/drawing/2010/main" val="0"/>
                              </a:ext>
                            </a:extLst>
                          </a:blip>
                          <a:srcRect/>
                          <a:stretch>
                            <a:fillRect/>
                          </a:stretch>
                        </pic:blipFill>
                        <pic:spPr bwMode="auto">
                          <a:xfrm>
                            <a:off x="0" y="0"/>
                            <a:ext cx="5715000" cy="1758950"/>
                          </a:xfrm>
                          <a:prstGeom prst="rect">
                            <a:avLst/>
                          </a:prstGeom>
                          <a:noFill/>
                          <a:ln>
                            <a:noFill/>
                          </a:ln>
                        </pic:spPr>
                      </pic:pic>
                    </a:graphicData>
                  </a:graphic>
                </wp:inline>
              </w:drawing>
            </w:r>
          </w:p>
          <w:p w14:paraId="3C79B644" w14:textId="77777777" w:rsidR="006B5103" w:rsidRDefault="006B5103">
            <w:pPr>
              <w:pStyle w:val="caption"/>
              <w:spacing w:after="120" w:afterAutospacing="0"/>
            </w:pPr>
            <w:r>
              <w:t>De premie gaat naar het werkland (België, via CM). CZ vergoedt de Nederlandse zorgkosten maar ontvangt geen premie. De registratie in het RIV-register kost CZ moeite zonder dat er inkomsten tegenover staan.</w:t>
            </w:r>
          </w:p>
        </w:tc>
      </w:tr>
    </w:tbl>
    <w:p w14:paraId="7E5A74A1" w14:textId="77777777" w:rsidR="006B5103" w:rsidRDefault="006B5103">
      <w:pPr>
        <w:pStyle w:val="Kop4"/>
        <w:divId w:val="2114661829"/>
        <w:rPr>
          <w:rFonts w:eastAsia="Times New Roman"/>
          <w:lang w:val="nl-NL"/>
        </w:rPr>
      </w:pPr>
      <w:r>
        <w:rPr>
          <w:rFonts w:eastAsia="Times New Roman"/>
          <w:lang w:val="nl-NL"/>
        </w:rPr>
        <w:t>De redenering van CZ</w:t>
      </w:r>
    </w:p>
    <w:p w14:paraId="6F39527A" w14:textId="77777777" w:rsidR="006B5103" w:rsidRDefault="006B5103">
      <w:pPr>
        <w:numPr>
          <w:ilvl w:val="0"/>
          <w:numId w:val="12"/>
        </w:numPr>
        <w:spacing w:before="100" w:beforeAutospacing="1" w:after="100" w:afterAutospacing="1"/>
        <w:divId w:val="2114661829"/>
        <w:rPr>
          <w:rFonts w:eastAsia="Times New Roman"/>
          <w:lang w:val="nl-NL"/>
        </w:rPr>
      </w:pPr>
      <w:r>
        <w:rPr>
          <w:rFonts w:eastAsia="Times New Roman"/>
          <w:lang w:val="nl-NL"/>
        </w:rPr>
        <w:t>De verdragspolis is geen Nederlandse zorgverzekering in de zin van de Wet op de zorgtoeslag.</w:t>
      </w:r>
    </w:p>
    <w:p w14:paraId="051DF441" w14:textId="77777777" w:rsidR="006B5103" w:rsidRDefault="006B5103">
      <w:pPr>
        <w:numPr>
          <w:ilvl w:val="0"/>
          <w:numId w:val="12"/>
        </w:numPr>
        <w:spacing w:before="100" w:beforeAutospacing="1" w:after="100" w:afterAutospacing="1"/>
        <w:divId w:val="2114661829"/>
        <w:rPr>
          <w:rFonts w:eastAsia="Times New Roman"/>
          <w:lang w:val="nl-NL"/>
        </w:rPr>
      </w:pPr>
      <w:r>
        <w:rPr>
          <w:rFonts w:eastAsia="Times New Roman"/>
          <w:lang w:val="nl-NL"/>
        </w:rPr>
        <w:t>De premie voor de verdragspolis wordt betaald in het werkland (België), niet in Nederland.</w:t>
      </w:r>
    </w:p>
    <w:p w14:paraId="693024AC" w14:textId="77777777" w:rsidR="006B5103" w:rsidRDefault="006B5103">
      <w:pPr>
        <w:numPr>
          <w:ilvl w:val="0"/>
          <w:numId w:val="12"/>
        </w:numPr>
        <w:spacing w:before="100" w:beforeAutospacing="1" w:after="100" w:afterAutospacing="1"/>
        <w:divId w:val="2114661829"/>
        <w:rPr>
          <w:rFonts w:eastAsia="Times New Roman"/>
          <w:lang w:val="nl-NL"/>
        </w:rPr>
      </w:pPr>
      <w:r>
        <w:rPr>
          <w:rFonts w:eastAsia="Times New Roman"/>
          <w:lang w:val="nl-NL"/>
        </w:rPr>
        <w:t>Wie in België verzekerd is voor geneeskundige verzorging, is geen verzekerde in de zin van de Nederlandse Wet op de zorgtoeslag.</w:t>
      </w:r>
    </w:p>
    <w:p w14:paraId="76FBCA20" w14:textId="77777777" w:rsidR="006B5103" w:rsidRDefault="006B5103">
      <w:pPr>
        <w:numPr>
          <w:ilvl w:val="0"/>
          <w:numId w:val="12"/>
        </w:numPr>
        <w:spacing w:before="100" w:beforeAutospacing="1" w:after="100" w:afterAutospacing="1"/>
        <w:divId w:val="2114661829"/>
        <w:rPr>
          <w:rFonts w:eastAsia="Times New Roman"/>
          <w:lang w:val="nl-NL"/>
        </w:rPr>
      </w:pPr>
      <w:r>
        <w:rPr>
          <w:rFonts w:eastAsia="Times New Roman"/>
          <w:lang w:val="nl-NL"/>
        </w:rPr>
        <w:t>Er bestaat daarom geen recht op zorgtoeslag.</w:t>
      </w:r>
    </w:p>
    <w:p w14:paraId="34862031" w14:textId="77777777" w:rsidR="006B5103" w:rsidRDefault="006B5103">
      <w:pPr>
        <w:pStyle w:val="Normaalweb"/>
        <w:divId w:val="2114661829"/>
        <w:rPr>
          <w:lang w:val="nl-NL"/>
        </w:rPr>
      </w:pPr>
      <w:r>
        <w:rPr>
          <w:lang w:val="nl-NL"/>
        </w:rPr>
        <w:t>Het gevolg: de houder van een verdragspolis is in Nederland verzekerd voor zorg, maar niet verzekerd voor de toeslag. De Dienst Toeslagen leest uitsluitend het RIV-register. Wat daar niet in staat, bestaat niet.</w:t>
      </w:r>
    </w:p>
    <w:p w14:paraId="188DC74D" w14:textId="77777777" w:rsidR="006B5103" w:rsidRDefault="006B5103">
      <w:pPr>
        <w:pStyle w:val="Kop3"/>
        <w:divId w:val="2114661829"/>
        <w:rPr>
          <w:rFonts w:eastAsia="Times New Roman"/>
          <w:lang w:val="nl-NL"/>
        </w:rPr>
      </w:pPr>
      <w:bookmarkStart w:id="68" w:name="_Toc242191245"/>
      <w:r>
        <w:rPr>
          <w:rFonts w:eastAsia="Times New Roman"/>
          <w:lang w:val="nl-NL"/>
        </w:rPr>
        <w:t>Verhaal 1bis — De keten van de blokkade: CZ, CAK, ZIN</w:t>
      </w:r>
      <w:bookmarkEnd w:id="68"/>
    </w:p>
    <w:p w14:paraId="1223A41A" w14:textId="77777777" w:rsidR="006B5103" w:rsidRDefault="006B5103">
      <w:pPr>
        <w:pStyle w:val="Normaalweb"/>
        <w:divId w:val="2114661829"/>
        <w:rPr>
          <w:lang w:val="nl-NL"/>
        </w:rPr>
      </w:pPr>
      <w:r>
        <w:rPr>
          <w:lang w:val="nl-NL"/>
        </w:rPr>
        <w:t>De weigering van CZ om de verdragspolis te registreren is niet de enige schakel. Het RIV-register — het Referentiebestand Verzekerden Zorgverzekeringswet — wordt beheerd door het Centraal Administratie Kantoor (CAK). En het Zorginstituut Nederland (ZIN) houdt toezicht op de uitvoering. In dit dossier weigeren alle drie de betrokken instanties het probleem op te lossen.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F4158D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C5B25B9" w14:textId="77777777" w:rsidR="006B5103" w:rsidRDefault="006B5103">
            <w:pPr>
              <w:pStyle w:val="Normaalweb"/>
              <w:spacing w:before="120"/>
              <w:jc w:val="center"/>
              <w:rPr>
                <w:sz w:val="21"/>
                <w:szCs w:val="21"/>
              </w:rPr>
            </w:pPr>
            <w:r>
              <w:rPr>
                <w:noProof/>
                <w:sz w:val="21"/>
                <w:szCs w:val="21"/>
              </w:rPr>
              <w:drawing>
                <wp:inline distT="0" distB="0" distL="0" distR="0" wp14:anchorId="20DE69CC" wp14:editId="1A54674D">
                  <wp:extent cx="5715000" cy="2286000"/>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p w14:paraId="4FC337D2" w14:textId="77777777" w:rsidR="006B5103" w:rsidRDefault="006B5103">
            <w:pPr>
              <w:pStyle w:val="caption"/>
              <w:spacing w:after="120" w:afterAutospacing="0"/>
            </w:pPr>
            <w:r>
              <w:rPr>
                <w:rStyle w:val="Zwaar"/>
              </w:rPr>
              <w:t>Figuur X.2 — De gesloten driehoek.</w:t>
            </w:r>
            <w:r>
              <w:t xml:space="preserve"> CZ weigert de registratie. Het CAK beheert het register maar weigert de synchronisatie. Het ZIN houdt toezicht maar weigert inzage in individuele dossiers. Elke instantie wijst naar de andere. De burger zit vast in een cirkel die door niemand wordt doorbroken.</w:t>
            </w:r>
          </w:p>
        </w:tc>
      </w:tr>
    </w:tbl>
    <w:p w14:paraId="58F9287C" w14:textId="77777777" w:rsidR="006B5103" w:rsidRDefault="006B5103">
      <w:pPr>
        <w:pStyle w:val="Kop4"/>
        <w:divId w:val="2114661829"/>
        <w:rPr>
          <w:rFonts w:eastAsia="Times New Roman"/>
          <w:lang w:val="nl-NL"/>
        </w:rPr>
      </w:pPr>
      <w:r>
        <w:rPr>
          <w:rFonts w:eastAsia="Times New Roman"/>
          <w:lang w:val="nl-NL"/>
        </w:rPr>
        <w:t>De redenering van het CAK</w:t>
      </w:r>
    </w:p>
    <w:p w14:paraId="6992FFBA" w14:textId="77777777" w:rsidR="006B5103" w:rsidRDefault="006B5103">
      <w:pPr>
        <w:pStyle w:val="Normaalweb"/>
        <w:divId w:val="2114661829"/>
        <w:rPr>
          <w:lang w:val="nl-NL"/>
        </w:rPr>
      </w:pPr>
      <w:r>
        <w:rPr>
          <w:lang w:val="nl-NL"/>
        </w:rPr>
        <w:t>Het CAK beheert het Referentiebestand Verzekerden Zorgverzekeringswet (RIV) en voert de verdragsregelingen uit. Wanneer de patiënt in april 2026 formeel eist dat de actieve en betaalde verdragspolis in het register wordt bijgeschreven, legt het CAK een fundamentele architectuurfout in de eigen systemen bloot.</w:t>
      </w:r>
    </w:p>
    <w:p w14:paraId="476964E0" w14:textId="77777777" w:rsidR="006B5103" w:rsidRDefault="006B5103">
      <w:pPr>
        <w:pStyle w:val="Normaalweb"/>
        <w:divId w:val="2114661829"/>
        <w:rPr>
          <w:lang w:val="nl-NL"/>
        </w:rPr>
      </w:pPr>
      <w:r>
        <w:rPr>
          <w:lang w:val="nl-NL"/>
        </w:rPr>
        <w:t>De instantie weigert de polis te registreren met een procedureel argument. Het CAK stelt dat zij uitsluitend de "gewone" grensarbeider registreren: de persoon die in Nederland werkt en in het buitenland woont. Voor de omgekeerde situatie — wonen in Nederland, werken in het buitenland — is er simpelweg geen categorie in het systeem geprogrammeerd.</w:t>
      </w:r>
    </w:p>
    <w:p w14:paraId="314FCB34" w14:textId="77777777" w:rsidR="006B5103" w:rsidRDefault="006B5103">
      <w:pPr>
        <w:pStyle w:val="Normaalweb"/>
        <w:divId w:val="2114661829"/>
        <w:rPr>
          <w:lang w:val="nl-NL"/>
        </w:rPr>
      </w:pPr>
      <w:r>
        <w:rPr>
          <w:lang w:val="nl-NL"/>
        </w:rPr>
        <w:t>Het systeem kent het formulierveld niet. En in plaats van het veld toe te voegen, sluit het CAK het dossier.</w:t>
      </w:r>
    </w:p>
    <w:p w14:paraId="5D335DF5" w14:textId="77777777" w:rsidR="006B5103" w:rsidRDefault="006B5103">
      <w:pPr>
        <w:pStyle w:val="Kop4"/>
        <w:divId w:val="2114661829"/>
        <w:rPr>
          <w:rFonts w:eastAsia="Times New Roman"/>
          <w:lang w:val="nl-NL"/>
        </w:rPr>
      </w:pPr>
      <w:r>
        <w:rPr>
          <w:rFonts w:eastAsia="Times New Roman"/>
          <w:lang w:val="nl-NL"/>
        </w:rPr>
        <w:t>De redenering van ZIN</w:t>
      </w:r>
    </w:p>
    <w:p w14:paraId="16A87891" w14:textId="77777777" w:rsidR="006B5103" w:rsidRDefault="006B5103">
      <w:pPr>
        <w:pStyle w:val="Normaalweb"/>
        <w:divId w:val="2114661829"/>
        <w:rPr>
          <w:lang w:val="nl-NL"/>
        </w:rPr>
      </w:pPr>
      <w:r>
        <w:rPr>
          <w:lang w:val="nl-NL"/>
        </w:rPr>
        <w:t>Het Zorginstituut Nederland beheert en superviseert het RIV-register. Wanneer de patiënt het instituut in april 2026 verzoekt de uitsluiting in het register te onderzoeken en te corrigeren, verklaart het instituut geen inzage te hebben in individuele persoonsgegevens. Het weigert het register te controleren en verwijst terug naar CZ en het CAK.</w:t>
      </w:r>
    </w:p>
    <w:p w14:paraId="5826101E" w14:textId="77777777" w:rsidR="006B5103" w:rsidRDefault="006B5103">
      <w:pPr>
        <w:pStyle w:val="Normaalweb"/>
        <w:divId w:val="2114661829"/>
        <w:rPr>
          <w:lang w:val="nl-NL"/>
        </w:rPr>
      </w:pPr>
      <w:r>
        <w:rPr>
          <w:lang w:val="nl-NL"/>
        </w:rPr>
        <w:t>De instantie die het register beheert, kan niet in het register kijken. Dat is de kern van de gesloten driehoek: elke instantie heeft een stukje bevoegdheid, en geen enkele instantie heeft het geheel.</w:t>
      </w:r>
    </w:p>
    <w:p w14:paraId="474526A4" w14:textId="77777777" w:rsidR="006B5103" w:rsidRDefault="006B5103">
      <w:pPr>
        <w:pStyle w:val="Kop3"/>
        <w:divId w:val="2114661829"/>
        <w:rPr>
          <w:rFonts w:eastAsia="Times New Roman"/>
          <w:lang w:val="nl-NL"/>
        </w:rPr>
      </w:pPr>
      <w:bookmarkStart w:id="69" w:name="_Toc242191246"/>
      <w:r>
        <w:rPr>
          <w:rFonts w:eastAsia="Times New Roman"/>
          <w:lang w:val="nl-NL"/>
        </w:rPr>
        <w:t>Verhaal 2 — Het ziekenvervoer</w:t>
      </w:r>
      <w:bookmarkEnd w:id="69"/>
    </w:p>
    <w:p w14:paraId="42E82FF4" w14:textId="77777777" w:rsidR="006B5103" w:rsidRDefault="006B5103">
      <w:pPr>
        <w:pStyle w:val="Normaalweb"/>
        <w:divId w:val="2114661829"/>
        <w:rPr>
          <w:lang w:val="nl-NL"/>
        </w:rPr>
      </w:pPr>
      <w:r>
        <w:rPr>
          <w:lang w:val="nl-NL"/>
        </w:rPr>
        <w:t>De patiënt kan door amputaties en visusverlies niet meer zelfstandig autorijden. Zijn behandelaars zijn in België. Hij woont in Nederland. Voor die verplaatsingen heeft hij aangepast vervoer nodig — zittend ziekenvervoer. Dat is in Nederland een vergoeding die via de zorgverzekeraar loopt. Bij een verdragspolis is dat CZ.</w:t>
      </w:r>
    </w:p>
    <w:p w14:paraId="60847D54" w14:textId="77777777" w:rsidR="006B5103" w:rsidRDefault="006B5103">
      <w:pPr>
        <w:pStyle w:val="Kop4"/>
        <w:divId w:val="2114661829"/>
        <w:rPr>
          <w:rFonts w:eastAsia="Times New Roman"/>
          <w:lang w:val="nl-NL"/>
        </w:rPr>
      </w:pPr>
      <w:r>
        <w:rPr>
          <w:rFonts w:eastAsia="Times New Roman"/>
          <w:lang w:val="nl-NL"/>
        </w:rPr>
        <w:t>Wat CZ eist</w:t>
      </w:r>
    </w:p>
    <w:p w14:paraId="55C8E99D" w14:textId="77777777" w:rsidR="006B5103" w:rsidRDefault="006B5103">
      <w:pPr>
        <w:pStyle w:val="Normaalweb"/>
        <w:divId w:val="2114661829"/>
        <w:rPr>
          <w:lang w:val="nl-NL"/>
        </w:rPr>
      </w:pPr>
      <w:r>
        <w:rPr>
          <w:lang w:val="nl-NL"/>
        </w:rPr>
        <w:t xml:space="preserve">Op 18 maart 2026 dient de patiënt een aanvraag in voor machtiging zittend ziekenvervoer naar het Belgische ziekenhuis. CZ stuurt op 25 maart een informatieverzoek: er is een </w:t>
      </w:r>
      <w:r>
        <w:rPr>
          <w:rStyle w:val="Zwaar"/>
          <w:lang w:val="nl-NL"/>
        </w:rPr>
        <w:t>perimetrie</w:t>
      </w:r>
      <w:r>
        <w:rPr>
          <w:lang w:val="nl-NL"/>
        </w:rPr>
        <w:t xml:space="preserve"> nodig — een gezichtsveldonderzoek.</w:t>
      </w:r>
    </w:p>
    <w:p w14:paraId="17B70DAB" w14:textId="77777777" w:rsidR="006B5103" w:rsidRDefault="006B5103">
      <w:pPr>
        <w:pStyle w:val="Normaalweb"/>
        <w:divId w:val="2114661829"/>
        <w:rPr>
          <w:lang w:val="nl-NL"/>
        </w:rPr>
      </w:pPr>
      <w:r>
        <w:rPr>
          <w:lang w:val="nl-NL"/>
        </w:rPr>
        <w:t>Wat is de perimetrie? Een oogheelkundig onderzoek waarbij de volledige omtrek van het gezichtsveld wordt gemeten. Het is een standaardonderzoek in de Nederlandse oogheelkunde. Het is géén standaardonderzoek in het Belgische protocol voor deze specifieke aandoening — diabetische retinopathie met maculair oedeem. Het Belgische ziekenhuis voert het niet uit bij deze patiënt, want het staat niet in het behandelprotocol.</w:t>
      </w:r>
    </w:p>
    <w:p w14:paraId="64942698" w14:textId="77777777" w:rsidR="006B5103" w:rsidRDefault="006B5103">
      <w:pPr>
        <w:pStyle w:val="Normaalweb"/>
        <w:divId w:val="2114661829"/>
        <w:rPr>
          <w:lang w:val="nl-NL"/>
        </w:rPr>
      </w:pPr>
      <w:r>
        <w:rPr>
          <w:lang w:val="nl-NL"/>
        </w:rPr>
        <w:t>Het gevolg: de patiënt kan het bewijs niet leveren, want het onderzoek bestaat niet in het land waar hij behandeld wordt.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D74B8F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2998E61" w14:textId="77777777" w:rsidR="006B5103" w:rsidRDefault="006B5103">
            <w:pPr>
              <w:pStyle w:val="Normaalweb"/>
              <w:spacing w:before="120"/>
              <w:jc w:val="center"/>
              <w:rPr>
                <w:sz w:val="21"/>
                <w:szCs w:val="21"/>
              </w:rPr>
            </w:pPr>
            <w:r>
              <w:rPr>
                <w:noProof/>
                <w:sz w:val="21"/>
                <w:szCs w:val="21"/>
              </w:rPr>
              <w:drawing>
                <wp:inline distT="0" distB="0" distL="0" distR="0" wp14:anchorId="4030434D" wp14:editId="330BB0D7">
                  <wp:extent cx="5715000" cy="1562100"/>
                  <wp:effectExtent l="0" t="0" r="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link="rId45">
                            <a:extLst>
                              <a:ext uri="{28A0092B-C50C-407E-A947-70E740481C1C}">
                                <a14:useLocalDpi xmlns:a14="http://schemas.microsoft.com/office/drawing/2010/main" val="0"/>
                              </a:ext>
                            </a:extLst>
                          </a:blip>
                          <a:srcRect/>
                          <a:stretch>
                            <a:fillRect/>
                          </a:stretch>
                        </pic:blipFill>
                        <pic:spPr bwMode="auto">
                          <a:xfrm>
                            <a:off x="0" y="0"/>
                            <a:ext cx="5715000" cy="1562100"/>
                          </a:xfrm>
                          <a:prstGeom prst="rect">
                            <a:avLst/>
                          </a:prstGeom>
                          <a:noFill/>
                          <a:ln>
                            <a:noFill/>
                          </a:ln>
                        </pic:spPr>
                      </pic:pic>
                    </a:graphicData>
                  </a:graphic>
                </wp:inline>
              </w:drawing>
            </w:r>
          </w:p>
          <w:p w14:paraId="77F7EE0F" w14:textId="77777777" w:rsidR="006B5103" w:rsidRDefault="006B5103">
            <w:pPr>
              <w:pStyle w:val="caption"/>
              <w:spacing w:after="120" w:afterAutospacing="0"/>
            </w:pPr>
            <w:r>
              <w:t>CZ eist een onderzoek dat in het behandelende land niet standaard wordt uitgevoerd. De patiënt kan het bewijs niet leveren, niet omdat hij niet wil, maar omdat het onderzoek niet bestaat in het protocol van zijn behandelaar.</w:t>
            </w:r>
          </w:p>
        </w:tc>
      </w:tr>
    </w:tbl>
    <w:p w14:paraId="01E813BB" w14:textId="77777777" w:rsidR="006B5103" w:rsidRDefault="006B5103">
      <w:pPr>
        <w:pStyle w:val="Kop4"/>
        <w:divId w:val="2114661829"/>
        <w:rPr>
          <w:rFonts w:eastAsia="Times New Roman"/>
          <w:lang w:val="nl-NL"/>
        </w:rPr>
      </w:pPr>
      <w:r>
        <w:rPr>
          <w:rFonts w:eastAsia="Times New Roman"/>
          <w:lang w:val="nl-NL"/>
        </w:rPr>
        <w:t>De procedurele dans</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74AA25F"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F498B21" w14:textId="77777777" w:rsidR="006B5103" w:rsidRDefault="006B5103">
            <w:pPr>
              <w:pStyle w:val="Normaalweb"/>
              <w:spacing w:before="120"/>
              <w:jc w:val="center"/>
              <w:rPr>
                <w:sz w:val="21"/>
                <w:szCs w:val="21"/>
              </w:rPr>
            </w:pPr>
            <w:r>
              <w:rPr>
                <w:noProof/>
                <w:sz w:val="21"/>
                <w:szCs w:val="21"/>
              </w:rPr>
              <w:drawing>
                <wp:inline distT="0" distB="0" distL="0" distR="0" wp14:anchorId="15E1D191" wp14:editId="628C06F7">
                  <wp:extent cx="5715000" cy="342900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036B528D" w14:textId="77777777" w:rsidR="006B5103" w:rsidRDefault="006B5103">
            <w:pPr>
              <w:pStyle w:val="caption"/>
              <w:spacing w:after="120" w:afterAutospacing="0"/>
            </w:pPr>
            <w:r>
              <w:rPr>
                <w:rStyle w:val="Zwaar"/>
              </w:rPr>
              <w:t>Figuur X.4 — De dans.</w:t>
            </w:r>
            <w:r>
              <w:t xml:space="preserve"> Vijf rondes, drie afwijzingen, één escalatie. Elke keer een nieuwe procedurele eis. Elke keer ingewilligd. En elke keer verschuift de drempel. De patiënt levert het bewijs, het protocol accepteert het niet.</w:t>
            </w:r>
          </w:p>
        </w:tc>
      </w:tr>
    </w:tbl>
    <w:p w14:paraId="1543E45D" w14:textId="77777777" w:rsidR="006B5103" w:rsidRDefault="006B5103">
      <w:pPr>
        <w:pStyle w:val="Kop3"/>
        <w:divId w:val="2114661829"/>
        <w:rPr>
          <w:rFonts w:eastAsia="Times New Roman"/>
          <w:lang w:val="nl-NL"/>
        </w:rPr>
      </w:pPr>
      <w:bookmarkStart w:id="70" w:name="_Toc242191247"/>
      <w:r>
        <w:rPr>
          <w:rFonts w:eastAsia="Times New Roman"/>
          <w:lang w:val="nl-NL"/>
        </w:rPr>
        <w:t>Deel C — De parallel: CZ en CM</w:t>
      </w:r>
      <w:bookmarkEnd w:id="70"/>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6C31CEB"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89C930F" w14:textId="77777777" w:rsidR="006B5103" w:rsidRDefault="006B5103">
            <w:pPr>
              <w:pStyle w:val="Normaalweb"/>
              <w:spacing w:before="120"/>
              <w:jc w:val="center"/>
              <w:rPr>
                <w:sz w:val="21"/>
                <w:szCs w:val="21"/>
              </w:rPr>
            </w:pPr>
            <w:r>
              <w:rPr>
                <w:noProof/>
                <w:sz w:val="21"/>
                <w:szCs w:val="21"/>
              </w:rPr>
              <w:drawing>
                <wp:inline distT="0" distB="0" distL="0" distR="0" wp14:anchorId="670FBE03" wp14:editId="30F409EC">
                  <wp:extent cx="5715000" cy="2495550"/>
                  <wp:effectExtent l="0" t="0" r="0" b="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link="rId47">
                            <a:extLst>
                              <a:ext uri="{28A0092B-C50C-407E-A947-70E740481C1C}">
                                <a14:useLocalDpi xmlns:a14="http://schemas.microsoft.com/office/drawing/2010/main" val="0"/>
                              </a:ext>
                            </a:extLst>
                          </a:blip>
                          <a:srcRect/>
                          <a:stretch>
                            <a:fillRect/>
                          </a:stretch>
                        </pic:blipFill>
                        <pic:spPr bwMode="auto">
                          <a:xfrm>
                            <a:off x="0" y="0"/>
                            <a:ext cx="5715000" cy="2495550"/>
                          </a:xfrm>
                          <a:prstGeom prst="rect">
                            <a:avLst/>
                          </a:prstGeom>
                          <a:noFill/>
                          <a:ln>
                            <a:noFill/>
                          </a:ln>
                        </pic:spPr>
                      </pic:pic>
                    </a:graphicData>
                  </a:graphic>
                </wp:inline>
              </w:drawing>
            </w:r>
          </w:p>
          <w:p w14:paraId="59C28708" w14:textId="77777777" w:rsidR="006B5103" w:rsidRDefault="006B5103">
            <w:pPr>
              <w:pStyle w:val="caption"/>
              <w:spacing w:after="120" w:afterAutospacing="0"/>
            </w:pPr>
            <w:r>
              <w:rPr>
                <w:rStyle w:val="Zwaar"/>
              </w:rPr>
              <w:t>Figuur X.5 — De parallel.</w:t>
            </w:r>
            <w:r>
              <w:t xml:space="preserve"> CM en CZ hanteren dezelfde logica: het medische bewijs wordt erkend waar het binnen het eigen protocol past, en geweigerd waar het protocol een vormvoorwaarde stelt die de patiënt niet kan vervullen. Het protocol is de waarheid, niet het lichaam.</w:t>
            </w:r>
          </w:p>
        </w:tc>
      </w:tr>
    </w:tbl>
    <w:p w14:paraId="56392322" w14:textId="77777777" w:rsidR="006B5103" w:rsidRDefault="006B5103">
      <w:pPr>
        <w:pStyle w:val="Kop3"/>
        <w:divId w:val="2114661829"/>
        <w:rPr>
          <w:rFonts w:eastAsia="Times New Roman"/>
          <w:lang w:val="nl-NL"/>
        </w:rPr>
      </w:pPr>
      <w:bookmarkStart w:id="71" w:name="_Toc242191248"/>
      <w:r>
        <w:rPr>
          <w:rFonts w:eastAsia="Times New Roman"/>
          <w:lang w:val="nl-NL"/>
        </w:rPr>
        <w:t>Deel D — Wat dit oplevert</w:t>
      </w:r>
      <w:bookmarkEnd w:id="71"/>
    </w:p>
    <w:p w14:paraId="6905BF4B" w14:textId="77777777" w:rsidR="006B5103" w:rsidRDefault="006B5103">
      <w:pPr>
        <w:pStyle w:val="Normaalweb"/>
        <w:divId w:val="2114661829"/>
        <w:rPr>
          <w:lang w:val="nl-NL"/>
        </w:rPr>
      </w:pPr>
      <w:r>
        <w:rPr>
          <w:lang w:val="nl-NL"/>
        </w:rPr>
        <w:t>De patiënt heeft in beide verhalen het maximale bewijs geleverd dat hij kan leveren. In het eerste verhaal: een actieve verdragspolis, betaalde premie, uitvoerende instantie in België. In het tweede verhaal: een volledig medisch dossier met amputaties, visuswaarden, en een academisch rapport van een universitair ziekenhuis.</w:t>
      </w:r>
    </w:p>
    <w:p w14:paraId="1C888853" w14:textId="77777777" w:rsidR="006B5103" w:rsidRDefault="006B5103">
      <w:pPr>
        <w:pStyle w:val="Normaalweb"/>
        <w:divId w:val="2114661829"/>
        <w:rPr>
          <w:lang w:val="nl-NL"/>
        </w:rPr>
      </w:pPr>
      <w:r>
        <w:rPr>
          <w:lang w:val="nl-NL"/>
        </w:rPr>
        <w:t>In beide gevallen wijst CZ af op een procedurele grond. De verdragspolis is geen Nederlandse verzekering. De perimetrie ontbreekt. De kilometerberekening klopt niet. De oude brief telt meer dan het nieuwe rapport.</w:t>
      </w:r>
    </w:p>
    <w:p w14:paraId="3CE29718" w14:textId="77777777" w:rsidR="006B5103" w:rsidRDefault="006B5103">
      <w:pPr>
        <w:pStyle w:val="Normaalweb"/>
        <w:divId w:val="2114661829"/>
        <w:rPr>
          <w:lang w:val="nl-NL"/>
        </w:rPr>
      </w:pPr>
      <w:r>
        <w:rPr>
          <w:lang w:val="nl-NL"/>
        </w:rPr>
        <w:t>De kern is niet dat CZ fouten maakt. De kern is dat het CZ-protocol boven de medische werkelijkheid staat. En omdat de wet CZ de ruimte geeft om het protocol te volgen, is er geen schending. Alleen een uitkomst die het gezin niet kan dragen. En de driehoek CZ-CAK-ZIN sluit zich rond het gezin zonder één opening.</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571529A"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5BCB3D5F"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w:t>
            </w:r>
            <w:r>
              <w:rPr>
                <w:rFonts w:eastAsia="Times New Roman"/>
                <w:szCs w:val="22"/>
              </w:rPr>
              <w:t xml:space="preserve">bij CZ-afwijzingen wegens protocolredenen zijn er vier routes: </w:t>
            </w:r>
          </w:p>
          <w:p w14:paraId="1EFE548F" w14:textId="77777777" w:rsidR="006B5103" w:rsidRDefault="006B5103">
            <w:pPr>
              <w:numPr>
                <w:ilvl w:val="0"/>
                <w:numId w:val="13"/>
              </w:numPr>
              <w:spacing w:before="100" w:beforeAutospacing="1" w:after="100" w:afterAutospacing="1"/>
              <w:rPr>
                <w:rFonts w:eastAsia="Times New Roman"/>
                <w:szCs w:val="22"/>
              </w:rPr>
            </w:pPr>
            <w:r>
              <w:rPr>
                <w:rFonts w:eastAsia="Times New Roman"/>
                <w:szCs w:val="22"/>
              </w:rPr>
              <w:t>Formeel bezwaar bij CZ zelf, met de nadruk op de onmogelijkheid om het gevraagde bewijs te leveren (protocolonverenigbaarheid). Voeg een verklaring van de behandelend arts toe dat het gevraagde onderzoek niet bestaat in het behandelprotocol.</w:t>
            </w:r>
          </w:p>
          <w:p w14:paraId="1DFEACC5" w14:textId="77777777" w:rsidR="006B5103" w:rsidRDefault="006B5103">
            <w:pPr>
              <w:numPr>
                <w:ilvl w:val="0"/>
                <w:numId w:val="13"/>
              </w:numPr>
              <w:spacing w:before="100" w:beforeAutospacing="1" w:after="100" w:afterAutospacing="1"/>
              <w:rPr>
                <w:rFonts w:eastAsia="Times New Roman"/>
                <w:szCs w:val="22"/>
              </w:rPr>
            </w:pPr>
            <w:r>
              <w:rPr>
                <w:rFonts w:eastAsia="Times New Roman"/>
                <w:szCs w:val="22"/>
              </w:rPr>
              <w:t>Escalatie naar het Bureau voor Belgische Zaken (BBZ) bij de SVB. Het BBZ kan druk uitoefenen, maar heeft geen dwingende bevoegdheid.</w:t>
            </w:r>
          </w:p>
          <w:p w14:paraId="4E36CB98" w14:textId="77777777" w:rsidR="006B5103" w:rsidRDefault="006B5103">
            <w:pPr>
              <w:numPr>
                <w:ilvl w:val="0"/>
                <w:numId w:val="13"/>
              </w:numPr>
              <w:spacing w:before="100" w:beforeAutospacing="1" w:after="100" w:afterAutospacing="1"/>
              <w:rPr>
                <w:rFonts w:eastAsia="Times New Roman"/>
                <w:szCs w:val="22"/>
              </w:rPr>
            </w:pPr>
            <w:r>
              <w:rPr>
                <w:rFonts w:eastAsia="Times New Roman"/>
                <w:szCs w:val="22"/>
              </w:rPr>
              <w:t>Voor de zorgtoeslag: formeel bezwaar bij de Dienst Toeslagen op basis van de CZ-declaratieoverzichten waaruit blijkt dat u het Nederlandse eigen risico hebt betaald.</w:t>
            </w:r>
          </w:p>
          <w:p w14:paraId="272D71BE" w14:textId="77777777" w:rsidR="006B5103" w:rsidRDefault="006B5103">
            <w:pPr>
              <w:numPr>
                <w:ilvl w:val="0"/>
                <w:numId w:val="13"/>
              </w:numPr>
              <w:spacing w:before="100" w:beforeAutospacing="1" w:after="100" w:afterAutospacing="1"/>
              <w:rPr>
                <w:rFonts w:eastAsia="Times New Roman"/>
                <w:szCs w:val="22"/>
              </w:rPr>
            </w:pPr>
            <w:r>
              <w:rPr>
                <w:rFonts w:eastAsia="Times New Roman"/>
                <w:szCs w:val="22"/>
              </w:rPr>
              <w:t>Inzageverzoek op grond van artikel 15 AVG bij CZ, CAK en ZIN, gericht op de EESSI-logbestanden en de RIV-registratiepogingen. Dit maakt de communicatie meetbaar en kan alsnog een handmatige correctie forceren.</w:t>
            </w:r>
          </w:p>
        </w:tc>
      </w:tr>
    </w:tbl>
    <w:p w14:paraId="377AA9D9"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De feiten zijn gebaseerd op Document B. Dit hoofdstuk is geen juridisch advies.</w:t>
      </w:r>
    </w:p>
    <w:p w14:paraId="16A0CB18" w14:textId="77777777" w:rsidR="006B5103" w:rsidRDefault="006B5103">
      <w:pPr>
        <w:pStyle w:val="marker"/>
        <w:ind w:left="800" w:right="800"/>
        <w:divId w:val="2114661829"/>
        <w:rPr>
          <w:lang w:val="nl-NL"/>
        </w:rPr>
      </w:pPr>
      <w:r>
        <w:br w:type="page"/>
      </w:r>
    </w:p>
    <w:p w14:paraId="6BAC4F06" w14:textId="77777777" w:rsidR="006B5103" w:rsidRDefault="006B5103">
      <w:pPr>
        <w:pStyle w:val="Kop2"/>
        <w:divId w:val="2114661829"/>
        <w:rPr>
          <w:rFonts w:eastAsia="Times New Roman"/>
          <w:lang w:val="nl-NL"/>
        </w:rPr>
      </w:pPr>
      <w:bookmarkStart w:id="72" w:name="_Toc242191249"/>
      <w:r>
        <w:rPr>
          <w:rFonts w:eastAsia="Times New Roman"/>
          <w:lang w:val="nl-NL"/>
        </w:rPr>
        <w:t>De gemeente Hulst-trap</w:t>
      </w:r>
      <w:bookmarkEnd w:id="72"/>
    </w:p>
    <w:p w14:paraId="4C6094E3" w14:textId="77777777" w:rsidR="006B5103" w:rsidRDefault="006B5103">
      <w:pPr>
        <w:pStyle w:val="lead"/>
        <w:divId w:val="2114661829"/>
        <w:rPr>
          <w:lang w:val="nl-NL"/>
        </w:rPr>
      </w:pPr>
      <w:r>
        <w:rPr>
          <w:lang w:val="nl-NL"/>
        </w:rPr>
        <w:t>De gemeente is in Nederland de eerste hulplijn voor wie in financiële nood raakt. Voor een grensarbeider in Zeeuws-Vlaanderen zou de gemeente Hulst de logische plek zijn om bijstand, bijzondere bijstand of maatschappelijke ondersteuning te vragen. De praktijk is anders. De gemeente ontvangt de noodkreet, maar geeft geen geld. Ze biedt hardware en hulp. En ze gebruikt rekenmodellen die de werkelijke situatie niet lezen. Inmiddels is er wel een formeel bezwaarschrift in behandeling — maar de beslissing daarop</w:t>
      </w:r>
      <w:r>
        <w:rPr>
          <w:lang w:val="nl-NL"/>
        </w:rPr>
        <w:t xml:space="preserve"> is opnieuw verdaagd.</w:t>
      </w:r>
    </w:p>
    <w:p w14:paraId="303C9E1C" w14:textId="77777777" w:rsidR="006B5103" w:rsidRDefault="006B5103">
      <w:pPr>
        <w:pStyle w:val="Kop3"/>
        <w:divId w:val="2114661829"/>
        <w:rPr>
          <w:rFonts w:eastAsia="Times New Roman"/>
          <w:lang w:val="nl-NL"/>
        </w:rPr>
      </w:pPr>
      <w:bookmarkStart w:id="73" w:name="_Toc242191250"/>
      <w:r>
        <w:rPr>
          <w:rFonts w:eastAsia="Times New Roman"/>
          <w:lang w:val="nl-NL"/>
        </w:rPr>
        <w:t>Deel A — De gemeente als eerste hulplijn die niet helpt</w:t>
      </w:r>
      <w:bookmarkEnd w:id="73"/>
    </w:p>
    <w:p w14:paraId="208A6341" w14:textId="77777777" w:rsidR="006B5103" w:rsidRDefault="006B5103">
      <w:pPr>
        <w:pStyle w:val="Kop4"/>
        <w:divId w:val="2114661829"/>
        <w:rPr>
          <w:rFonts w:eastAsia="Times New Roman"/>
          <w:lang w:val="nl-NL"/>
        </w:rPr>
      </w:pPr>
      <w:r>
        <w:rPr>
          <w:rFonts w:eastAsia="Times New Roman"/>
          <w:lang w:val="nl-NL"/>
        </w:rPr>
        <w:t>Wat de gemeente had kunnen doen</w:t>
      </w:r>
    </w:p>
    <w:p w14:paraId="780E683C" w14:textId="77777777" w:rsidR="006B5103" w:rsidRDefault="006B5103">
      <w:pPr>
        <w:pStyle w:val="Normaalweb"/>
        <w:divId w:val="2114661829"/>
        <w:rPr>
          <w:lang w:val="nl-NL"/>
        </w:rPr>
      </w:pPr>
      <w:r>
        <w:rPr>
          <w:lang w:val="nl-NL"/>
        </w:rPr>
        <w:t>In het Nederlandse sociale stelsel heeft de gemeente drie instrumenten om inkomensnood op te vangen:</w:t>
      </w:r>
    </w:p>
    <w:p w14:paraId="5BC1CBC4" w14:textId="77777777" w:rsidR="006B5103" w:rsidRDefault="006B5103">
      <w:pPr>
        <w:numPr>
          <w:ilvl w:val="0"/>
          <w:numId w:val="14"/>
        </w:numPr>
        <w:spacing w:before="100" w:beforeAutospacing="1" w:after="100" w:afterAutospacing="1"/>
        <w:divId w:val="2114661829"/>
        <w:rPr>
          <w:rFonts w:eastAsia="Times New Roman"/>
          <w:lang w:val="nl-NL"/>
        </w:rPr>
      </w:pPr>
      <w:r>
        <w:rPr>
          <w:rStyle w:val="Zwaar"/>
          <w:rFonts w:eastAsia="Times New Roman"/>
          <w:lang w:val="nl-NL"/>
        </w:rPr>
        <w:t>Bijstand</w:t>
      </w:r>
      <w:r>
        <w:rPr>
          <w:rFonts w:eastAsia="Times New Roman"/>
          <w:lang w:val="nl-NL"/>
        </w:rPr>
        <w:t xml:space="preserve"> (Participatiewet) — een maandelijkse uitkering voor wie geen of weinig inkomen heeft.</w:t>
      </w:r>
    </w:p>
    <w:p w14:paraId="34B315B7" w14:textId="77777777" w:rsidR="006B5103" w:rsidRDefault="006B5103">
      <w:pPr>
        <w:numPr>
          <w:ilvl w:val="0"/>
          <w:numId w:val="14"/>
        </w:numPr>
        <w:spacing w:before="100" w:beforeAutospacing="1" w:after="100" w:afterAutospacing="1"/>
        <w:divId w:val="2114661829"/>
        <w:rPr>
          <w:rFonts w:eastAsia="Times New Roman"/>
          <w:lang w:val="nl-NL"/>
        </w:rPr>
      </w:pPr>
      <w:r>
        <w:rPr>
          <w:rStyle w:val="Zwaar"/>
          <w:rFonts w:eastAsia="Times New Roman"/>
          <w:lang w:val="nl-NL"/>
        </w:rPr>
        <w:t>Bijzondere bijstand</w:t>
      </w:r>
      <w:r>
        <w:rPr>
          <w:rFonts w:eastAsia="Times New Roman"/>
          <w:lang w:val="nl-NL"/>
        </w:rPr>
        <w:t xml:space="preserve"> — een eenmalige tegemoetkoming voor onvoorziene noodzakelijke kosten.</w:t>
      </w:r>
    </w:p>
    <w:p w14:paraId="5554DC74" w14:textId="77777777" w:rsidR="006B5103" w:rsidRDefault="006B5103">
      <w:pPr>
        <w:numPr>
          <w:ilvl w:val="0"/>
          <w:numId w:val="14"/>
        </w:numPr>
        <w:spacing w:before="100" w:beforeAutospacing="1" w:after="100" w:afterAutospacing="1"/>
        <w:divId w:val="2114661829"/>
        <w:rPr>
          <w:rFonts w:eastAsia="Times New Roman"/>
          <w:lang w:val="nl-NL"/>
        </w:rPr>
      </w:pPr>
      <w:r>
        <w:rPr>
          <w:rStyle w:val="Zwaar"/>
          <w:rFonts w:eastAsia="Times New Roman"/>
          <w:lang w:val="nl-NL"/>
        </w:rPr>
        <w:t>Wmo-ondersteuning</w:t>
      </w:r>
      <w:r>
        <w:rPr>
          <w:rFonts w:eastAsia="Times New Roman"/>
          <w:lang w:val="nl-NL"/>
        </w:rPr>
        <w:t xml:space="preserve"> — maatschappelijke ondersteuning, waaronder huishoudelijke hulp en vervoer.</w:t>
      </w:r>
    </w:p>
    <w:p w14:paraId="339A3937" w14:textId="77777777" w:rsidR="006B5103" w:rsidRDefault="006B5103">
      <w:pPr>
        <w:pStyle w:val="Normaalweb"/>
        <w:divId w:val="2114661829"/>
        <w:rPr>
          <w:lang w:val="nl-NL"/>
        </w:rPr>
      </w:pPr>
      <w:r>
        <w:rPr>
          <w:lang w:val="nl-NL"/>
        </w:rPr>
        <w:t>Deze drie zijn bedoeld om in te grijpen wanneer het inkomen wegvalt of onvoldoende is. Voor een grensarbeider met een medische crisis en een volledig geblokkeerde inkomensstroom is dat exact de situatie waarvoor ze bestaan.</w:t>
      </w:r>
    </w:p>
    <w:p w14:paraId="3E91BC1C" w14:textId="77777777" w:rsidR="006B5103" w:rsidRDefault="006B5103">
      <w:pPr>
        <w:pStyle w:val="Kop4"/>
        <w:divId w:val="2114661829"/>
        <w:rPr>
          <w:rFonts w:eastAsia="Times New Roman"/>
          <w:lang w:val="nl-NL"/>
        </w:rPr>
      </w:pPr>
      <w:r>
        <w:rPr>
          <w:rFonts w:eastAsia="Times New Roman"/>
          <w:lang w:val="nl-NL"/>
        </w:rPr>
        <w:t>Wat de gemeente deed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0A66EA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7EA62CC" w14:textId="77777777" w:rsidR="006B5103" w:rsidRDefault="006B5103">
            <w:pPr>
              <w:pStyle w:val="Normaalweb"/>
              <w:spacing w:before="120"/>
              <w:jc w:val="center"/>
              <w:rPr>
                <w:sz w:val="21"/>
                <w:szCs w:val="21"/>
              </w:rPr>
            </w:pPr>
            <w:r>
              <w:rPr>
                <w:noProof/>
                <w:sz w:val="21"/>
                <w:szCs w:val="21"/>
              </w:rPr>
              <w:drawing>
                <wp:inline distT="0" distB="0" distL="0" distR="0" wp14:anchorId="3692F341" wp14:editId="1D2D748F">
                  <wp:extent cx="5715000" cy="3524250"/>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link="rId48">
                            <a:extLst>
                              <a:ext uri="{28A0092B-C50C-407E-A947-70E740481C1C}">
                                <a14:useLocalDpi xmlns:a14="http://schemas.microsoft.com/office/drawing/2010/main" val="0"/>
                              </a:ext>
                            </a:extLst>
                          </a:blip>
                          <a:srcRect/>
                          <a:stretch>
                            <a:fillRect/>
                          </a:stretch>
                        </pic:blipFill>
                        <pic:spPr bwMode="auto">
                          <a:xfrm>
                            <a:off x="0" y="0"/>
                            <a:ext cx="5715000" cy="3524250"/>
                          </a:xfrm>
                          <a:prstGeom prst="rect">
                            <a:avLst/>
                          </a:prstGeom>
                          <a:noFill/>
                          <a:ln>
                            <a:noFill/>
                          </a:ln>
                        </pic:spPr>
                      </pic:pic>
                    </a:graphicData>
                  </a:graphic>
                </wp:inline>
              </w:drawing>
            </w:r>
          </w:p>
          <w:p w14:paraId="75DD2A23" w14:textId="77777777" w:rsidR="006B5103" w:rsidRDefault="006B5103">
            <w:pPr>
              <w:pStyle w:val="caption"/>
              <w:spacing w:after="120" w:afterAutospacing="0"/>
            </w:pPr>
            <w:r>
              <w:rPr>
                <w:rStyle w:val="Zwaar"/>
              </w:rPr>
              <w:t>Figuur XI.1 — De eerste hulplijn die niet helpt.</w:t>
            </w:r>
            <w:r>
              <w:t xml:space="preserve"> </w:t>
            </w:r>
            <w:r>
              <w:t>De gemeente ontvangt zes keer een formele melding, verspreid over elf maanden. Elke keer volgt een procedurele reactie of helemaal geen reactie. Bijstand en bijzondere bijstand worden niet beoordeeld. Het enige formele spoor dat nu loopt is het bezwaarschrift van 22 juli 2026 — en de beslissing daarop is verdaagd.</w:t>
            </w:r>
          </w:p>
        </w:tc>
      </w:tr>
    </w:tbl>
    <w:p w14:paraId="4BEF28AC" w14:textId="77777777" w:rsidR="006B5103" w:rsidRDefault="006B5103">
      <w:pPr>
        <w:pStyle w:val="Kop3"/>
        <w:divId w:val="2114661829"/>
        <w:rPr>
          <w:rFonts w:eastAsia="Times New Roman"/>
          <w:lang w:val="nl-NL"/>
        </w:rPr>
      </w:pPr>
      <w:bookmarkStart w:id="74" w:name="_Toc242191251"/>
      <w:r>
        <w:rPr>
          <w:rFonts w:eastAsia="Times New Roman"/>
          <w:lang w:val="nl-NL"/>
        </w:rPr>
        <w:t>Deel B — Het lopende bezwaarschrift</w:t>
      </w:r>
      <w:bookmarkEnd w:id="74"/>
    </w:p>
    <w:p w14:paraId="30F836F0" w14:textId="77777777" w:rsidR="006B5103" w:rsidRDefault="006B5103">
      <w:pPr>
        <w:pStyle w:val="Normaalweb"/>
        <w:divId w:val="2114661829"/>
        <w:rPr>
          <w:lang w:val="nl-NL"/>
        </w:rPr>
      </w:pPr>
      <w:r>
        <w:rPr>
          <w:lang w:val="nl-NL"/>
        </w:rPr>
        <w:t>Wat overblijft als formeel spoor is het bezwaarschrift dat op 22 juli 2026 is ingediend tegen de beschikking van 22 juni 2026 inzake de bijzondere bijstand. Het is het eerste moment waarop de gemeente de aanvraag formeel moet beoordelen. De gemeente heeft daarop gereageerd met een verdaging van de beslistermijn.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E10F4C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D60509B" w14:textId="77777777" w:rsidR="006B5103" w:rsidRDefault="006B5103">
            <w:pPr>
              <w:pStyle w:val="Normaalweb"/>
              <w:spacing w:before="120"/>
              <w:jc w:val="center"/>
              <w:rPr>
                <w:sz w:val="21"/>
                <w:szCs w:val="21"/>
              </w:rPr>
            </w:pPr>
            <w:r>
              <w:rPr>
                <w:noProof/>
                <w:sz w:val="21"/>
                <w:szCs w:val="21"/>
              </w:rPr>
              <w:drawing>
                <wp:inline distT="0" distB="0" distL="0" distR="0" wp14:anchorId="6C8587DA" wp14:editId="73DD52E9">
                  <wp:extent cx="5715000" cy="1758950"/>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link="rId49">
                            <a:extLst>
                              <a:ext uri="{28A0092B-C50C-407E-A947-70E740481C1C}">
                                <a14:useLocalDpi xmlns:a14="http://schemas.microsoft.com/office/drawing/2010/main" val="0"/>
                              </a:ext>
                            </a:extLst>
                          </a:blip>
                          <a:srcRect/>
                          <a:stretch>
                            <a:fillRect/>
                          </a:stretch>
                        </pic:blipFill>
                        <pic:spPr bwMode="auto">
                          <a:xfrm>
                            <a:off x="0" y="0"/>
                            <a:ext cx="5715000" cy="1758950"/>
                          </a:xfrm>
                          <a:prstGeom prst="rect">
                            <a:avLst/>
                          </a:prstGeom>
                          <a:noFill/>
                          <a:ln>
                            <a:noFill/>
                          </a:ln>
                        </pic:spPr>
                      </pic:pic>
                    </a:graphicData>
                  </a:graphic>
                </wp:inline>
              </w:drawing>
            </w:r>
          </w:p>
          <w:p w14:paraId="330125B9" w14:textId="77777777" w:rsidR="006B5103" w:rsidRDefault="006B5103">
            <w:pPr>
              <w:pStyle w:val="caption"/>
              <w:spacing w:after="120" w:afterAutospacing="0"/>
            </w:pPr>
            <w:r>
              <w:rPr>
                <w:rStyle w:val="Zwaar"/>
              </w:rPr>
              <w:t>Figuur XI.2 — Het lopende bezwaarschrift.</w:t>
            </w:r>
            <w:r>
              <w:t xml:space="preserve"> Het bezwaarschrift tegen de beschikking inzake bijzondere bijstand is ingediend op 22 juli 2026. De gemeente heeft de ontvangst bevestigd op 21 september 2026 en de beslistermijn met zes weken verdaagd. De aanvrager heeft geen mondelinge toelichting gevraagd, omdat de gronden al voldoende zijn uiteengezet.</w:t>
            </w:r>
          </w:p>
        </w:tc>
      </w:tr>
    </w:tbl>
    <w:p w14:paraId="7B8AAC69" w14:textId="77777777" w:rsidR="006B5103" w:rsidRDefault="006B5103">
      <w:pPr>
        <w:pStyle w:val="Kop3"/>
        <w:divId w:val="2114661829"/>
        <w:rPr>
          <w:rFonts w:eastAsia="Times New Roman"/>
          <w:lang w:val="nl-NL"/>
        </w:rPr>
      </w:pPr>
      <w:bookmarkStart w:id="75" w:name="_Toc242191252"/>
      <w:r>
        <w:rPr>
          <w:rFonts w:eastAsia="Times New Roman"/>
          <w:lang w:val="nl-NL"/>
        </w:rPr>
        <w:t>Deel C — De rekenmodellen die de werkelijkheid niet lezen</w:t>
      </w:r>
      <w:bookmarkEnd w:id="75"/>
    </w:p>
    <w:p w14:paraId="1205349B" w14:textId="77777777" w:rsidR="006B5103" w:rsidRDefault="006B5103">
      <w:pPr>
        <w:pStyle w:val="Normaalweb"/>
        <w:divId w:val="2114661829"/>
        <w:rPr>
          <w:lang w:val="nl-NL"/>
        </w:rPr>
      </w:pPr>
      <w:r>
        <w:rPr>
          <w:lang w:val="nl-NL"/>
        </w:rPr>
        <w:t>Waarom de gemeente, net als Parentia, geen geld vrijmaakt, heeft te maken met het rekenmodel. Bijstand en bijzondere bijstand worden getoetst aan een inkomensgrens. Dat is in principe logisch. Maar het model leest de werkelijke situatie niet.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B069D18"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CBFC68B" w14:textId="77777777" w:rsidR="006B5103" w:rsidRDefault="006B5103">
            <w:pPr>
              <w:pStyle w:val="Normaalweb"/>
              <w:spacing w:before="120"/>
              <w:jc w:val="center"/>
              <w:rPr>
                <w:sz w:val="21"/>
                <w:szCs w:val="21"/>
              </w:rPr>
            </w:pPr>
            <w:r>
              <w:rPr>
                <w:noProof/>
                <w:sz w:val="21"/>
                <w:szCs w:val="21"/>
              </w:rPr>
              <w:drawing>
                <wp:inline distT="0" distB="0" distL="0" distR="0" wp14:anchorId="402AABC2" wp14:editId="0CC2A0FF">
                  <wp:extent cx="5715000" cy="1758950"/>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5715000" cy="1758950"/>
                          </a:xfrm>
                          <a:prstGeom prst="rect">
                            <a:avLst/>
                          </a:prstGeom>
                          <a:noFill/>
                          <a:ln>
                            <a:noFill/>
                          </a:ln>
                        </pic:spPr>
                      </pic:pic>
                    </a:graphicData>
                  </a:graphic>
                </wp:inline>
              </w:drawing>
            </w:r>
          </w:p>
          <w:p w14:paraId="1430B118" w14:textId="77777777" w:rsidR="006B5103" w:rsidRDefault="006B5103">
            <w:pPr>
              <w:pStyle w:val="caption"/>
              <w:spacing w:after="120" w:afterAutospacing="0"/>
            </w:pPr>
            <w:r>
              <w:t>Het rekenmodel werkt met fiscale gegevens uit het verleden. Het ziet niet dat het werkelijke inkomen tot nul is gedaald, dat de medische kosten zijn opgelopen, en dat het huishouden onder de armoedegrens leeft. Precies hetzelfde patroon als bij Parentia.</w:t>
            </w:r>
          </w:p>
        </w:tc>
      </w:tr>
    </w:tbl>
    <w:p w14:paraId="37C55E1D" w14:textId="77777777" w:rsidR="006B5103" w:rsidRDefault="006B5103">
      <w:pPr>
        <w:pStyle w:val="Kop3"/>
        <w:divId w:val="2114661829"/>
        <w:rPr>
          <w:rFonts w:eastAsia="Times New Roman"/>
          <w:lang w:val="nl-NL"/>
        </w:rPr>
      </w:pPr>
      <w:bookmarkStart w:id="76" w:name="_Toc242191253"/>
      <w:r>
        <w:rPr>
          <w:rFonts w:eastAsia="Times New Roman"/>
          <w:lang w:val="nl-NL"/>
        </w:rPr>
        <w:t>Deel D — De mobiliteitsfratsen</w:t>
      </w:r>
      <w:bookmarkEnd w:id="76"/>
    </w:p>
    <w:p w14:paraId="29B84173" w14:textId="77777777" w:rsidR="006B5103" w:rsidRDefault="006B5103">
      <w:pPr>
        <w:pStyle w:val="Normaalweb"/>
        <w:divId w:val="2114661829"/>
        <w:rPr>
          <w:lang w:val="nl-NL"/>
        </w:rPr>
      </w:pPr>
      <w:r>
        <w:rPr>
          <w:lang w:val="nl-NL"/>
        </w:rPr>
        <w:t>De gemeente biedt wel iets aan: mobiliteit. Twee regelingen: de gehandicaptenparkeerkaart (GPK) en de Wmo-pas voor aangepast vervoer. Beide werken — deels. En beide komen met hun eigen eigen bijdrage.</w:t>
      </w:r>
    </w:p>
    <w:p w14:paraId="1CB3941F" w14:textId="77777777" w:rsidR="006B5103" w:rsidRDefault="006B5103">
      <w:pPr>
        <w:pStyle w:val="Kop4"/>
        <w:divId w:val="2114661829"/>
        <w:rPr>
          <w:rFonts w:eastAsia="Times New Roman"/>
          <w:lang w:val="nl-NL"/>
        </w:rPr>
      </w:pPr>
      <w:r>
        <w:rPr>
          <w:rFonts w:eastAsia="Times New Roman"/>
          <w:lang w:val="nl-NL"/>
        </w:rPr>
        <w:t>De gehandicaptenparkeerkaart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B21A629"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0463DB5" w14:textId="77777777" w:rsidR="006B5103" w:rsidRDefault="006B5103">
            <w:pPr>
              <w:pStyle w:val="Normaalweb"/>
              <w:spacing w:before="120"/>
              <w:jc w:val="center"/>
              <w:rPr>
                <w:sz w:val="21"/>
                <w:szCs w:val="21"/>
              </w:rPr>
            </w:pPr>
            <w:r>
              <w:rPr>
                <w:noProof/>
                <w:sz w:val="21"/>
                <w:szCs w:val="21"/>
              </w:rPr>
              <w:drawing>
                <wp:inline distT="0" distB="0" distL="0" distR="0" wp14:anchorId="26327598" wp14:editId="21A6FCED">
                  <wp:extent cx="5715000" cy="1454150"/>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5715000" cy="1454150"/>
                          </a:xfrm>
                          <a:prstGeom prst="rect">
                            <a:avLst/>
                          </a:prstGeom>
                          <a:noFill/>
                          <a:ln>
                            <a:noFill/>
                          </a:ln>
                        </pic:spPr>
                      </pic:pic>
                    </a:graphicData>
                  </a:graphic>
                </wp:inline>
              </w:drawing>
            </w:r>
          </w:p>
          <w:p w14:paraId="11BA176F" w14:textId="77777777" w:rsidR="006B5103" w:rsidRDefault="006B5103">
            <w:pPr>
              <w:pStyle w:val="caption"/>
              <w:spacing w:after="120" w:afterAutospacing="0"/>
            </w:pPr>
            <w:r>
              <w:t>De patiënt heeft een Europese parkeerkaart van de Belgische federale overheid. De gemeente Hulst weigert die over te nemen en eist een nieuwe lokale keuring, met bijhorende legeskosten. Wat opvalt: de patiënt moest op 17-09-2026 nogmaals het medische dossier indienen, terwijl het al op 07-03-2026 en 20-08-2026 was aangeleverd.</w:t>
            </w:r>
          </w:p>
        </w:tc>
      </w:tr>
    </w:tbl>
    <w:p w14:paraId="44F04C82" w14:textId="77777777" w:rsidR="006B5103" w:rsidRDefault="006B5103">
      <w:pPr>
        <w:pStyle w:val="Kop4"/>
        <w:divId w:val="2114661829"/>
        <w:rPr>
          <w:rFonts w:eastAsia="Times New Roman"/>
          <w:lang w:val="nl-NL"/>
        </w:rPr>
      </w:pPr>
      <w:r>
        <w:rPr>
          <w:rFonts w:eastAsia="Times New Roman"/>
          <w:lang w:val="nl-NL"/>
        </w:rPr>
        <w:t>De Wmo-pas en de eigen bijdrage</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FE0AAA9"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1B3FA5B" w14:textId="77777777" w:rsidR="006B5103" w:rsidRDefault="006B5103">
            <w:pPr>
              <w:pStyle w:val="Normaalweb"/>
              <w:spacing w:before="120"/>
              <w:jc w:val="center"/>
              <w:rPr>
                <w:sz w:val="21"/>
                <w:szCs w:val="21"/>
              </w:rPr>
            </w:pPr>
            <w:r>
              <w:rPr>
                <w:noProof/>
                <w:sz w:val="21"/>
                <w:szCs w:val="21"/>
              </w:rPr>
              <w:drawing>
                <wp:inline distT="0" distB="0" distL="0" distR="0" wp14:anchorId="48CE97AA" wp14:editId="1E41E2F9">
                  <wp:extent cx="5715000" cy="1670050"/>
                  <wp:effectExtent l="0" t="0" r="0" b="635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5715000" cy="1670050"/>
                          </a:xfrm>
                          <a:prstGeom prst="rect">
                            <a:avLst/>
                          </a:prstGeom>
                          <a:noFill/>
                          <a:ln>
                            <a:noFill/>
                          </a:ln>
                        </pic:spPr>
                      </pic:pic>
                    </a:graphicData>
                  </a:graphic>
                </wp:inline>
              </w:drawing>
            </w:r>
          </w:p>
          <w:p w14:paraId="00985AD1" w14:textId="77777777" w:rsidR="006B5103" w:rsidRDefault="006B5103">
            <w:pPr>
              <w:pStyle w:val="caption"/>
              <w:spacing w:after="120" w:afterAutospacing="0"/>
            </w:pPr>
            <w:r>
              <w:t>De Wmo-pas maakt de patiënt mobiel. Maar de eigen bijdrage valt in een periode zonder inkomen. En wie niet op tijd betaalt, verliest de pas.</w:t>
            </w:r>
          </w:p>
        </w:tc>
      </w:tr>
    </w:tbl>
    <w:p w14:paraId="19001214" w14:textId="77777777" w:rsidR="006B5103" w:rsidRDefault="006B5103">
      <w:pPr>
        <w:pStyle w:val="Kop3"/>
        <w:divId w:val="2114661829"/>
        <w:rPr>
          <w:rFonts w:eastAsia="Times New Roman"/>
          <w:lang w:val="nl-NL"/>
        </w:rPr>
      </w:pPr>
      <w:bookmarkStart w:id="77" w:name="_Toc242191254"/>
      <w:r>
        <w:rPr>
          <w:rFonts w:eastAsia="Times New Roman"/>
          <w:lang w:val="nl-NL"/>
        </w:rPr>
        <w:t>Deel E — De grenslimieten van het Wmo-vervoer</w:t>
      </w:r>
      <w:bookmarkEnd w:id="77"/>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8812939"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2C251DF" w14:textId="77777777" w:rsidR="006B5103" w:rsidRDefault="006B5103">
            <w:pPr>
              <w:pStyle w:val="Normaalweb"/>
              <w:spacing w:before="120"/>
              <w:jc w:val="center"/>
              <w:rPr>
                <w:sz w:val="21"/>
                <w:szCs w:val="21"/>
              </w:rPr>
            </w:pPr>
            <w:r>
              <w:rPr>
                <w:noProof/>
                <w:sz w:val="21"/>
                <w:szCs w:val="21"/>
              </w:rPr>
              <w:drawing>
                <wp:inline distT="0" distB="0" distL="0" distR="0" wp14:anchorId="036D1A19" wp14:editId="60AD19E3">
                  <wp:extent cx="5715000" cy="2076450"/>
                  <wp:effectExtent l="0" t="0" r="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5715000" cy="2076450"/>
                          </a:xfrm>
                          <a:prstGeom prst="rect">
                            <a:avLst/>
                          </a:prstGeom>
                          <a:noFill/>
                          <a:ln>
                            <a:noFill/>
                          </a:ln>
                        </pic:spPr>
                      </pic:pic>
                    </a:graphicData>
                  </a:graphic>
                </wp:inline>
              </w:drawing>
            </w:r>
          </w:p>
          <w:p w14:paraId="63CBB239" w14:textId="77777777" w:rsidR="006B5103" w:rsidRDefault="006B5103">
            <w:pPr>
              <w:pStyle w:val="caption"/>
              <w:spacing w:after="120" w:afterAutospacing="0"/>
            </w:pPr>
            <w:r>
              <w:t>Het systeem laat ritten toe naar academische ziekenhuizen over de grens, maar weigert ritten naar Belgische overheidsinstanties op exact dezelfde afstand. Ook een begeleidingsvraag bij visusverlies wordt niet geregistreerd.</w:t>
            </w:r>
          </w:p>
        </w:tc>
      </w:tr>
    </w:tbl>
    <w:p w14:paraId="2E17347E" w14:textId="77777777" w:rsidR="006B5103" w:rsidRDefault="006B5103">
      <w:pPr>
        <w:pStyle w:val="Kop3"/>
        <w:divId w:val="2114661829"/>
        <w:rPr>
          <w:rFonts w:eastAsia="Times New Roman"/>
          <w:lang w:val="nl-NL"/>
        </w:rPr>
      </w:pPr>
      <w:bookmarkStart w:id="78" w:name="_Toc242191255"/>
      <w:r>
        <w:rPr>
          <w:rFonts w:eastAsia="Times New Roman"/>
          <w:lang w:val="nl-NL"/>
        </w:rPr>
        <w:t>Deel F — Het patroon herhaalt zich</w:t>
      </w:r>
      <w:bookmarkEnd w:id="78"/>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DB7025B"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B4595DF" w14:textId="77777777" w:rsidR="006B5103" w:rsidRDefault="006B5103">
            <w:pPr>
              <w:pStyle w:val="Normaalweb"/>
              <w:spacing w:before="120"/>
              <w:jc w:val="center"/>
              <w:rPr>
                <w:sz w:val="21"/>
                <w:szCs w:val="21"/>
              </w:rPr>
            </w:pPr>
            <w:r>
              <w:rPr>
                <w:noProof/>
                <w:sz w:val="21"/>
                <w:szCs w:val="21"/>
              </w:rPr>
              <w:drawing>
                <wp:inline distT="0" distB="0" distL="0" distR="0" wp14:anchorId="065B772C" wp14:editId="6BC6F27A">
                  <wp:extent cx="5715000" cy="200025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5715000" cy="2000250"/>
                          </a:xfrm>
                          <a:prstGeom prst="rect">
                            <a:avLst/>
                          </a:prstGeom>
                          <a:noFill/>
                          <a:ln>
                            <a:noFill/>
                          </a:ln>
                        </pic:spPr>
                      </pic:pic>
                    </a:graphicData>
                  </a:graphic>
                </wp:inline>
              </w:drawing>
            </w:r>
          </w:p>
          <w:p w14:paraId="47936C85" w14:textId="77777777" w:rsidR="006B5103" w:rsidRDefault="006B5103">
            <w:pPr>
              <w:pStyle w:val="caption"/>
              <w:spacing w:after="120" w:afterAutospacing="0"/>
            </w:pPr>
            <w:r>
              <w:rPr>
                <w:rStyle w:val="Zwaar"/>
              </w:rPr>
              <w:t>Figuur XI.5 — Drie instanties, één patroon.</w:t>
            </w:r>
            <w:r>
              <w:t xml:space="preserve"> Parentia, gemeente Hulst en CZ passen alle drie hetzelfde mechanisme toe: de medische werkelijkheid wordt erkend waar die binnen het protocol past, en geweigerd waar het protocol een vormvoorwaarde stelt die de burger niet kan vervullen.</w:t>
            </w:r>
          </w:p>
        </w:tc>
      </w:tr>
    </w:tbl>
    <w:p w14:paraId="70E2474E" w14:textId="77777777" w:rsidR="006B5103" w:rsidRDefault="006B5103">
      <w:pPr>
        <w:pStyle w:val="Kop3"/>
        <w:divId w:val="2114661829"/>
        <w:rPr>
          <w:rFonts w:eastAsia="Times New Roman"/>
          <w:lang w:val="nl-NL"/>
        </w:rPr>
      </w:pPr>
      <w:bookmarkStart w:id="79" w:name="_Toc242191256"/>
      <w:r>
        <w:rPr>
          <w:rFonts w:eastAsia="Times New Roman"/>
          <w:lang w:val="nl-NL"/>
        </w:rPr>
        <w:t>Wat de gemeente had moeten zijn</w:t>
      </w:r>
      <w:bookmarkEnd w:id="79"/>
    </w:p>
    <w:p w14:paraId="33D66B0E" w14:textId="77777777" w:rsidR="006B5103" w:rsidRDefault="006B5103">
      <w:pPr>
        <w:pStyle w:val="Normaalweb"/>
        <w:divId w:val="2114661829"/>
        <w:rPr>
          <w:lang w:val="nl-NL"/>
        </w:rPr>
      </w:pPr>
      <w:r>
        <w:rPr>
          <w:lang w:val="nl-NL"/>
        </w:rPr>
        <w:t>De gemeente is in theorie de eerste lijn. De gemeente kent de inwoners, ziet de lokale situatie, heeft de instrumenten om snel in te grijpen. In dit dossier deed de gemeente dat niet. Ze ontving de noodkreet zes keer en produceerde zes procedurele reacties. Geen enkele keer werd de financiële situatie inhoudelijk beoordeeld.</w:t>
      </w:r>
    </w:p>
    <w:p w14:paraId="43D5CB55" w14:textId="77777777" w:rsidR="006B5103" w:rsidRDefault="006B5103">
      <w:pPr>
        <w:pStyle w:val="Normaalweb"/>
        <w:divId w:val="2114661829"/>
        <w:rPr>
          <w:lang w:val="nl-NL"/>
        </w:rPr>
      </w:pPr>
      <w:r>
        <w:rPr>
          <w:lang w:val="nl-NL"/>
        </w:rPr>
        <w:t xml:space="preserve">En de kern is dit: </w:t>
      </w:r>
      <w:r>
        <w:rPr>
          <w:rStyle w:val="Zwaar"/>
          <w:lang w:val="nl-NL"/>
        </w:rPr>
        <w:t>de flow zou in theorie genoeg moeten zijn.</w:t>
      </w:r>
      <w:r>
        <w:rPr>
          <w:lang w:val="nl-NL"/>
        </w:rPr>
        <w:t xml:space="preserve"> De Belgische ziekte-uitkering, de Nederlandse WIA, de toeslagen, de gezinsbijslag — samen zouden ze het huishouden boven water moeten houden. Het probleem is niet dat het geld er niet is. Het probleem is dat niemand het gat dicht dat tussen de potjes is ontstaan. De medische kosten zijn de trigger, maar de administratieve stilstand is de oorzaak van de verarming.</w:t>
      </w:r>
    </w:p>
    <w:p w14:paraId="7BE64E26" w14:textId="77777777" w:rsidR="006B5103" w:rsidRDefault="006B5103">
      <w:pPr>
        <w:pStyle w:val="Normaalweb"/>
        <w:divId w:val="2114661829"/>
        <w:rPr>
          <w:lang w:val="nl-NL"/>
        </w:rPr>
      </w:pPr>
      <w:r>
        <w:rPr>
          <w:lang w:val="nl-NL"/>
        </w:rPr>
        <w:t>Het enige formele spoor dat nu loopt, is het bezwaarschrift van 22 juli 2026. Daarop is de beslistermijn verdaagd met zes weken. De aanvrager heeft geen mondelinge toelichting gevraagd, omdat de gronden al voldoende zijn uiteengezet. De beslissing volgt later. En tot die tijd blijft de financiële situatie ongewijzigd.</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780072D"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D50F294"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w:t>
            </w:r>
            <w:r>
              <w:rPr>
                <w:rFonts w:eastAsia="Times New Roman"/>
                <w:szCs w:val="22"/>
              </w:rPr>
              <w:t xml:space="preserve">de gemeente is wettelijk verplicht om bijstand en bijzondere bijstand te beoordelen. Een afwijzing wegens vormvoorwaarde of wegens een inkomensmodel dat de werkelijke situatie niet leest, kan worden aangevochten. Vier stappen: </w:t>
            </w:r>
          </w:p>
          <w:p w14:paraId="3576EB76" w14:textId="77777777" w:rsidR="006B5103" w:rsidRDefault="006B5103">
            <w:pPr>
              <w:numPr>
                <w:ilvl w:val="0"/>
                <w:numId w:val="15"/>
              </w:numPr>
              <w:spacing w:before="100" w:beforeAutospacing="1" w:after="100" w:afterAutospacing="1"/>
              <w:rPr>
                <w:rFonts w:eastAsia="Times New Roman"/>
                <w:szCs w:val="22"/>
              </w:rPr>
            </w:pPr>
            <w:r>
              <w:rPr>
                <w:rFonts w:eastAsia="Times New Roman"/>
                <w:szCs w:val="22"/>
              </w:rPr>
              <w:t>Dien een formeel verzoek in om bijzondere bijstand, onder vermelding van de concrete noodsituatie (medische kosten, schulden, geblokkeerde uitkeringen).</w:t>
            </w:r>
          </w:p>
          <w:p w14:paraId="2E33E396" w14:textId="77777777" w:rsidR="006B5103" w:rsidRDefault="006B5103">
            <w:pPr>
              <w:numPr>
                <w:ilvl w:val="0"/>
                <w:numId w:val="15"/>
              </w:numPr>
              <w:spacing w:before="100" w:beforeAutospacing="1" w:after="100" w:afterAutospacing="1"/>
              <w:rPr>
                <w:rFonts w:eastAsia="Times New Roman"/>
                <w:szCs w:val="22"/>
              </w:rPr>
            </w:pPr>
            <w:r>
              <w:rPr>
                <w:rFonts w:eastAsia="Times New Roman"/>
                <w:szCs w:val="22"/>
              </w:rPr>
              <w:t>Als de gemeente niet reageert binnen de wettelijke termijn (8 weken), dien een bezwaarschrift in wegens niet-tijdige beslissing.</w:t>
            </w:r>
          </w:p>
          <w:p w14:paraId="17AEC38B" w14:textId="77777777" w:rsidR="006B5103" w:rsidRDefault="006B5103">
            <w:pPr>
              <w:numPr>
                <w:ilvl w:val="0"/>
                <w:numId w:val="15"/>
              </w:numPr>
              <w:spacing w:before="100" w:beforeAutospacing="1" w:after="100" w:afterAutospacing="1"/>
              <w:rPr>
                <w:rFonts w:eastAsia="Times New Roman"/>
                <w:szCs w:val="22"/>
              </w:rPr>
            </w:pPr>
            <w:r>
              <w:rPr>
                <w:rFonts w:eastAsia="Times New Roman"/>
                <w:szCs w:val="22"/>
              </w:rPr>
              <w:t>Vraag om een persoonlijk gesprek met een consulent schuldhulpverlening of een sociaal raadsman.</w:t>
            </w:r>
          </w:p>
          <w:p w14:paraId="26905B01" w14:textId="77777777" w:rsidR="006B5103" w:rsidRDefault="006B5103">
            <w:pPr>
              <w:numPr>
                <w:ilvl w:val="0"/>
                <w:numId w:val="15"/>
              </w:numPr>
              <w:spacing w:before="100" w:beforeAutospacing="1" w:after="100" w:afterAutospacing="1"/>
              <w:rPr>
                <w:rFonts w:eastAsia="Times New Roman"/>
                <w:szCs w:val="22"/>
              </w:rPr>
            </w:pPr>
            <w:r>
              <w:rPr>
                <w:rFonts w:eastAsia="Times New Roman"/>
                <w:szCs w:val="22"/>
              </w:rPr>
              <w:t>Als de gemeente blijft weigeren: formeel bezwaarschrift bij het college van burgemeester en wethouders en zo nodig beroep bij de bestuursrechter. Weet dat de gemeente de beslistermijn wettelijk mag verdagen met zes weken (art. 7:10 lid 3 Awb) — dat is wat hier is gebeurd.</w:t>
            </w:r>
          </w:p>
          <w:p w14:paraId="0AFFEEFD" w14:textId="77777777" w:rsidR="006B5103" w:rsidRDefault="006B5103">
            <w:pPr>
              <w:spacing w:after="0"/>
              <w:rPr>
                <w:rFonts w:eastAsia="Times New Roman"/>
                <w:szCs w:val="22"/>
              </w:rPr>
            </w:pPr>
            <w:r>
              <w:rPr>
                <w:rFonts w:eastAsia="Times New Roman"/>
                <w:szCs w:val="22"/>
              </w:rPr>
              <w:t xml:space="preserve">Voor de Wmo-pas en de GPK: een Europese parkeerkaart is een erkend EU-document. De gemeente mag de overname niet zomaar weigeren. Een formeel bezwaarschrift op grond van wederzijdse erkenning kan helpen. </w:t>
            </w:r>
          </w:p>
        </w:tc>
      </w:tr>
    </w:tbl>
    <w:p w14:paraId="25A003B8"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De feiten zijn gebaseerd op Document B. Dit hoofdstuk is geen juridisch advies.</w:t>
      </w:r>
    </w:p>
    <w:p w14:paraId="4B57C3F9" w14:textId="77777777" w:rsidR="006B5103" w:rsidRDefault="006B5103">
      <w:pPr>
        <w:pStyle w:val="marker"/>
        <w:ind w:left="800" w:right="800"/>
        <w:divId w:val="2114661829"/>
        <w:rPr>
          <w:lang w:val="nl-NL"/>
        </w:rPr>
      </w:pPr>
      <w:r>
        <w:br w:type="page"/>
      </w:r>
    </w:p>
    <w:p w14:paraId="5FD4E37B" w14:textId="77777777" w:rsidR="006B5103" w:rsidRDefault="006B5103">
      <w:pPr>
        <w:pStyle w:val="Kop2"/>
        <w:divId w:val="2114661829"/>
        <w:rPr>
          <w:rFonts w:eastAsia="Times New Roman"/>
          <w:lang w:val="nl-NL"/>
        </w:rPr>
      </w:pPr>
      <w:bookmarkStart w:id="80" w:name="_Toc242191257"/>
      <w:r>
        <w:rPr>
          <w:rFonts w:eastAsia="Times New Roman"/>
          <w:lang w:val="nl-NL"/>
        </w:rPr>
        <w:t>Belastingdienst en toeslagen</w:t>
      </w:r>
      <w:bookmarkEnd w:id="80"/>
    </w:p>
    <w:p w14:paraId="0527D661" w14:textId="77777777" w:rsidR="006B5103" w:rsidRDefault="006B5103">
      <w:pPr>
        <w:pStyle w:val="lead"/>
        <w:divId w:val="2114661829"/>
        <w:rPr>
          <w:lang w:val="nl-NL"/>
        </w:rPr>
      </w:pPr>
      <w:r>
        <w:rPr>
          <w:lang w:val="nl-NL"/>
        </w:rPr>
        <w:t>De Dienst Toeslagen keert drie inkomensafhankelijke tegemoetkomingen uit: zorgtoeslag, huurtoeslag en kindgebonden budget. Voor dit gezin loopt één volledig vast, één gedeeltelijk, en één werkt. En de belastingaangifte zelf confronteert de burger met een opdracht die hij niet kan uitvoeren: een wereldinkomen invoeren dat hij niet kent, met de verantwoordelijkheid voor de juistheid bij hemzelf.</w:t>
      </w:r>
    </w:p>
    <w:p w14:paraId="645801E8" w14:textId="77777777" w:rsidR="006B5103" w:rsidRDefault="006B5103">
      <w:pPr>
        <w:pStyle w:val="Kop3"/>
        <w:divId w:val="2114661829"/>
        <w:rPr>
          <w:rFonts w:eastAsia="Times New Roman"/>
          <w:lang w:val="nl-NL"/>
        </w:rPr>
      </w:pPr>
      <w:bookmarkStart w:id="81" w:name="_Toc242191258"/>
      <w:r>
        <w:rPr>
          <w:rFonts w:eastAsia="Times New Roman"/>
          <w:lang w:val="nl-NL"/>
        </w:rPr>
        <w:t>Deel A — De drie toeslagen</w:t>
      </w:r>
      <w:bookmarkEnd w:id="81"/>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D372CA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F4E03BD" w14:textId="77777777" w:rsidR="006B5103" w:rsidRDefault="006B5103">
            <w:pPr>
              <w:pStyle w:val="Normaalweb"/>
              <w:spacing w:before="120"/>
              <w:jc w:val="center"/>
              <w:rPr>
                <w:sz w:val="21"/>
                <w:szCs w:val="21"/>
              </w:rPr>
            </w:pPr>
            <w:r>
              <w:rPr>
                <w:noProof/>
                <w:sz w:val="21"/>
                <w:szCs w:val="21"/>
              </w:rPr>
              <w:drawing>
                <wp:inline distT="0" distB="0" distL="0" distR="0" wp14:anchorId="1DF95701" wp14:editId="4A512A6E">
                  <wp:extent cx="5715000" cy="2095500"/>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link="rId55">
                            <a:extLst>
                              <a:ext uri="{28A0092B-C50C-407E-A947-70E740481C1C}">
                                <a14:useLocalDpi xmlns:a14="http://schemas.microsoft.com/office/drawing/2010/main" val="0"/>
                              </a:ext>
                            </a:extLst>
                          </a:blip>
                          <a:srcRect/>
                          <a:stretch>
                            <a:fillRect/>
                          </a:stretch>
                        </pic:blipFill>
                        <pic:spPr bwMode="auto">
                          <a:xfrm>
                            <a:off x="0" y="0"/>
                            <a:ext cx="5715000" cy="2095500"/>
                          </a:xfrm>
                          <a:prstGeom prst="rect">
                            <a:avLst/>
                          </a:prstGeom>
                          <a:noFill/>
                          <a:ln>
                            <a:noFill/>
                          </a:ln>
                        </pic:spPr>
                      </pic:pic>
                    </a:graphicData>
                  </a:graphic>
                </wp:inline>
              </w:drawing>
            </w:r>
          </w:p>
          <w:p w14:paraId="0EF23710" w14:textId="77777777" w:rsidR="006B5103" w:rsidRDefault="006B5103">
            <w:pPr>
              <w:pStyle w:val="caption"/>
              <w:spacing w:after="120" w:afterAutospacing="0"/>
            </w:pPr>
            <w:r>
              <w:rPr>
                <w:rStyle w:val="Zwaar"/>
              </w:rPr>
              <w:t>Figuur XIII.1 — Drie toeslagen.</w:t>
            </w:r>
            <w:r>
              <w:t xml:space="preserve"> De zorgtoeslag blijft op nul omdat CZ de verdragspolis niet als Nederlandse verzekering registreert. De huurtoeslag werkt gedeeltelijk, maar het toetsingsinkomen wijkt af door het buitenlandse inkomen. Het kindgebonden budget werkte pas na de SVB-koppeling — en werd met terugwerkende kracht uitbetaald.</w:t>
            </w:r>
          </w:p>
        </w:tc>
      </w:tr>
    </w:tbl>
    <w:p w14:paraId="48B86286" w14:textId="77777777" w:rsidR="006B5103" w:rsidRDefault="006B5103">
      <w:pPr>
        <w:pStyle w:val="Kop3"/>
        <w:divId w:val="2114661829"/>
        <w:rPr>
          <w:rFonts w:eastAsia="Times New Roman"/>
          <w:lang w:val="nl-NL"/>
        </w:rPr>
      </w:pPr>
      <w:bookmarkStart w:id="82" w:name="_Toc242191259"/>
      <w:r>
        <w:rPr>
          <w:rFonts w:eastAsia="Times New Roman"/>
          <w:lang w:val="nl-NL"/>
        </w:rPr>
        <w:t>Deel B — De mechaniek die erachter zit</w:t>
      </w:r>
      <w:bookmarkEnd w:id="82"/>
    </w:p>
    <w:p w14:paraId="64A88B84" w14:textId="77777777" w:rsidR="006B5103" w:rsidRDefault="006B5103">
      <w:pPr>
        <w:pStyle w:val="Normaalweb"/>
        <w:divId w:val="2114661829"/>
        <w:rPr>
          <w:lang w:val="nl-NL"/>
        </w:rPr>
      </w:pPr>
      <w:r>
        <w:rPr>
          <w:lang w:val="nl-NL"/>
        </w:rPr>
        <w:t>Wat de toeslagen-uitkomsten niet laten zien, is wat de burger moet doen om tot die uitkomsten te komen. En wat er misgaat wanneer hij het niet doet of niet kán doen.</w:t>
      </w:r>
    </w:p>
    <w:p w14:paraId="30FD22D1" w14:textId="77777777" w:rsidR="006B5103" w:rsidRDefault="006B5103">
      <w:pPr>
        <w:pStyle w:val="Kop4"/>
        <w:divId w:val="2114661829"/>
        <w:rPr>
          <w:rFonts w:eastAsia="Times New Roman"/>
          <w:lang w:val="nl-NL"/>
        </w:rPr>
      </w:pPr>
      <w:r>
        <w:rPr>
          <w:rFonts w:eastAsia="Times New Roman"/>
          <w:lang w:val="nl-NL"/>
        </w:rPr>
        <w:t>Het wereldinkomen dat de burger moet invoeren</w:t>
      </w:r>
    </w:p>
    <w:p w14:paraId="7A2D79EC" w14:textId="77777777" w:rsidR="006B5103" w:rsidRDefault="006B5103">
      <w:pPr>
        <w:pStyle w:val="Normaalweb"/>
        <w:divId w:val="2114661829"/>
        <w:rPr>
          <w:lang w:val="nl-NL"/>
        </w:rPr>
      </w:pPr>
      <w:r>
        <w:rPr>
          <w:lang w:val="nl-NL"/>
        </w:rPr>
        <w:t xml:space="preserve">De Nederlandse Belastingdienst vraagt bij de aangifte inkomstenbelasting om het </w:t>
      </w:r>
      <w:r>
        <w:rPr>
          <w:rStyle w:val="Zwaar"/>
          <w:lang w:val="nl-NL"/>
        </w:rPr>
        <w:t>wereldinkomen</w:t>
      </w:r>
      <w:r>
        <w:rPr>
          <w:lang w:val="nl-NL"/>
        </w:rPr>
        <w:t>: alle inkomen dat de burger waar ook ter wereld heeft verworven. Voor een grensarbeider betekent dat: het Belgische loon, de Belgische uitkeringen, de Belgische voordelen, alles.</w:t>
      </w:r>
    </w:p>
    <w:p w14:paraId="3DAB564F" w14:textId="77777777" w:rsidR="006B5103" w:rsidRDefault="006B5103">
      <w:pPr>
        <w:pStyle w:val="Normaalweb"/>
        <w:divId w:val="2114661829"/>
        <w:rPr>
          <w:lang w:val="nl-NL"/>
        </w:rPr>
      </w:pPr>
      <w:r>
        <w:rPr>
          <w:lang w:val="nl-NL"/>
        </w:rPr>
        <w:t>Maar die gegevens krijgt de burger niet automatisch aangeleverd. De Belgische fiscus stuurt ze niet naar de Nederlandse fiscus. De DAC-infrastructuur (Directive on Administrative Cooperation) is bedoeld voor automatische uitwisseling van inkomensgegevens — maar de uitwisseling is niet realtime en niet altijd volledig. De burger moet de bedragen zelf invoeren op basis van zijn eigen loonstroken, uitkeringsbeschikkingen en wat hij denkt dat zijn Belgische inkomen is.</w:t>
      </w:r>
    </w:p>
    <w:p w14:paraId="711AED09" w14:textId="77777777" w:rsidR="006B5103" w:rsidRDefault="006B5103">
      <w:pPr>
        <w:pStyle w:val="Normaalweb"/>
        <w:divId w:val="2114661829"/>
        <w:rPr>
          <w:lang w:val="nl-NL"/>
        </w:rPr>
      </w:pPr>
      <w:r>
        <w:rPr>
          <w:lang w:val="nl-NL"/>
        </w:rPr>
        <w:t>De Belastingdienst legt de verantwoordelijkheid expliciet bij de burger. Wat de burger invoert, wordt als waar aangenomen. Klopt het niet, dan volgt later correctie. En bij een correctie kan een toeslag worden teruggevorderd.</w:t>
      </w:r>
    </w:p>
    <w:p w14:paraId="31047864" w14:textId="77777777" w:rsidR="006B5103" w:rsidRDefault="006B5103">
      <w:pPr>
        <w:pStyle w:val="Kop4"/>
        <w:divId w:val="2114661829"/>
        <w:rPr>
          <w:rFonts w:eastAsia="Times New Roman"/>
          <w:lang w:val="nl-NL"/>
        </w:rPr>
      </w:pPr>
      <w:r>
        <w:rPr>
          <w:rFonts w:eastAsia="Times New Roman"/>
          <w:lang w:val="nl-NL"/>
        </w:rPr>
        <w:t>Het gemeenschappelijk inkomen versus het wereldinkomen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B8693C4"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38B7391" w14:textId="77777777" w:rsidR="006B5103" w:rsidRDefault="006B5103">
            <w:pPr>
              <w:pStyle w:val="Normaalweb"/>
              <w:spacing w:before="120"/>
              <w:jc w:val="center"/>
              <w:rPr>
                <w:sz w:val="21"/>
                <w:szCs w:val="21"/>
              </w:rPr>
            </w:pPr>
            <w:r>
              <w:rPr>
                <w:noProof/>
                <w:sz w:val="21"/>
                <w:szCs w:val="21"/>
              </w:rPr>
              <w:drawing>
                <wp:inline distT="0" distB="0" distL="0" distR="0" wp14:anchorId="609210CF" wp14:editId="26D59E65">
                  <wp:extent cx="5715000" cy="1866900"/>
                  <wp:effectExtent l="0" t="0" r="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link="rId56">
                            <a:extLst>
                              <a:ext uri="{28A0092B-C50C-407E-A947-70E740481C1C}">
                                <a14:useLocalDpi xmlns:a14="http://schemas.microsoft.com/office/drawing/2010/main" val="0"/>
                              </a:ext>
                            </a:extLst>
                          </a:blip>
                          <a:srcRect/>
                          <a:stretch>
                            <a:fillRect/>
                          </a:stretch>
                        </pic:blipFill>
                        <pic:spPr bwMode="auto">
                          <a:xfrm>
                            <a:off x="0" y="0"/>
                            <a:ext cx="5715000" cy="1866900"/>
                          </a:xfrm>
                          <a:prstGeom prst="rect">
                            <a:avLst/>
                          </a:prstGeom>
                          <a:noFill/>
                          <a:ln>
                            <a:noFill/>
                          </a:ln>
                        </pic:spPr>
                      </pic:pic>
                    </a:graphicData>
                  </a:graphic>
                </wp:inline>
              </w:drawing>
            </w:r>
          </w:p>
          <w:p w14:paraId="67DD2FFB" w14:textId="77777777" w:rsidR="006B5103" w:rsidRDefault="006B5103">
            <w:pPr>
              <w:pStyle w:val="caption"/>
              <w:spacing w:after="120" w:afterAutospacing="0"/>
            </w:pPr>
            <w:r>
              <w:rPr>
                <w:rStyle w:val="Zwaar"/>
              </w:rPr>
              <w:t>Figuur XIII.2 — Wereldinkomen versus gemeenschappelijk inkomen.</w:t>
            </w:r>
            <w:r>
              <w:t xml:space="preserve"> Het Belgische inkomen wordt via het belastingverdrag in België belast en in Nederland vrijgesteld. Maar voor de toeslagen telt het volledig mee als wereldinkomen. Een euro in België is niet hetzelfde als een euro in Nederland — andere koopkracht, andere sociale zekerheid, andere kostenstructuur. In het toeslagenmodel wordt dat verschil niet gemaakt.</w:t>
            </w:r>
          </w:p>
        </w:tc>
      </w:tr>
    </w:tbl>
    <w:p w14:paraId="64DF890A" w14:textId="77777777" w:rsidR="006B5103" w:rsidRDefault="006B5103">
      <w:pPr>
        <w:pStyle w:val="Kop3"/>
        <w:divId w:val="2114661829"/>
        <w:rPr>
          <w:rFonts w:eastAsia="Times New Roman"/>
          <w:lang w:val="nl-NL"/>
        </w:rPr>
      </w:pPr>
      <w:bookmarkStart w:id="83" w:name="_Toc242191260"/>
      <w:r>
        <w:rPr>
          <w:rFonts w:eastAsia="Times New Roman"/>
          <w:lang w:val="nl-NL"/>
        </w:rPr>
        <w:t>Deel C — De medische kosten die nul werden</w:t>
      </w:r>
      <w:bookmarkEnd w:id="83"/>
    </w:p>
    <w:p w14:paraId="6E991F5E" w14:textId="77777777" w:rsidR="006B5103" w:rsidRDefault="006B5103">
      <w:pPr>
        <w:pStyle w:val="Normaalweb"/>
        <w:divId w:val="2114661829"/>
        <w:rPr>
          <w:lang w:val="nl-NL"/>
        </w:rPr>
      </w:pPr>
      <w:r>
        <w:rPr>
          <w:lang w:val="nl-NL"/>
        </w:rPr>
        <w:t xml:space="preserve">Wat de patiënt vervolgens probeert, is de medische kosten in te voeren als </w:t>
      </w:r>
      <w:r>
        <w:rPr>
          <w:rStyle w:val="Zwaar"/>
          <w:lang w:val="nl-NL"/>
        </w:rPr>
        <w:t>persoonsgebonden aftrek</w:t>
      </w:r>
      <w:r>
        <w:rPr>
          <w:lang w:val="nl-NL"/>
        </w:rPr>
        <w:t>. Medische kosten boven een drempel zijn in Nederland aftrekbaar van het inkomen. Dat verlaagt het toetsingsinkomen — en dat verlaagt de grondslag voor de toeslagen.</w:t>
      </w:r>
    </w:p>
    <w:p w14:paraId="03555815" w14:textId="77777777" w:rsidR="006B5103" w:rsidRDefault="006B5103">
      <w:pPr>
        <w:pStyle w:val="Normaalweb"/>
        <w:divId w:val="2114661829"/>
        <w:rPr>
          <w:lang w:val="nl-NL"/>
        </w:rPr>
      </w:pPr>
      <w:r>
        <w:rPr>
          <w:lang w:val="nl-NL"/>
        </w:rPr>
        <w:t>De strategie is logisch: door het aftrekken van de medische kosten wordt het toetsingsinkomen lager, en de toeslagen worden hoger. Het is een indirecte manier om het gezin te compenseren voor de kosten die het systeem niet vergoedt.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64FE1C6"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C20C5B6" w14:textId="77777777" w:rsidR="006B5103" w:rsidRDefault="006B5103">
            <w:pPr>
              <w:pStyle w:val="Normaalweb"/>
              <w:spacing w:before="120"/>
              <w:jc w:val="center"/>
              <w:rPr>
                <w:sz w:val="21"/>
                <w:szCs w:val="21"/>
              </w:rPr>
            </w:pPr>
            <w:r>
              <w:rPr>
                <w:noProof/>
                <w:sz w:val="21"/>
                <w:szCs w:val="21"/>
              </w:rPr>
              <w:drawing>
                <wp:inline distT="0" distB="0" distL="0" distR="0" wp14:anchorId="1529B4B0" wp14:editId="6C2A59C3">
                  <wp:extent cx="5715000" cy="1866900"/>
                  <wp:effectExtent l="0" t="0" r="0" b="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link="rId57">
                            <a:extLst>
                              <a:ext uri="{28A0092B-C50C-407E-A947-70E740481C1C}">
                                <a14:useLocalDpi xmlns:a14="http://schemas.microsoft.com/office/drawing/2010/main" val="0"/>
                              </a:ext>
                            </a:extLst>
                          </a:blip>
                          <a:srcRect/>
                          <a:stretch>
                            <a:fillRect/>
                          </a:stretch>
                        </pic:blipFill>
                        <pic:spPr bwMode="auto">
                          <a:xfrm>
                            <a:off x="0" y="0"/>
                            <a:ext cx="5715000" cy="1866900"/>
                          </a:xfrm>
                          <a:prstGeom prst="rect">
                            <a:avLst/>
                          </a:prstGeom>
                          <a:noFill/>
                          <a:ln>
                            <a:noFill/>
                          </a:ln>
                        </pic:spPr>
                      </pic:pic>
                    </a:graphicData>
                  </a:graphic>
                </wp:inline>
              </w:drawing>
            </w:r>
          </w:p>
          <w:p w14:paraId="104DDE25" w14:textId="77777777" w:rsidR="006B5103" w:rsidRDefault="006B5103">
            <w:pPr>
              <w:pStyle w:val="caption"/>
              <w:spacing w:after="120" w:afterAutospacing="0"/>
            </w:pPr>
            <w:r>
              <w:rPr>
                <w:rStyle w:val="Zwaar"/>
              </w:rPr>
              <w:t>Figuur XIII.3 — De medische kosten.</w:t>
            </w:r>
            <w:r>
              <w:t xml:space="preserve"> De patiënt voert de medische kosten in. Het rekenmodel past de aftrekdrempel toe. De uitkomst is nul. Het toetsingsinkomen daalt niet, de toeslagen blijven gelijk, en de werkelijke kosten blijven op het gezin drukken.</w:t>
            </w:r>
          </w:p>
        </w:tc>
      </w:tr>
    </w:tbl>
    <w:p w14:paraId="1195227A" w14:textId="77777777" w:rsidR="006B5103" w:rsidRDefault="006B5103">
      <w:pPr>
        <w:pStyle w:val="Kop3"/>
        <w:divId w:val="2114661829"/>
        <w:rPr>
          <w:rFonts w:eastAsia="Times New Roman"/>
          <w:lang w:val="nl-NL"/>
        </w:rPr>
      </w:pPr>
      <w:bookmarkStart w:id="84" w:name="_Toc242191261"/>
      <w:r>
        <w:rPr>
          <w:rFonts w:eastAsia="Times New Roman"/>
          <w:lang w:val="nl-NL"/>
        </w:rPr>
        <w:t>Deel D — De verantwoordelijkheid bij de burger</w:t>
      </w:r>
      <w:bookmarkEnd w:id="84"/>
    </w:p>
    <w:p w14:paraId="215868FB" w14:textId="77777777" w:rsidR="006B5103" w:rsidRDefault="006B5103">
      <w:pPr>
        <w:pStyle w:val="Normaalweb"/>
        <w:divId w:val="2114661829"/>
        <w:rPr>
          <w:lang w:val="nl-NL"/>
        </w:rPr>
      </w:pPr>
      <w:r>
        <w:rPr>
          <w:lang w:val="nl-NL"/>
        </w:rPr>
        <w:t>Wat de Belastingdienst consequent communiceert, is dat de verantwoordelijkheid voor de juistheid van de aangifte bij de burger ligt. De burger moet:</w:t>
      </w:r>
    </w:p>
    <w:p w14:paraId="57C023AC" w14:textId="77777777" w:rsidR="006B5103" w:rsidRDefault="006B5103">
      <w:pPr>
        <w:numPr>
          <w:ilvl w:val="0"/>
          <w:numId w:val="16"/>
        </w:numPr>
        <w:spacing w:before="100" w:beforeAutospacing="1" w:after="100" w:afterAutospacing="1"/>
        <w:divId w:val="2114661829"/>
        <w:rPr>
          <w:rFonts w:eastAsia="Times New Roman"/>
          <w:lang w:val="nl-NL"/>
        </w:rPr>
      </w:pPr>
      <w:r>
        <w:rPr>
          <w:rFonts w:eastAsia="Times New Roman"/>
          <w:lang w:val="nl-NL"/>
        </w:rPr>
        <w:t>Het wereldinkomen invoeren, inclusief buitenlandse componenten die hij niet automatisch krijgt aangeleverd.</w:t>
      </w:r>
    </w:p>
    <w:p w14:paraId="01256A0F" w14:textId="77777777" w:rsidR="006B5103" w:rsidRDefault="006B5103">
      <w:pPr>
        <w:numPr>
          <w:ilvl w:val="0"/>
          <w:numId w:val="16"/>
        </w:numPr>
        <w:spacing w:before="100" w:beforeAutospacing="1" w:after="100" w:afterAutospacing="1"/>
        <w:divId w:val="2114661829"/>
        <w:rPr>
          <w:rFonts w:eastAsia="Times New Roman"/>
          <w:lang w:val="nl-NL"/>
        </w:rPr>
      </w:pPr>
      <w:r>
        <w:rPr>
          <w:rFonts w:eastAsia="Times New Roman"/>
          <w:lang w:val="nl-NL"/>
        </w:rPr>
        <w:t>De juistheid verantwoorden van bedragen die hij zelf heeft geschat.</w:t>
      </w:r>
    </w:p>
    <w:p w14:paraId="13627C7F" w14:textId="77777777" w:rsidR="006B5103" w:rsidRDefault="006B5103">
      <w:pPr>
        <w:numPr>
          <w:ilvl w:val="0"/>
          <w:numId w:val="16"/>
        </w:numPr>
        <w:spacing w:before="100" w:beforeAutospacing="1" w:after="100" w:afterAutospacing="1"/>
        <w:divId w:val="2114661829"/>
        <w:rPr>
          <w:rFonts w:eastAsia="Times New Roman"/>
          <w:lang w:val="nl-NL"/>
        </w:rPr>
      </w:pPr>
      <w:r>
        <w:rPr>
          <w:rFonts w:eastAsia="Times New Roman"/>
          <w:lang w:val="nl-NL"/>
        </w:rPr>
        <w:t>De gevolgen dragen van fouten, inclusief terugvorderingen van toeslagen.</w:t>
      </w:r>
    </w:p>
    <w:p w14:paraId="444ECCB5" w14:textId="77777777" w:rsidR="006B5103" w:rsidRDefault="006B5103">
      <w:pPr>
        <w:numPr>
          <w:ilvl w:val="0"/>
          <w:numId w:val="16"/>
        </w:numPr>
        <w:spacing w:before="100" w:beforeAutospacing="1" w:after="100" w:afterAutospacing="1"/>
        <w:divId w:val="2114661829"/>
        <w:rPr>
          <w:rFonts w:eastAsia="Times New Roman"/>
          <w:lang w:val="nl-NL"/>
        </w:rPr>
      </w:pPr>
      <w:r>
        <w:rPr>
          <w:rFonts w:eastAsia="Times New Roman"/>
          <w:lang w:val="nl-NL"/>
        </w:rPr>
        <w:t>Zelf controleren of de automatische uitwisseling tussen België en Nederland heeft gewerkt.</w:t>
      </w:r>
    </w:p>
    <w:p w14:paraId="1E10266B" w14:textId="77777777" w:rsidR="006B5103" w:rsidRDefault="006B5103">
      <w:pPr>
        <w:numPr>
          <w:ilvl w:val="0"/>
          <w:numId w:val="16"/>
        </w:numPr>
        <w:spacing w:before="100" w:beforeAutospacing="1" w:after="100" w:afterAutospacing="1"/>
        <w:divId w:val="2114661829"/>
        <w:rPr>
          <w:rFonts w:eastAsia="Times New Roman"/>
          <w:lang w:val="nl-NL"/>
        </w:rPr>
      </w:pPr>
      <w:r>
        <w:rPr>
          <w:rFonts w:eastAsia="Times New Roman"/>
          <w:lang w:val="nl-NL"/>
        </w:rPr>
        <w:t>Zelf de DAC-logbestanden opvragen om te controleren wat er is uitgewisseld.</w:t>
      </w:r>
    </w:p>
    <w:p w14:paraId="6C9E8CD1" w14:textId="77777777" w:rsidR="006B5103" w:rsidRDefault="006B5103">
      <w:pPr>
        <w:pStyle w:val="Normaalweb"/>
        <w:divId w:val="2114661829"/>
        <w:rPr>
          <w:lang w:val="nl-NL"/>
        </w:rPr>
      </w:pPr>
      <w:r>
        <w:rPr>
          <w:lang w:val="nl-NL"/>
        </w:rPr>
        <w:t>En als de automatische uitwisseling niet heeft gewerkt — als België de gegevens niet heeft gestuurd, of als Nederland ze niet heeft verwerkt — is dat geen reden om de aangifte uit te stellen. De burger moet het zelf oplossen.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18FADE6"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98D25BD" w14:textId="77777777" w:rsidR="006B5103" w:rsidRDefault="006B5103">
            <w:pPr>
              <w:pStyle w:val="Normaalweb"/>
              <w:spacing w:before="120"/>
              <w:jc w:val="center"/>
              <w:rPr>
                <w:sz w:val="21"/>
                <w:szCs w:val="21"/>
              </w:rPr>
            </w:pPr>
            <w:r>
              <w:rPr>
                <w:noProof/>
                <w:sz w:val="21"/>
                <w:szCs w:val="21"/>
              </w:rPr>
              <w:drawing>
                <wp:inline distT="0" distB="0" distL="0" distR="0" wp14:anchorId="77F6D85C" wp14:editId="2FC27C36">
                  <wp:extent cx="5715000" cy="1670050"/>
                  <wp:effectExtent l="0" t="0" r="0" b="635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5715000" cy="1670050"/>
                          </a:xfrm>
                          <a:prstGeom prst="rect">
                            <a:avLst/>
                          </a:prstGeom>
                          <a:noFill/>
                          <a:ln>
                            <a:noFill/>
                          </a:ln>
                        </pic:spPr>
                      </pic:pic>
                    </a:graphicData>
                  </a:graphic>
                </wp:inline>
              </w:drawing>
            </w:r>
          </w:p>
          <w:p w14:paraId="56ED8838" w14:textId="77777777" w:rsidR="006B5103" w:rsidRDefault="006B5103">
            <w:pPr>
              <w:pStyle w:val="caption"/>
              <w:spacing w:after="120" w:afterAutospacing="0"/>
            </w:pPr>
            <w:r>
              <w:t>De Belastingdienst legt de verantwoordelijkheid voor de juistheid bij de burger. De burger kan echter niet altijd de juiste gegevens achterhalen, want de automatische uitwisseling tussen België en Nederland is niet volledig. Het systeem schuift het risico van een administratieve fout af op wie er het minst aan kan doen.</w:t>
            </w:r>
          </w:p>
        </w:tc>
      </w:tr>
    </w:tbl>
    <w:p w14:paraId="300F3D6D" w14:textId="77777777" w:rsidR="006B5103" w:rsidRDefault="006B5103">
      <w:pPr>
        <w:pStyle w:val="Kop3"/>
        <w:divId w:val="2114661829"/>
        <w:rPr>
          <w:rFonts w:eastAsia="Times New Roman"/>
          <w:lang w:val="nl-NL"/>
        </w:rPr>
      </w:pPr>
      <w:bookmarkStart w:id="85" w:name="_Toc242191262"/>
      <w:r>
        <w:rPr>
          <w:rFonts w:eastAsia="Times New Roman"/>
          <w:lang w:val="nl-NL"/>
        </w:rPr>
        <w:t>Deel E — Wat dit oplevert</w:t>
      </w:r>
      <w:bookmarkEnd w:id="85"/>
    </w:p>
    <w:p w14:paraId="53B45597" w14:textId="77777777" w:rsidR="006B5103" w:rsidRDefault="006B5103">
      <w:pPr>
        <w:pStyle w:val="Normaalweb"/>
        <w:divId w:val="2114661829"/>
        <w:rPr>
          <w:lang w:val="nl-NL"/>
        </w:rPr>
      </w:pPr>
      <w:r>
        <w:rPr>
          <w:lang w:val="nl-NL"/>
        </w:rPr>
        <w:t>Drie toeslagen, drie uitkomsten. Eén volledig geblokkeerd, één gedeeltelijk, één werkend. En de belastingaangifte zelf vraagt de burger om een inkomen in te voeren dat hij niet kan berekenen, met de verantwoordelijkheid voor de juistheid bij hemzelf, en met de gevolgen van een herberekening die automatisch volgt zodra de Belastingdienst de werkelijke cijfers heeft.</w:t>
      </w:r>
    </w:p>
    <w:p w14:paraId="48445746" w14:textId="77777777" w:rsidR="006B5103" w:rsidRDefault="006B5103">
      <w:pPr>
        <w:pStyle w:val="Normaalweb"/>
        <w:divId w:val="2114661829"/>
        <w:rPr>
          <w:lang w:val="nl-NL"/>
        </w:rPr>
      </w:pPr>
      <w:r>
        <w:rPr>
          <w:lang w:val="nl-NL"/>
        </w:rPr>
        <w:t>Wat hier zichtbaar wordt, is een patroon dat terugkeert in het hele dossier. Het systeem heeft de instrumenten, de wetten en de intenties om de burger te ondersteunen. Maar het systeem leest de werkelijkheid niet zoals de burger die ervaart. De toeslagen worden berekend uit een toetsingsinkomen dat een euro uit België als een Nederlandse euro behandelt. De medische kosten worden ingevoerd maar leveren geen aftrek op. En de burger is zelf verantwoordelijk voor de juistheid van een inkomen dat hij niet kent.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B075112"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0D4F4F8"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bij grensoverschrijdende inkomens en toeslagen zijn drie dingen van belang: </w:t>
            </w:r>
          </w:p>
          <w:p w14:paraId="04C68E16" w14:textId="77777777" w:rsidR="006B5103" w:rsidRDefault="006B5103">
            <w:pPr>
              <w:numPr>
                <w:ilvl w:val="0"/>
                <w:numId w:val="17"/>
              </w:numPr>
              <w:spacing w:before="100" w:beforeAutospacing="1" w:after="100" w:afterAutospacing="1"/>
              <w:rPr>
                <w:rFonts w:eastAsia="Times New Roman"/>
                <w:szCs w:val="22"/>
              </w:rPr>
            </w:pPr>
            <w:r>
              <w:rPr>
                <w:rFonts w:eastAsia="Times New Roman"/>
                <w:szCs w:val="22"/>
              </w:rPr>
              <w:t>Vraag bij de Belgische fiscus een overzicht van het jaarinkomen en voer dat in bij de Nederlandse aangifte. Bewaar alles.</w:t>
            </w:r>
          </w:p>
          <w:p w14:paraId="50459A1D" w14:textId="77777777" w:rsidR="006B5103" w:rsidRDefault="006B5103">
            <w:pPr>
              <w:numPr>
                <w:ilvl w:val="0"/>
                <w:numId w:val="17"/>
              </w:numPr>
              <w:spacing w:before="100" w:beforeAutospacing="1" w:after="100" w:afterAutospacing="1"/>
              <w:rPr>
                <w:rFonts w:eastAsia="Times New Roman"/>
                <w:szCs w:val="22"/>
              </w:rPr>
            </w:pPr>
            <w:r>
              <w:rPr>
                <w:rFonts w:eastAsia="Times New Roman"/>
                <w:szCs w:val="22"/>
              </w:rPr>
              <w:t>Vraag om uitstel als de gegevens nog niet compleet zijn — dat verlengt de termijn, maar niet de verantwoordelijkheid.</w:t>
            </w:r>
          </w:p>
          <w:p w14:paraId="193631BF" w14:textId="77777777" w:rsidR="006B5103" w:rsidRDefault="006B5103">
            <w:pPr>
              <w:numPr>
                <w:ilvl w:val="0"/>
                <w:numId w:val="17"/>
              </w:numPr>
              <w:spacing w:before="100" w:beforeAutospacing="1" w:after="100" w:afterAutospacing="1"/>
              <w:rPr>
                <w:rFonts w:eastAsia="Times New Roman"/>
                <w:szCs w:val="22"/>
              </w:rPr>
            </w:pPr>
            <w:r>
              <w:rPr>
                <w:rFonts w:eastAsia="Times New Roman"/>
                <w:szCs w:val="22"/>
              </w:rPr>
              <w:t>Als de toeslagen worden herberekend of teruggevorderd: dien een bezwaarschrift in op basis van de werkelijke cijfers, met bewijs. Formuleer het bezwaar op basis van het feit dat het toetsingsinkomen niet correct is vastgesteld.</w:t>
            </w:r>
          </w:p>
          <w:p w14:paraId="4F1F337E" w14:textId="77777777" w:rsidR="006B5103" w:rsidRDefault="006B5103">
            <w:pPr>
              <w:spacing w:after="0"/>
              <w:rPr>
                <w:rFonts w:eastAsia="Times New Roman"/>
                <w:szCs w:val="22"/>
              </w:rPr>
            </w:pPr>
            <w:r>
              <w:rPr>
                <w:rFonts w:eastAsia="Times New Roman"/>
                <w:szCs w:val="22"/>
              </w:rPr>
              <w:t xml:space="preserve">Voor de zorgtoeslag specifiek: de blokkade zit bij CZ (RIV-registratie), niet bij de Dienst Toeslagen. Een handmatige correctie via de CZ-declaraties en het bewijs van betaald eigen risico is de route om de blokkade te doorbreken. </w:t>
            </w:r>
          </w:p>
        </w:tc>
      </w:tr>
    </w:tbl>
    <w:p w14:paraId="62BE19BF"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De feiten zijn gebaseerd op Document B. Dit hoofdstuk is geen fiscaal of juridisch advies. Voor de exacte bedragen en voorwaarden: raadpleeg de Belastingdienst of een fiscaal adviseur.</w:t>
      </w:r>
    </w:p>
    <w:p w14:paraId="5E38D49C" w14:textId="77777777" w:rsidR="006B5103" w:rsidRDefault="006B5103">
      <w:pPr>
        <w:pStyle w:val="marker"/>
        <w:ind w:left="800" w:right="800"/>
        <w:divId w:val="2114661829"/>
        <w:rPr>
          <w:lang w:val="nl-NL"/>
        </w:rPr>
      </w:pPr>
      <w:r>
        <w:br w:type="page"/>
      </w:r>
    </w:p>
    <w:p w14:paraId="294E87AC" w14:textId="77777777" w:rsidR="006B5103" w:rsidRDefault="006B5103">
      <w:pPr>
        <w:pStyle w:val="Kop1"/>
        <w:divId w:val="2114661829"/>
        <w:rPr>
          <w:rFonts w:eastAsia="Times New Roman"/>
          <w:lang w:val="nl-NL"/>
        </w:rPr>
      </w:pPr>
      <w:bookmarkStart w:id="86" w:name="_Toc242191263"/>
      <w:r>
        <w:rPr>
          <w:rFonts w:eastAsia="Times New Roman"/>
          <w:lang w:val="nl-NL"/>
        </w:rPr>
        <w:t>IV. Heen en weer</w:t>
      </w:r>
      <w:bookmarkEnd w:id="86"/>
    </w:p>
    <w:p w14:paraId="44B7A3FB" w14:textId="77777777" w:rsidR="006B5103" w:rsidRDefault="006B5103">
      <w:pPr>
        <w:pStyle w:val="Kop2"/>
        <w:divId w:val="2114661829"/>
        <w:rPr>
          <w:rFonts w:eastAsia="Times New Roman"/>
          <w:lang w:val="nl-NL"/>
        </w:rPr>
      </w:pPr>
      <w:bookmarkStart w:id="87" w:name="_Toc242191264"/>
      <w:r>
        <w:rPr>
          <w:rFonts w:eastAsia="Times New Roman"/>
          <w:lang w:val="nl-NL"/>
        </w:rPr>
        <w:t>Het manuele U1-probleem</w:t>
      </w:r>
      <w:bookmarkEnd w:id="87"/>
    </w:p>
    <w:p w14:paraId="541AAD7F" w14:textId="77777777" w:rsidR="006B5103" w:rsidRDefault="006B5103">
      <w:pPr>
        <w:pStyle w:val="lead"/>
        <w:divId w:val="2114661829"/>
        <w:rPr>
          <w:lang w:val="nl-NL"/>
        </w:rPr>
      </w:pPr>
      <w:r>
        <w:rPr>
          <w:lang w:val="nl-NL"/>
        </w:rPr>
        <w:t>Het PD U1 is het Europese bewijs van iemands arbeidsverleden. Een grensarbeider heeft het in twee richtingen nodig: om zijn Belgische jaren in Nederland te laten gelden, en om zijn Nederlandse jaren in België te laten gelden. In beide richtingen is de overdracht manueel. En de ESSPASS lost dat in 2030 niet op, want de burger blijft de schakel.</w:t>
      </w:r>
    </w:p>
    <w:p w14:paraId="1E7ECEC2" w14:textId="77777777" w:rsidR="006B5103" w:rsidRDefault="006B5103">
      <w:pPr>
        <w:pStyle w:val="Kop3"/>
        <w:divId w:val="2114661829"/>
        <w:rPr>
          <w:rFonts w:eastAsia="Times New Roman"/>
          <w:lang w:val="nl-NL"/>
        </w:rPr>
      </w:pPr>
      <w:bookmarkStart w:id="88" w:name="_Toc242191265"/>
      <w:r>
        <w:rPr>
          <w:rFonts w:eastAsia="Times New Roman"/>
          <w:lang w:val="nl-NL"/>
        </w:rPr>
        <w:t>De twee richtingen</w:t>
      </w:r>
      <w:bookmarkEnd w:id="88"/>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B7AE804"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1CEB85B" w14:textId="77777777" w:rsidR="006B5103" w:rsidRDefault="006B5103">
            <w:pPr>
              <w:pStyle w:val="Normaalweb"/>
              <w:spacing w:before="120"/>
              <w:jc w:val="center"/>
              <w:rPr>
                <w:sz w:val="21"/>
                <w:szCs w:val="21"/>
              </w:rPr>
            </w:pPr>
            <w:r>
              <w:rPr>
                <w:noProof/>
                <w:sz w:val="21"/>
                <w:szCs w:val="21"/>
              </w:rPr>
              <w:drawing>
                <wp:inline distT="0" distB="0" distL="0" distR="0" wp14:anchorId="01CA0239" wp14:editId="5323EC86">
                  <wp:extent cx="5715000" cy="1905000"/>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5715000" cy="1905000"/>
                          </a:xfrm>
                          <a:prstGeom prst="rect">
                            <a:avLst/>
                          </a:prstGeom>
                          <a:noFill/>
                          <a:ln>
                            <a:noFill/>
                          </a:ln>
                        </pic:spPr>
                      </pic:pic>
                    </a:graphicData>
                  </a:graphic>
                </wp:inline>
              </w:drawing>
            </w:r>
          </w:p>
          <w:p w14:paraId="7283204C" w14:textId="77777777" w:rsidR="006B5103" w:rsidRDefault="006B5103">
            <w:pPr>
              <w:pStyle w:val="caption"/>
              <w:spacing w:after="120" w:afterAutospacing="0"/>
            </w:pPr>
            <w:r>
              <w:rPr>
                <w:rStyle w:val="Zwaar"/>
              </w:rPr>
              <w:t>Figuur VIII.1 — Twee richtingen.</w:t>
            </w:r>
            <w:r>
              <w:t xml:space="preserve"> Richting 1 werkt: RVA levert het PD U1 voor de Belgische loopbaan aan UWV. Richting 2 blokkeert: UWV levert het PD U1 voor de Nederlandse loopbaan, maar RVA weigert buitenlandse loopbaandata in zijn systeem te integreren. In beide richtingen draagt de burger zelf het document van de ene instantie naar de andere.</w:t>
            </w:r>
          </w:p>
        </w:tc>
      </w:tr>
    </w:tbl>
    <w:p w14:paraId="2523BB4B" w14:textId="77777777" w:rsidR="006B5103" w:rsidRDefault="006B5103">
      <w:pPr>
        <w:pStyle w:val="Kop3"/>
        <w:divId w:val="2114661829"/>
        <w:rPr>
          <w:rFonts w:eastAsia="Times New Roman"/>
          <w:lang w:val="nl-NL"/>
        </w:rPr>
      </w:pPr>
      <w:bookmarkStart w:id="89" w:name="_Toc242191266"/>
      <w:r>
        <w:rPr>
          <w:rFonts w:eastAsia="Times New Roman"/>
          <w:lang w:val="nl-NL"/>
        </w:rPr>
        <w:t>Richting 1 — België naar Nederland</w:t>
      </w:r>
      <w:bookmarkEnd w:id="89"/>
    </w:p>
    <w:p w14:paraId="66D4FDEA" w14:textId="77777777" w:rsidR="006B5103" w:rsidRDefault="006B5103">
      <w:pPr>
        <w:pStyle w:val="Normaalweb"/>
        <w:divId w:val="2114661829"/>
        <w:rPr>
          <w:lang w:val="nl-NL"/>
        </w:rPr>
      </w:pPr>
      <w:r>
        <w:rPr>
          <w:lang w:val="nl-NL"/>
        </w:rPr>
        <w:t>De burger heeft 21 jaar in België gewerkt. Om aanspraak te maken op Nederlandse uitkeringen moet die Belgische loopbaan aantoonbaar zijn in het Nederlandse systeem. De RVA levert daarvoor het PD U1 aan UWV.</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9BB63ED"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41DF9C3" w14:textId="77777777" w:rsidR="006B5103" w:rsidRDefault="006B5103">
            <w:pPr>
              <w:pStyle w:val="Normaalweb"/>
              <w:spacing w:before="120"/>
              <w:jc w:val="center"/>
              <w:rPr>
                <w:sz w:val="21"/>
                <w:szCs w:val="21"/>
              </w:rPr>
            </w:pPr>
            <w:r>
              <w:rPr>
                <w:noProof/>
                <w:sz w:val="21"/>
                <w:szCs w:val="21"/>
              </w:rPr>
              <w:drawing>
                <wp:inline distT="0" distB="0" distL="0" distR="0" wp14:anchorId="235F85E1" wp14:editId="2435A068">
                  <wp:extent cx="5715000" cy="135255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link="rId60">
                            <a:extLst>
                              <a:ext uri="{28A0092B-C50C-407E-A947-70E740481C1C}">
                                <a14:useLocalDpi xmlns:a14="http://schemas.microsoft.com/office/drawing/2010/main" val="0"/>
                              </a:ext>
                            </a:extLst>
                          </a:blip>
                          <a:srcRect/>
                          <a:stretch>
                            <a:fillRect/>
                          </a:stretch>
                        </pic:blipFill>
                        <pic:spPr bwMode="auto">
                          <a:xfrm>
                            <a:off x="0" y="0"/>
                            <a:ext cx="5715000" cy="1352550"/>
                          </a:xfrm>
                          <a:prstGeom prst="rect">
                            <a:avLst/>
                          </a:prstGeom>
                          <a:noFill/>
                          <a:ln>
                            <a:noFill/>
                          </a:ln>
                        </pic:spPr>
                      </pic:pic>
                    </a:graphicData>
                  </a:graphic>
                </wp:inline>
              </w:drawing>
            </w:r>
          </w:p>
          <w:p w14:paraId="5D037C10" w14:textId="77777777" w:rsidR="006B5103" w:rsidRDefault="006B5103">
            <w:pPr>
              <w:pStyle w:val="caption"/>
              <w:spacing w:after="120" w:afterAutospacing="0"/>
            </w:pPr>
            <w:r>
              <w:t>RVA levert drie PD U1-formulieren. Bij vergelijking blijken vijf periodes te ontbreken — studentenarbeid uit 1999, gaten in 2001–2002, en transitieperiodes. De burger vraagt zelf de aanvullende attesten aan. Pas na manuele aanvulling is het dossier compleet. De administratie werkt, maar uitsluitend omdat de burger de gaten zelf detecteert en dicht.</w:t>
            </w:r>
          </w:p>
        </w:tc>
      </w:tr>
    </w:tbl>
    <w:p w14:paraId="54F56D70" w14:textId="77777777" w:rsidR="006B5103" w:rsidRDefault="006B5103">
      <w:pPr>
        <w:pStyle w:val="Kop3"/>
        <w:divId w:val="2114661829"/>
        <w:rPr>
          <w:rFonts w:eastAsia="Times New Roman"/>
          <w:lang w:val="nl-NL"/>
        </w:rPr>
      </w:pPr>
      <w:bookmarkStart w:id="90" w:name="_Toc242191267"/>
      <w:r>
        <w:rPr>
          <w:rFonts w:eastAsia="Times New Roman"/>
          <w:lang w:val="nl-NL"/>
        </w:rPr>
        <w:t>Richting 2 — Nederland naar België</w:t>
      </w:r>
      <w:bookmarkEnd w:id="90"/>
    </w:p>
    <w:p w14:paraId="66744291" w14:textId="77777777" w:rsidR="006B5103" w:rsidRDefault="006B5103">
      <w:pPr>
        <w:pStyle w:val="Normaalweb"/>
        <w:divId w:val="2114661829"/>
        <w:rPr>
          <w:lang w:val="nl-NL"/>
        </w:rPr>
      </w:pPr>
      <w:r>
        <w:rPr>
          <w:lang w:val="nl-NL"/>
        </w:rPr>
        <w:t>De burger heeft ook 8 maanden in Nederland gewerkt. Om aanspraak te maken op Belgische rechten moet die Nederlandse loopbaan aantoonbaar zijn in het Belgische systeem. UWV levert daarvoor het PD U1. Maar de RVA weigert om buitenlandse loopbaangegevens in zijn systeem te integreren.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F3E504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52AAF90" w14:textId="77777777" w:rsidR="006B5103" w:rsidRDefault="006B5103">
            <w:pPr>
              <w:pStyle w:val="Normaalweb"/>
              <w:spacing w:before="120"/>
              <w:jc w:val="center"/>
              <w:rPr>
                <w:sz w:val="21"/>
                <w:szCs w:val="21"/>
              </w:rPr>
            </w:pPr>
            <w:r>
              <w:rPr>
                <w:noProof/>
                <w:sz w:val="21"/>
                <w:szCs w:val="21"/>
              </w:rPr>
              <w:drawing>
                <wp:inline distT="0" distB="0" distL="0" distR="0" wp14:anchorId="665D4C22" wp14:editId="38577373">
                  <wp:extent cx="5715000" cy="1670050"/>
                  <wp:effectExtent l="0" t="0" r="0" b="635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5715000" cy="1670050"/>
                          </a:xfrm>
                          <a:prstGeom prst="rect">
                            <a:avLst/>
                          </a:prstGeom>
                          <a:noFill/>
                          <a:ln>
                            <a:noFill/>
                          </a:ln>
                        </pic:spPr>
                      </pic:pic>
                    </a:graphicData>
                  </a:graphic>
                </wp:inline>
              </w:drawing>
            </w:r>
          </w:p>
          <w:p w14:paraId="219DD698" w14:textId="77777777" w:rsidR="006B5103" w:rsidRDefault="006B5103">
            <w:pPr>
              <w:pStyle w:val="caption"/>
              <w:spacing w:after="120" w:afterAutospacing="0"/>
            </w:pPr>
            <w:r>
              <w:t>UWV levert een PD U1 voor de 8 Nederlandse maanden. RVA weigert deze data in zijn systeem te integreren: de instantie beschouwt zichzelf als zender, niet als ontvanger. De enige uitweg is dat de burger de Nederlandse loopbaandata handmatig injecteert in het portaal van een andere Belgische federale instantie (FOD Sociale Zekerheid), die de gegevens vervolgens in MyCareer plaatst.</w:t>
            </w:r>
          </w:p>
        </w:tc>
      </w:tr>
    </w:tbl>
    <w:p w14:paraId="549B4D99" w14:textId="77777777" w:rsidR="006B5103" w:rsidRDefault="006B5103">
      <w:pPr>
        <w:pStyle w:val="Kop3"/>
        <w:divId w:val="2114661829"/>
        <w:rPr>
          <w:rFonts w:eastAsia="Times New Roman"/>
          <w:lang w:val="nl-NL"/>
        </w:rPr>
      </w:pPr>
      <w:bookmarkStart w:id="91" w:name="_Toc242191268"/>
      <w:r>
        <w:rPr>
          <w:rFonts w:eastAsia="Times New Roman"/>
          <w:lang w:val="nl-NL"/>
        </w:rPr>
        <w:t>Het patroon</w:t>
      </w:r>
      <w:bookmarkEnd w:id="91"/>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6C697D52" w14:textId="77777777">
        <w:trPr>
          <w:divId w:val="2114661829"/>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4FCC630"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Aspect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04C16F3"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Richting 1 — BE → NL</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2193741"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Richting 2 — NL → BE</w:t>
            </w:r>
          </w:p>
        </w:tc>
      </w:tr>
      <w:tr w:rsidR="00000000" w14:paraId="37C44D7F"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F9A249" w14:textId="77777777" w:rsidR="006B5103" w:rsidRDefault="006B5103">
            <w:pPr>
              <w:spacing w:before="200" w:after="360"/>
              <w:rPr>
                <w:rFonts w:eastAsia="Times New Roman"/>
                <w:sz w:val="21"/>
                <w:szCs w:val="21"/>
              </w:rPr>
            </w:pPr>
            <w:r>
              <w:rPr>
                <w:rStyle w:val="Zwaar"/>
                <w:rFonts w:eastAsia="Times New Roman"/>
                <w:sz w:val="21"/>
                <w:szCs w:val="21"/>
              </w:rPr>
              <w:t>Uitgevende instantie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4D388C8" w14:textId="77777777" w:rsidR="006B5103" w:rsidRDefault="006B5103">
            <w:pPr>
              <w:spacing w:before="200" w:after="360"/>
              <w:rPr>
                <w:rFonts w:eastAsia="Times New Roman"/>
                <w:sz w:val="21"/>
                <w:szCs w:val="21"/>
              </w:rPr>
            </w:pPr>
            <w:r>
              <w:rPr>
                <w:rFonts w:eastAsia="Times New Roman"/>
                <w:sz w:val="21"/>
                <w:szCs w:val="21"/>
              </w:rPr>
              <w:t>RVA (Antwerpen)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335EAF" w14:textId="77777777" w:rsidR="006B5103" w:rsidRDefault="006B5103">
            <w:pPr>
              <w:spacing w:before="200" w:after="360"/>
              <w:rPr>
                <w:rFonts w:eastAsia="Times New Roman"/>
                <w:sz w:val="21"/>
                <w:szCs w:val="21"/>
              </w:rPr>
            </w:pPr>
            <w:r>
              <w:rPr>
                <w:rFonts w:eastAsia="Times New Roman"/>
                <w:sz w:val="21"/>
                <w:szCs w:val="21"/>
              </w:rPr>
              <w:t>UWV</w:t>
            </w:r>
          </w:p>
        </w:tc>
      </w:tr>
      <w:tr w:rsidR="00000000" w14:paraId="608EA6CB"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0DDC699" w14:textId="77777777" w:rsidR="006B5103" w:rsidRDefault="006B5103">
            <w:pPr>
              <w:spacing w:before="200" w:after="360"/>
              <w:rPr>
                <w:rFonts w:eastAsia="Times New Roman"/>
                <w:sz w:val="21"/>
                <w:szCs w:val="21"/>
              </w:rPr>
            </w:pPr>
            <w:r>
              <w:rPr>
                <w:rStyle w:val="Zwaar"/>
                <w:rFonts w:eastAsia="Times New Roman"/>
                <w:sz w:val="21"/>
                <w:szCs w:val="21"/>
              </w:rPr>
              <w:t>Ontvangende instantie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7189DAB" w14:textId="77777777" w:rsidR="006B5103" w:rsidRDefault="006B5103">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6658AE7" w14:textId="77777777" w:rsidR="006B5103" w:rsidRDefault="006B5103">
            <w:pPr>
              <w:spacing w:before="200" w:after="360"/>
              <w:rPr>
                <w:rFonts w:eastAsia="Times New Roman"/>
                <w:sz w:val="21"/>
                <w:szCs w:val="21"/>
              </w:rPr>
            </w:pPr>
            <w:r>
              <w:rPr>
                <w:rFonts w:eastAsia="Times New Roman"/>
                <w:sz w:val="21"/>
                <w:szCs w:val="21"/>
              </w:rPr>
              <w:t>RVA</w:t>
            </w:r>
          </w:p>
        </w:tc>
      </w:tr>
      <w:tr w:rsidR="00000000" w14:paraId="1F2F464A"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A1A2A5" w14:textId="77777777" w:rsidR="006B5103" w:rsidRDefault="006B5103">
            <w:pPr>
              <w:spacing w:before="200" w:after="360"/>
              <w:rPr>
                <w:rFonts w:eastAsia="Times New Roman"/>
                <w:sz w:val="21"/>
                <w:szCs w:val="21"/>
              </w:rPr>
            </w:pPr>
            <w:r>
              <w:rPr>
                <w:rStyle w:val="Zwaar"/>
                <w:rFonts w:eastAsia="Times New Roman"/>
                <w:sz w:val="21"/>
                <w:szCs w:val="21"/>
              </w:rPr>
              <w:t>Duur loopbaan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E9792B" w14:textId="77777777" w:rsidR="006B5103" w:rsidRDefault="006B5103">
            <w:pPr>
              <w:spacing w:before="200" w:after="360"/>
              <w:rPr>
                <w:rFonts w:eastAsia="Times New Roman"/>
                <w:sz w:val="21"/>
                <w:szCs w:val="21"/>
              </w:rPr>
            </w:pPr>
            <w:r>
              <w:rPr>
                <w:rFonts w:eastAsia="Times New Roman"/>
                <w:sz w:val="21"/>
                <w:szCs w:val="21"/>
              </w:rPr>
              <w:t>21 jaar 2 maanden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DA4FAC" w14:textId="77777777" w:rsidR="006B5103" w:rsidRDefault="006B5103">
            <w:pPr>
              <w:spacing w:before="200" w:after="360"/>
              <w:rPr>
                <w:rFonts w:eastAsia="Times New Roman"/>
                <w:sz w:val="21"/>
                <w:szCs w:val="21"/>
              </w:rPr>
            </w:pPr>
            <w:r>
              <w:rPr>
                <w:rFonts w:eastAsia="Times New Roman"/>
                <w:sz w:val="21"/>
                <w:szCs w:val="21"/>
              </w:rPr>
              <w:t>8 maanden</w:t>
            </w:r>
          </w:p>
        </w:tc>
      </w:tr>
      <w:tr w:rsidR="00000000" w14:paraId="7B0E381F"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A83F53" w14:textId="77777777" w:rsidR="006B5103" w:rsidRDefault="006B5103">
            <w:pPr>
              <w:spacing w:before="200" w:after="360"/>
              <w:rPr>
                <w:rFonts w:eastAsia="Times New Roman"/>
                <w:sz w:val="21"/>
                <w:szCs w:val="21"/>
              </w:rPr>
            </w:pPr>
            <w:r>
              <w:rPr>
                <w:rStyle w:val="Zwaar"/>
                <w:rFonts w:eastAsia="Times New Roman"/>
                <w:sz w:val="21"/>
                <w:szCs w:val="21"/>
              </w:rPr>
              <w:t>Aanvraag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8924712" w14:textId="77777777" w:rsidR="006B5103" w:rsidRDefault="006B5103">
            <w:pPr>
              <w:spacing w:before="200" w:after="360"/>
              <w:rPr>
                <w:rFonts w:eastAsia="Times New Roman"/>
                <w:sz w:val="21"/>
                <w:szCs w:val="21"/>
              </w:rPr>
            </w:pPr>
            <w:r>
              <w:rPr>
                <w:rFonts w:eastAsia="Times New Roman"/>
                <w:sz w:val="21"/>
                <w:szCs w:val="21"/>
              </w:rPr>
              <w:t>Handmatig, per e-mail of formulier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BD3104" w14:textId="77777777" w:rsidR="006B5103" w:rsidRDefault="006B5103">
            <w:pPr>
              <w:spacing w:before="200" w:after="360"/>
              <w:rPr>
                <w:rFonts w:eastAsia="Times New Roman"/>
                <w:sz w:val="21"/>
                <w:szCs w:val="21"/>
              </w:rPr>
            </w:pPr>
            <w:r>
              <w:rPr>
                <w:rFonts w:eastAsia="Times New Roman"/>
                <w:sz w:val="21"/>
                <w:szCs w:val="21"/>
              </w:rPr>
              <w:t>Handmatig, per formulier</w:t>
            </w:r>
          </w:p>
        </w:tc>
      </w:tr>
      <w:tr w:rsidR="00000000" w14:paraId="25828F8C"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8BFD03" w14:textId="77777777" w:rsidR="006B5103" w:rsidRDefault="006B5103">
            <w:pPr>
              <w:spacing w:before="200" w:after="360"/>
              <w:rPr>
                <w:rFonts w:eastAsia="Times New Roman"/>
                <w:sz w:val="21"/>
                <w:szCs w:val="21"/>
              </w:rPr>
            </w:pPr>
            <w:r>
              <w:rPr>
                <w:rStyle w:val="Zwaar"/>
                <w:rFonts w:eastAsia="Times New Roman"/>
                <w:sz w:val="21"/>
                <w:szCs w:val="21"/>
              </w:rPr>
              <w:t>Levering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47650C0" w14:textId="77777777" w:rsidR="006B5103" w:rsidRDefault="006B5103">
            <w:pPr>
              <w:spacing w:before="200" w:after="360"/>
              <w:rPr>
                <w:rFonts w:eastAsia="Times New Roman"/>
                <w:sz w:val="21"/>
                <w:szCs w:val="21"/>
              </w:rPr>
            </w:pPr>
            <w:r>
              <w:rPr>
                <w:rFonts w:eastAsia="Times New Roman"/>
                <w:sz w:val="21"/>
                <w:szCs w:val="21"/>
              </w:rPr>
              <w:t>Werkt, met ontbrekende periodes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04CEE8" w14:textId="77777777" w:rsidR="006B5103" w:rsidRDefault="006B5103">
            <w:pPr>
              <w:spacing w:before="200" w:after="360"/>
              <w:rPr>
                <w:rFonts w:eastAsia="Times New Roman"/>
                <w:sz w:val="21"/>
                <w:szCs w:val="21"/>
              </w:rPr>
            </w:pPr>
            <w:r>
              <w:rPr>
                <w:rFonts w:eastAsia="Times New Roman"/>
                <w:sz w:val="21"/>
                <w:szCs w:val="21"/>
              </w:rPr>
              <w:t>Werkt, maar ontvanger weigert</w:t>
            </w:r>
          </w:p>
        </w:tc>
      </w:tr>
      <w:tr w:rsidR="00000000" w14:paraId="352DCE56"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C9ABAD" w14:textId="77777777" w:rsidR="006B5103" w:rsidRDefault="006B5103">
            <w:pPr>
              <w:spacing w:before="200" w:after="360"/>
              <w:rPr>
                <w:rFonts w:eastAsia="Times New Roman"/>
                <w:sz w:val="21"/>
                <w:szCs w:val="21"/>
              </w:rPr>
            </w:pPr>
            <w:r>
              <w:rPr>
                <w:rStyle w:val="Zwaar"/>
                <w:rFonts w:eastAsia="Times New Roman"/>
                <w:sz w:val="21"/>
                <w:szCs w:val="21"/>
              </w:rPr>
              <w:t>Overdracht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CBE010" w14:textId="77777777" w:rsidR="006B5103" w:rsidRDefault="006B5103">
            <w:pPr>
              <w:spacing w:before="200" w:after="360"/>
              <w:rPr>
                <w:rFonts w:eastAsia="Times New Roman"/>
                <w:sz w:val="21"/>
                <w:szCs w:val="21"/>
              </w:rPr>
            </w:pPr>
            <w:r>
              <w:rPr>
                <w:rFonts w:eastAsia="Times New Roman"/>
                <w:sz w:val="21"/>
                <w:szCs w:val="21"/>
              </w:rPr>
              <w:t>Burger dient zelf in bij 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5FCC4F" w14:textId="77777777" w:rsidR="006B5103" w:rsidRDefault="006B5103">
            <w:pPr>
              <w:spacing w:before="200" w:after="360"/>
              <w:rPr>
                <w:rFonts w:eastAsia="Times New Roman"/>
                <w:sz w:val="21"/>
                <w:szCs w:val="21"/>
              </w:rPr>
            </w:pPr>
            <w:r>
              <w:rPr>
                <w:rFonts w:eastAsia="Times New Roman"/>
                <w:sz w:val="21"/>
                <w:szCs w:val="21"/>
              </w:rPr>
              <w:t>Burger injecteert zelf bij FOD SZ</w:t>
            </w:r>
          </w:p>
        </w:tc>
      </w:tr>
      <w:tr w:rsidR="00000000" w14:paraId="5D58023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5198B4" w14:textId="77777777" w:rsidR="006B5103" w:rsidRDefault="006B5103">
            <w:pPr>
              <w:spacing w:before="200" w:after="360"/>
              <w:rPr>
                <w:rFonts w:eastAsia="Times New Roman"/>
                <w:sz w:val="21"/>
                <w:szCs w:val="21"/>
              </w:rPr>
            </w:pPr>
            <w:r>
              <w:rPr>
                <w:rStyle w:val="Zwaar"/>
                <w:rFonts w:eastAsia="Times New Roman"/>
                <w:sz w:val="21"/>
                <w:szCs w:val="21"/>
              </w:rPr>
              <w:t>Blokkade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5BF49B" w14:textId="77777777" w:rsidR="006B5103" w:rsidRDefault="006B5103">
            <w:pPr>
              <w:spacing w:before="200" w:after="360"/>
              <w:rPr>
                <w:rFonts w:eastAsia="Times New Roman"/>
                <w:sz w:val="21"/>
                <w:szCs w:val="21"/>
              </w:rPr>
            </w:pPr>
            <w:r>
              <w:rPr>
                <w:rFonts w:eastAsia="Times New Roman"/>
                <w:sz w:val="21"/>
                <w:szCs w:val="21"/>
              </w:rPr>
              <w:t>5 periodes ontbreken, burger vult zelf aan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4C38F2A" w14:textId="77777777" w:rsidR="006B5103" w:rsidRDefault="006B5103">
            <w:pPr>
              <w:spacing w:before="200" w:after="360"/>
              <w:rPr>
                <w:rFonts w:eastAsia="Times New Roman"/>
                <w:sz w:val="21"/>
                <w:szCs w:val="21"/>
              </w:rPr>
            </w:pPr>
            <w:r>
              <w:rPr>
                <w:rFonts w:eastAsia="Times New Roman"/>
                <w:sz w:val="21"/>
                <w:szCs w:val="21"/>
              </w:rPr>
              <w:t>RVA weigert import van buitenlandse data</w:t>
            </w:r>
          </w:p>
        </w:tc>
      </w:tr>
      <w:tr w:rsidR="00000000" w14:paraId="1F1C625D"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59EE85" w14:textId="77777777" w:rsidR="006B5103" w:rsidRDefault="006B5103">
            <w:pPr>
              <w:spacing w:before="200" w:after="360"/>
              <w:rPr>
                <w:rFonts w:eastAsia="Times New Roman"/>
                <w:sz w:val="21"/>
                <w:szCs w:val="21"/>
              </w:rPr>
            </w:pPr>
            <w:r>
              <w:rPr>
                <w:rStyle w:val="Zwaar"/>
                <w:rFonts w:eastAsia="Times New Roman"/>
                <w:sz w:val="21"/>
                <w:szCs w:val="21"/>
              </w:rPr>
              <w:t>Bypass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20256E" w14:textId="77777777" w:rsidR="006B5103" w:rsidRDefault="006B5103">
            <w:pPr>
              <w:spacing w:before="200" w:after="360"/>
              <w:rPr>
                <w:rFonts w:eastAsia="Times New Roman"/>
                <w:sz w:val="21"/>
                <w:szCs w:val="21"/>
              </w:rPr>
            </w:pPr>
            <w:r>
              <w:rPr>
                <w:rFonts w:eastAsia="Times New Roman"/>
                <w:sz w:val="21"/>
                <w:szCs w:val="21"/>
              </w:rPr>
              <w:t>Extra attesten opvragen bij werkgevers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48C0E2" w14:textId="77777777" w:rsidR="006B5103" w:rsidRDefault="006B5103">
            <w:pPr>
              <w:spacing w:before="200" w:after="360"/>
              <w:rPr>
                <w:rFonts w:eastAsia="Times New Roman"/>
                <w:sz w:val="21"/>
                <w:szCs w:val="21"/>
              </w:rPr>
            </w:pPr>
            <w:r>
              <w:rPr>
                <w:rFonts w:eastAsia="Times New Roman"/>
                <w:sz w:val="21"/>
                <w:szCs w:val="21"/>
              </w:rPr>
              <w:t>Handmatige injectie via FOD SZ-portaal</w:t>
            </w:r>
          </w:p>
        </w:tc>
      </w:tr>
    </w:tbl>
    <w:p w14:paraId="1EF64F79" w14:textId="77777777" w:rsidR="006B5103" w:rsidRDefault="006B5103">
      <w:pPr>
        <w:pStyle w:val="Normaalweb"/>
        <w:divId w:val="2114661829"/>
        <w:rPr>
          <w:sz w:val="24"/>
          <w:lang w:val="nl-NL"/>
        </w:rPr>
      </w:pPr>
      <w:r>
        <w:rPr>
          <w:lang w:val="nl-NL"/>
        </w:rPr>
        <w:t>In beide richtingen is de burger de enige actor die het document fysiek of digitaal overdraagt. De RVA en het UWV sturen wel, maar ontvangen elkaar niet. Er is geen automatische systeem-tot-systeem-koppeling. In richting 1 vult de burger de gaten zelf aan. In richting 2 omzeilt hij de weigerende RVA via een andere federale instantie.</w:t>
      </w:r>
    </w:p>
    <w:p w14:paraId="6A538595" w14:textId="77777777" w:rsidR="006B5103" w:rsidRDefault="006B5103">
      <w:pPr>
        <w:pStyle w:val="Kop3"/>
        <w:divId w:val="2114661829"/>
        <w:rPr>
          <w:rFonts w:eastAsia="Times New Roman"/>
          <w:lang w:val="nl-NL"/>
        </w:rPr>
      </w:pPr>
      <w:bookmarkStart w:id="92" w:name="_Toc242191269"/>
      <w:r>
        <w:rPr>
          <w:rFonts w:eastAsia="Times New Roman"/>
          <w:lang w:val="nl-NL"/>
        </w:rPr>
        <w:t>ESSPASS in 2030 — wat verandert er niet</w:t>
      </w:r>
      <w:bookmarkEnd w:id="92"/>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68EB61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138A0EA" w14:textId="77777777" w:rsidR="006B5103" w:rsidRDefault="006B5103">
            <w:pPr>
              <w:pStyle w:val="Normaalweb"/>
              <w:spacing w:before="120"/>
              <w:jc w:val="center"/>
              <w:rPr>
                <w:sz w:val="21"/>
                <w:szCs w:val="21"/>
              </w:rPr>
            </w:pPr>
            <w:r>
              <w:rPr>
                <w:noProof/>
                <w:sz w:val="21"/>
                <w:szCs w:val="21"/>
              </w:rPr>
              <w:drawing>
                <wp:inline distT="0" distB="0" distL="0" distR="0" wp14:anchorId="0F717902" wp14:editId="0DF4C910">
                  <wp:extent cx="5715000" cy="1758950"/>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link="rId62">
                            <a:extLst>
                              <a:ext uri="{28A0092B-C50C-407E-A947-70E740481C1C}">
                                <a14:useLocalDpi xmlns:a14="http://schemas.microsoft.com/office/drawing/2010/main" val="0"/>
                              </a:ext>
                            </a:extLst>
                          </a:blip>
                          <a:srcRect/>
                          <a:stretch>
                            <a:fillRect/>
                          </a:stretch>
                        </pic:blipFill>
                        <pic:spPr bwMode="auto">
                          <a:xfrm>
                            <a:off x="0" y="0"/>
                            <a:ext cx="5715000" cy="1758950"/>
                          </a:xfrm>
                          <a:prstGeom prst="rect">
                            <a:avLst/>
                          </a:prstGeom>
                          <a:noFill/>
                          <a:ln>
                            <a:noFill/>
                          </a:ln>
                        </pic:spPr>
                      </pic:pic>
                    </a:graphicData>
                  </a:graphic>
                </wp:inline>
              </w:drawing>
            </w:r>
          </w:p>
          <w:p w14:paraId="1481E72F" w14:textId="77777777" w:rsidR="006B5103" w:rsidRDefault="006B5103">
            <w:pPr>
              <w:pStyle w:val="caption"/>
              <w:spacing w:after="120" w:afterAutospacing="0"/>
            </w:pPr>
            <w:r>
              <w:rPr>
                <w:rStyle w:val="Zwaar"/>
              </w:rPr>
              <w:t>Figuur VIII.2 — ESSPASS in 2030.</w:t>
            </w:r>
            <w:r>
              <w:t xml:space="preserve"> De wallet digitaliseert de drager. De verificatie wordt sneller. Maar de handeling van de burger blijft: hij vraagt het document aan en deelt het met de verifierende instantie. De lidstaten koppelen hun systemen niet automatisch aan elkaar. De RVA zal in 2030 nog steeds weigeren buitenlandse loopbaandata te integreren, en de burger zal nog steeds dezelfde bypass moeten gebruiken.</w:t>
            </w:r>
          </w:p>
        </w:tc>
      </w:tr>
    </w:tbl>
    <w:p w14:paraId="3BEB624C" w14:textId="77777777" w:rsidR="006B5103" w:rsidRDefault="006B5103">
      <w:pPr>
        <w:pStyle w:val="Kop3"/>
        <w:divId w:val="2114661829"/>
        <w:rPr>
          <w:rFonts w:eastAsia="Times New Roman"/>
          <w:lang w:val="nl-NL"/>
        </w:rPr>
      </w:pPr>
      <w:bookmarkStart w:id="93" w:name="_Toc242191270"/>
      <w:r>
        <w:rPr>
          <w:rFonts w:eastAsia="Times New Roman"/>
          <w:lang w:val="nl-NL"/>
        </w:rPr>
        <w:t>Wat de ESSPASS wel en niet oplost</w:t>
      </w:r>
      <w:bookmarkEnd w:id="93"/>
    </w:p>
    <w:tbl>
      <w:tblPr>
        <w:tblW w:w="5000" w:type="pct"/>
        <w:tblCellMar>
          <w:top w:w="15" w:type="dxa"/>
          <w:left w:w="15" w:type="dxa"/>
          <w:bottom w:w="15" w:type="dxa"/>
          <w:right w:w="15" w:type="dxa"/>
        </w:tblCellMar>
        <w:tblLook w:val="04A0" w:firstRow="1" w:lastRow="0" w:firstColumn="1" w:lastColumn="0" w:noHBand="0" w:noVBand="1"/>
      </w:tblPr>
      <w:tblGrid>
        <w:gridCol w:w="3080"/>
        <w:gridCol w:w="2988"/>
        <w:gridCol w:w="2988"/>
      </w:tblGrid>
      <w:tr w:rsidR="00000000" w14:paraId="097E1E12" w14:textId="77777777">
        <w:trPr>
          <w:divId w:val="2114661829"/>
          <w:tblHeader/>
        </w:trPr>
        <w:tc>
          <w:tcPr>
            <w:tcW w:w="17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026D952"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Aspect</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D6C0536"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Nu (2026)</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410F46F"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ESSPASS (2030)</w:t>
            </w:r>
          </w:p>
        </w:tc>
      </w:tr>
      <w:tr w:rsidR="00000000" w14:paraId="6FE5E8A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54408D" w14:textId="77777777" w:rsidR="006B5103" w:rsidRDefault="006B5103">
            <w:pPr>
              <w:spacing w:before="200" w:after="360"/>
              <w:rPr>
                <w:rFonts w:eastAsia="Times New Roman"/>
                <w:sz w:val="21"/>
                <w:szCs w:val="21"/>
              </w:rPr>
            </w:pPr>
            <w:r>
              <w:rPr>
                <w:rStyle w:val="Zwaar"/>
                <w:rFonts w:eastAsia="Times New Roman"/>
                <w:sz w:val="21"/>
                <w:szCs w:val="21"/>
              </w:rPr>
              <w:t>Drager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93D3AEA" w14:textId="77777777" w:rsidR="006B5103" w:rsidRDefault="006B5103">
            <w:pPr>
              <w:spacing w:before="200" w:after="360"/>
              <w:rPr>
                <w:rFonts w:eastAsia="Times New Roman"/>
                <w:sz w:val="21"/>
                <w:szCs w:val="21"/>
              </w:rPr>
            </w:pPr>
            <w:r>
              <w:rPr>
                <w:rFonts w:eastAsia="Times New Roman"/>
                <w:sz w:val="21"/>
                <w:szCs w:val="21"/>
              </w:rPr>
              <w:t>Papier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09E6BF" w14:textId="77777777" w:rsidR="006B5103" w:rsidRDefault="006B5103">
            <w:pPr>
              <w:spacing w:before="200" w:after="360"/>
              <w:rPr>
                <w:rFonts w:eastAsia="Times New Roman"/>
                <w:sz w:val="21"/>
                <w:szCs w:val="21"/>
              </w:rPr>
            </w:pPr>
            <w:r>
              <w:rPr>
                <w:rFonts w:eastAsia="Times New Roman"/>
                <w:sz w:val="21"/>
                <w:szCs w:val="21"/>
              </w:rPr>
              <w:t>EUDI Wallet</w:t>
            </w:r>
          </w:p>
        </w:tc>
      </w:tr>
      <w:tr w:rsidR="00000000" w14:paraId="487E2048"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1B4281" w14:textId="77777777" w:rsidR="006B5103" w:rsidRDefault="006B5103">
            <w:pPr>
              <w:spacing w:before="200" w:after="360"/>
              <w:rPr>
                <w:rFonts w:eastAsia="Times New Roman"/>
                <w:sz w:val="21"/>
                <w:szCs w:val="21"/>
              </w:rPr>
            </w:pPr>
            <w:r>
              <w:rPr>
                <w:rStyle w:val="Zwaar"/>
                <w:rFonts w:eastAsia="Times New Roman"/>
                <w:sz w:val="21"/>
                <w:szCs w:val="21"/>
              </w:rPr>
              <w:t>Aanvraag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D3482C" w14:textId="77777777" w:rsidR="006B5103" w:rsidRDefault="006B5103">
            <w:pPr>
              <w:spacing w:before="200" w:after="360"/>
              <w:rPr>
                <w:rFonts w:eastAsia="Times New Roman"/>
                <w:sz w:val="21"/>
                <w:szCs w:val="21"/>
              </w:rPr>
            </w:pPr>
            <w:r>
              <w:rPr>
                <w:rFonts w:eastAsia="Times New Roman"/>
                <w:sz w:val="21"/>
                <w:szCs w:val="21"/>
              </w:rPr>
              <w:t>Handmatig, 75% geen online aanvraag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849CBF" w14:textId="77777777" w:rsidR="006B5103" w:rsidRDefault="006B5103">
            <w:pPr>
              <w:spacing w:before="200" w:after="360"/>
              <w:rPr>
                <w:rFonts w:eastAsia="Times New Roman"/>
                <w:sz w:val="21"/>
                <w:szCs w:val="21"/>
              </w:rPr>
            </w:pPr>
            <w:r>
              <w:rPr>
                <w:rFonts w:eastAsia="Times New Roman"/>
                <w:sz w:val="21"/>
                <w:szCs w:val="21"/>
              </w:rPr>
              <w:t>Handmatig via wallet</w:t>
            </w:r>
          </w:p>
        </w:tc>
      </w:tr>
      <w:tr w:rsidR="00000000" w14:paraId="0F1382B3"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9A93C48" w14:textId="77777777" w:rsidR="006B5103" w:rsidRDefault="006B5103">
            <w:pPr>
              <w:spacing w:before="200" w:after="360"/>
              <w:rPr>
                <w:rFonts w:eastAsia="Times New Roman"/>
                <w:sz w:val="21"/>
                <w:szCs w:val="21"/>
              </w:rPr>
            </w:pPr>
            <w:r>
              <w:rPr>
                <w:rStyle w:val="Zwaar"/>
                <w:rFonts w:eastAsia="Times New Roman"/>
                <w:sz w:val="21"/>
                <w:szCs w:val="21"/>
              </w:rPr>
              <w:t>Uitgifte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C7A4CA1" w14:textId="77777777" w:rsidR="006B5103" w:rsidRDefault="006B5103">
            <w:pPr>
              <w:spacing w:before="200" w:after="360"/>
              <w:rPr>
                <w:rFonts w:eastAsia="Times New Roman"/>
                <w:sz w:val="21"/>
                <w:szCs w:val="21"/>
              </w:rPr>
            </w:pPr>
            <w:r>
              <w:rPr>
                <w:rFonts w:eastAsia="Times New Roman"/>
                <w:sz w:val="21"/>
                <w:szCs w:val="21"/>
              </w:rPr>
              <w:t>Handmatig, dagen tot weken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DA9859" w14:textId="77777777" w:rsidR="006B5103" w:rsidRDefault="006B5103">
            <w:pPr>
              <w:spacing w:before="200" w:after="360"/>
              <w:rPr>
                <w:rFonts w:eastAsia="Times New Roman"/>
                <w:sz w:val="21"/>
                <w:szCs w:val="21"/>
              </w:rPr>
            </w:pPr>
            <w:r>
              <w:rPr>
                <w:rFonts w:eastAsia="Times New Roman"/>
                <w:sz w:val="21"/>
                <w:szCs w:val="21"/>
              </w:rPr>
              <w:t>Automatisch uit de bron, seconden</w:t>
            </w:r>
          </w:p>
        </w:tc>
      </w:tr>
      <w:tr w:rsidR="00000000" w14:paraId="2402BF1E"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89C3DF" w14:textId="77777777" w:rsidR="006B5103" w:rsidRDefault="006B5103">
            <w:pPr>
              <w:spacing w:before="200" w:after="360"/>
              <w:rPr>
                <w:rFonts w:eastAsia="Times New Roman"/>
                <w:sz w:val="21"/>
                <w:szCs w:val="21"/>
              </w:rPr>
            </w:pPr>
            <w:r>
              <w:rPr>
                <w:rStyle w:val="Zwaar"/>
                <w:rFonts w:eastAsia="Times New Roman"/>
                <w:sz w:val="21"/>
                <w:szCs w:val="21"/>
              </w:rPr>
              <w:t>Overdracht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22C40B8" w14:textId="77777777" w:rsidR="006B5103" w:rsidRDefault="006B5103">
            <w:pPr>
              <w:spacing w:before="200" w:after="360"/>
              <w:rPr>
                <w:rFonts w:eastAsia="Times New Roman"/>
                <w:sz w:val="21"/>
                <w:szCs w:val="21"/>
              </w:rPr>
            </w:pPr>
            <w:r>
              <w:rPr>
                <w:rFonts w:eastAsia="Times New Roman"/>
                <w:sz w:val="21"/>
                <w:szCs w:val="21"/>
              </w:rPr>
              <w:t>Handmatig, post of e-mail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BB8C50" w14:textId="77777777" w:rsidR="006B5103" w:rsidRDefault="006B5103">
            <w:pPr>
              <w:spacing w:before="200" w:after="360"/>
              <w:rPr>
                <w:rFonts w:eastAsia="Times New Roman"/>
                <w:sz w:val="21"/>
                <w:szCs w:val="21"/>
              </w:rPr>
            </w:pPr>
            <w:r>
              <w:rPr>
                <w:rFonts w:eastAsia="Times New Roman"/>
                <w:sz w:val="21"/>
                <w:szCs w:val="21"/>
              </w:rPr>
              <w:t>Handmatig via wallet</w:t>
            </w:r>
          </w:p>
        </w:tc>
      </w:tr>
      <w:tr w:rsidR="00000000" w14:paraId="4D4C6F6F"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86AA483" w14:textId="77777777" w:rsidR="006B5103" w:rsidRDefault="006B5103">
            <w:pPr>
              <w:spacing w:before="200" w:after="360"/>
              <w:rPr>
                <w:rFonts w:eastAsia="Times New Roman"/>
                <w:sz w:val="21"/>
                <w:szCs w:val="21"/>
              </w:rPr>
            </w:pPr>
            <w:r>
              <w:rPr>
                <w:rStyle w:val="Zwaar"/>
                <w:rFonts w:eastAsia="Times New Roman"/>
                <w:sz w:val="21"/>
                <w:szCs w:val="21"/>
              </w:rPr>
              <w:t>Verificatie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35FB6C" w14:textId="77777777" w:rsidR="006B5103" w:rsidRDefault="006B5103">
            <w:pPr>
              <w:spacing w:before="200" w:after="360"/>
              <w:rPr>
                <w:rFonts w:eastAsia="Times New Roman"/>
                <w:sz w:val="21"/>
                <w:szCs w:val="21"/>
              </w:rPr>
            </w:pPr>
            <w:r>
              <w:rPr>
                <w:rFonts w:eastAsia="Times New Roman"/>
                <w:sz w:val="21"/>
                <w:szCs w:val="21"/>
              </w:rPr>
              <w:t>Handmatig door ambtenaar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7FB432B" w14:textId="77777777" w:rsidR="006B5103" w:rsidRDefault="006B5103">
            <w:pPr>
              <w:spacing w:before="200" w:after="360"/>
              <w:rPr>
                <w:rFonts w:eastAsia="Times New Roman"/>
                <w:sz w:val="21"/>
                <w:szCs w:val="21"/>
              </w:rPr>
            </w:pPr>
            <w:r>
              <w:rPr>
                <w:rFonts w:eastAsia="Times New Roman"/>
                <w:sz w:val="21"/>
                <w:szCs w:val="21"/>
              </w:rPr>
              <w:t>Real-time QR-scan</w:t>
            </w:r>
          </w:p>
        </w:tc>
      </w:tr>
      <w:tr w:rsidR="00000000" w14:paraId="092580C0"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85BD29D" w14:textId="77777777" w:rsidR="006B5103" w:rsidRDefault="006B5103">
            <w:pPr>
              <w:spacing w:before="200" w:after="360"/>
              <w:rPr>
                <w:rFonts w:eastAsia="Times New Roman"/>
                <w:sz w:val="21"/>
                <w:szCs w:val="21"/>
              </w:rPr>
            </w:pPr>
            <w:r>
              <w:rPr>
                <w:rStyle w:val="Zwaar"/>
                <w:rFonts w:eastAsia="Times New Roman"/>
                <w:sz w:val="21"/>
                <w:szCs w:val="21"/>
              </w:rPr>
              <w:t>Fraude-detectie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5AB89FB" w14:textId="77777777" w:rsidR="006B5103" w:rsidRDefault="006B5103">
            <w:pPr>
              <w:spacing w:before="200" w:after="360"/>
              <w:rPr>
                <w:rFonts w:eastAsia="Times New Roman"/>
                <w:sz w:val="21"/>
                <w:szCs w:val="21"/>
              </w:rPr>
            </w:pPr>
            <w:r>
              <w:rPr>
                <w:rFonts w:eastAsia="Times New Roman"/>
                <w:sz w:val="21"/>
                <w:szCs w:val="21"/>
              </w:rPr>
              <w:t>Beperkt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0D93DD2" w14:textId="77777777" w:rsidR="006B5103" w:rsidRDefault="006B5103">
            <w:pPr>
              <w:spacing w:before="200" w:after="360"/>
              <w:rPr>
                <w:rFonts w:eastAsia="Times New Roman"/>
                <w:sz w:val="21"/>
                <w:szCs w:val="21"/>
              </w:rPr>
            </w:pPr>
            <w:r>
              <w:rPr>
                <w:rFonts w:eastAsia="Times New Roman"/>
                <w:sz w:val="21"/>
                <w:szCs w:val="21"/>
              </w:rPr>
              <w:t>Cryptografisch sterk</w:t>
            </w:r>
          </w:p>
        </w:tc>
      </w:tr>
      <w:tr w:rsidR="00000000" w14:paraId="2A373451"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C908F5" w14:textId="77777777" w:rsidR="006B5103" w:rsidRDefault="006B5103">
            <w:pPr>
              <w:spacing w:before="200" w:after="360"/>
              <w:rPr>
                <w:rFonts w:eastAsia="Times New Roman"/>
                <w:sz w:val="21"/>
                <w:szCs w:val="21"/>
              </w:rPr>
            </w:pPr>
            <w:r>
              <w:rPr>
                <w:rStyle w:val="Zwaar"/>
                <w:rFonts w:eastAsia="Times New Roman"/>
                <w:sz w:val="21"/>
                <w:szCs w:val="21"/>
              </w:rPr>
              <w:t>Synchronisatie tussen lidstaten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1699C96" w14:textId="77777777" w:rsidR="006B5103" w:rsidRDefault="006B5103">
            <w:pPr>
              <w:spacing w:before="200" w:after="360"/>
              <w:rPr>
                <w:rFonts w:eastAsia="Times New Roman"/>
                <w:sz w:val="21"/>
                <w:szCs w:val="21"/>
              </w:rPr>
            </w:pPr>
            <w:r>
              <w:rPr>
                <w:rFonts w:eastAsia="Times New Roman"/>
                <w:sz w:val="21"/>
                <w:szCs w:val="21"/>
              </w:rPr>
              <w:t>Geen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BA8EA74" w14:textId="77777777" w:rsidR="006B5103" w:rsidRDefault="006B5103">
            <w:pPr>
              <w:spacing w:before="200" w:after="360"/>
              <w:rPr>
                <w:rFonts w:eastAsia="Times New Roman"/>
                <w:sz w:val="21"/>
                <w:szCs w:val="21"/>
              </w:rPr>
            </w:pPr>
            <w:r>
              <w:rPr>
                <w:rFonts w:eastAsia="Times New Roman"/>
                <w:sz w:val="21"/>
                <w:szCs w:val="21"/>
              </w:rPr>
              <w:t>Geen</w:t>
            </w:r>
          </w:p>
        </w:tc>
      </w:tr>
    </w:tbl>
    <w:p w14:paraId="22DED401" w14:textId="77777777" w:rsidR="006B5103" w:rsidRDefault="006B5103">
      <w:pPr>
        <w:pStyle w:val="Normaalweb"/>
        <w:divId w:val="2114661829"/>
        <w:rPr>
          <w:sz w:val="24"/>
          <w:lang w:val="nl-NL"/>
        </w:rPr>
      </w:pPr>
      <w:r>
        <w:rPr>
          <w:lang w:val="nl-NL"/>
        </w:rPr>
        <w:t xml:space="preserve">De ESSPASS lost de </w:t>
      </w:r>
      <w:r>
        <w:rPr>
          <w:rStyle w:val="Nadruk"/>
          <w:lang w:val="nl-NL"/>
        </w:rPr>
        <w:t>papieren vertraging</w:t>
      </w:r>
      <w:r>
        <w:rPr>
          <w:lang w:val="nl-NL"/>
        </w:rPr>
        <w:t xml:space="preserve"> op. Het lost de </w:t>
      </w:r>
      <w:r>
        <w:rPr>
          <w:rStyle w:val="Nadruk"/>
          <w:lang w:val="nl-NL"/>
        </w:rPr>
        <w:t>handmatige synchronisatie</w:t>
      </w:r>
      <w:r>
        <w:rPr>
          <w:lang w:val="nl-NL"/>
        </w:rPr>
        <w:t xml:space="preserve"> </w:t>
      </w:r>
      <w:r>
        <w:rPr>
          <w:lang w:val="nl-NL"/>
        </w:rPr>
        <w:t>niet op. De burger blijft de actor die het document aanvraagt en deelt. Wat in 2026 een fysieke handeling was, wordt in 2030 een digitale handeling. De rol van de burger verandert niet.</w:t>
      </w:r>
    </w:p>
    <w:p w14:paraId="5977F644" w14:textId="77777777" w:rsidR="006B5103" w:rsidRDefault="006B5103">
      <w:pPr>
        <w:pStyle w:val="Kop3"/>
        <w:divId w:val="2114661829"/>
        <w:rPr>
          <w:rFonts w:eastAsia="Times New Roman"/>
          <w:lang w:val="nl-NL"/>
        </w:rPr>
      </w:pPr>
      <w:bookmarkStart w:id="94" w:name="_Toc242191271"/>
      <w:r>
        <w:rPr>
          <w:rFonts w:eastAsia="Times New Roman"/>
          <w:lang w:val="nl-NL"/>
        </w:rPr>
        <w:t>Waarom dit een brug is naar het Nederlandse deel</w:t>
      </w:r>
      <w:bookmarkEnd w:id="94"/>
    </w:p>
    <w:p w14:paraId="6A2F689D" w14:textId="77777777" w:rsidR="006B5103" w:rsidRDefault="006B5103">
      <w:pPr>
        <w:pStyle w:val="Normaalweb"/>
        <w:divId w:val="2114661829"/>
        <w:rPr>
          <w:lang w:val="nl-NL"/>
        </w:rPr>
      </w:pPr>
      <w:r>
        <w:rPr>
          <w:lang w:val="nl-NL"/>
        </w:rPr>
        <w:t>In België zijn de belangrijkste administratieve blokkades voor dit dossier inmiddels in kaart gebracht en deels doorbroken via de fiscale bypass. Wat rest in België zijn uitvoeringskwesties — de heropening, de tuchtklacht, het arbeidsauditoraat. Structureel nieuwe blokkades duiken niet meer op.</w:t>
      </w:r>
    </w:p>
    <w:p w14:paraId="37CD4E0A" w14:textId="77777777" w:rsidR="006B5103" w:rsidRDefault="006B5103">
      <w:pPr>
        <w:pStyle w:val="Normaalweb"/>
        <w:divId w:val="2114661829"/>
        <w:rPr>
          <w:lang w:val="nl-NL"/>
        </w:rPr>
      </w:pPr>
      <w:r>
        <w:rPr>
          <w:lang w:val="nl-NL"/>
        </w:rPr>
        <w:t>Dat is anders aan Nederlandse zijde. Daar wachten de WIA, de SVB, de Belastingdienst, de gemeente Hulst, het CAK, de RIV-registers en het hele Nederlandse uitvoeringsapparaat nog op een eigen analyse. En precies daar ligt een structureel verschil met België dat nog niet in beeld is gebracht.</w:t>
      </w:r>
    </w:p>
    <w:p w14:paraId="5A37AAE6" w14:textId="77777777" w:rsidR="006B5103" w:rsidRDefault="006B5103">
      <w:pPr>
        <w:pStyle w:val="Normaalweb"/>
        <w:divId w:val="2114661829"/>
        <w:rPr>
          <w:lang w:val="nl-NL"/>
        </w:rPr>
      </w:pPr>
      <w:r>
        <w:rPr>
          <w:lang w:val="nl-NL"/>
        </w:rPr>
        <w:t>Het manuele U1-probleem is de laatste Belgische blokkade in dit dossier. En tegelijk is het de opening naar het Nederlandse deel — want richting 2 (Nederland naar België) is de eerste stap die de Nederlandse instanties ook raakt. Wat in dit hoofdstuk nog in de marge van een loopbaanbewijs zit, wordt in de volgende hoofdstukken het hoofdpodium: WIA, SVB, toeslagen, zorgtoeslag, gemeentelijke uitvoering.</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9996C8C"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4A42E85"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het PD U1 is een recht, geen gunst. U kunt het in beide richtingen opvragen — bij de RVA voor Belgische loopbaanjaren, bij het UWV voor Nederlandse loopbaanjaren. Als een van beide instanties weigert om buitenlandse data te importeren, is de bypass via de FOD Sociale Zekerheid (MyCareer-portaal) de enige weg. Vraag bij uw vakbond of bij de sociale dienst naar de juiste procedure. De ESSPASS in 2030 zal de aanvraag eenvoudiger maken, maar niet de blokkade bij de ontvangende instantie opheffen. </w:t>
            </w:r>
          </w:p>
        </w:tc>
      </w:tr>
    </w:tbl>
    <w:p w14:paraId="1DE61499" w14:textId="77777777" w:rsidR="006B5103" w:rsidRDefault="006B5103">
      <w:pPr>
        <w:pStyle w:val="noot"/>
        <w:spacing w:after="120" w:afterAutospacing="0"/>
        <w:divId w:val="2114661829"/>
        <w:rPr>
          <w:lang w:val="nl-NL"/>
        </w:rPr>
      </w:pPr>
      <w:r>
        <w:rPr>
          <w:lang w:val="nl-NL"/>
        </w:rPr>
        <w:t>De informatie over het PD U1 is gebaseerd op Document B en op de officiële procedures van de RVA en het UWV. De ESSPASS-informatie is gebaseerd op openbare bronnen van de Europese Commissie en het Europees Parlement over de ESSPASS-verordening, de EUDI Wallet en de gefaseerde implementatie van het Labour Mobility Package. Dit hoofdstuk is geen juridisch advies.</w:t>
      </w:r>
    </w:p>
    <w:p w14:paraId="729509E5" w14:textId="77777777" w:rsidR="006B5103" w:rsidRDefault="006B5103">
      <w:pPr>
        <w:pStyle w:val="marker"/>
        <w:ind w:left="800" w:right="800"/>
        <w:divId w:val="2114661829"/>
        <w:rPr>
          <w:lang w:val="nl-NL"/>
        </w:rPr>
      </w:pPr>
      <w:r>
        <w:br w:type="page"/>
      </w:r>
    </w:p>
    <w:p w14:paraId="04A652BC" w14:textId="77777777" w:rsidR="006B5103" w:rsidRDefault="006B5103">
      <w:pPr>
        <w:pStyle w:val="Kop2"/>
        <w:divId w:val="2114661829"/>
        <w:rPr>
          <w:rFonts w:eastAsia="Times New Roman"/>
          <w:lang w:val="nl-NL"/>
        </w:rPr>
      </w:pPr>
      <w:bookmarkStart w:id="95" w:name="_Toc242191272"/>
      <w:r>
        <w:rPr>
          <w:rFonts w:eastAsia="Times New Roman"/>
          <w:lang w:val="nl-NL"/>
        </w:rPr>
        <w:t>SVB en Parentia — het werkende voorbeeld</w:t>
      </w:r>
      <w:bookmarkEnd w:id="95"/>
    </w:p>
    <w:p w14:paraId="7BC0B1A3" w14:textId="77777777" w:rsidR="006B5103" w:rsidRDefault="006B5103">
      <w:pPr>
        <w:pStyle w:val="lead"/>
        <w:divId w:val="2114661829"/>
        <w:rPr>
          <w:lang w:val="nl-NL"/>
        </w:rPr>
      </w:pPr>
      <w:r>
        <w:rPr>
          <w:lang w:val="nl-NL"/>
        </w:rPr>
        <w:t>Niet alles wat tussen België en Nederland speelt, is een blokkade. Dit hoofdstuk toont één dossier waarin de Europese coördinatie daadwerkelijk werkt: de kinderbijslag voor een kind dat in Nederland woont en schoolgaat in Vlaanderen. Twee instanties, twee landen, één kind. Ze vinden elkaar. En dan komt er een herberekening.</w:t>
      </w:r>
    </w:p>
    <w:p w14:paraId="2A6BB506" w14:textId="77777777" w:rsidR="006B5103" w:rsidRDefault="006B5103">
      <w:pPr>
        <w:pStyle w:val="Kop3"/>
        <w:divId w:val="2114661829"/>
        <w:rPr>
          <w:rFonts w:eastAsia="Times New Roman"/>
          <w:lang w:val="nl-NL"/>
        </w:rPr>
      </w:pPr>
      <w:bookmarkStart w:id="96" w:name="_Toc242191273"/>
      <w:r>
        <w:rPr>
          <w:rFonts w:eastAsia="Times New Roman"/>
          <w:lang w:val="nl-NL"/>
        </w:rPr>
        <w:t>Deel A — De splitsing</w:t>
      </w:r>
      <w:bookmarkEnd w:id="96"/>
    </w:p>
    <w:p w14:paraId="010C75EF" w14:textId="77777777" w:rsidR="006B5103" w:rsidRDefault="006B5103">
      <w:pPr>
        <w:pStyle w:val="Normaalweb"/>
        <w:divId w:val="2114661829"/>
        <w:rPr>
          <w:lang w:val="nl-NL"/>
        </w:rPr>
      </w:pPr>
      <w:r>
        <w:rPr>
          <w:lang w:val="nl-NL"/>
        </w:rPr>
        <w:t>Voor een kind van ouders die in twee landen werken, verdeelt de Europese coördinatie de kinderbijslag. De regel is dat één land de hoofdbijdrage betaalt, en het andere land het verschil aanvult tot het niveau van het woonland. Voor dit gezin betekent dat:</w:t>
      </w:r>
    </w:p>
    <w:p w14:paraId="561501A1" w14:textId="77777777" w:rsidR="006B5103" w:rsidRDefault="006B5103">
      <w:pPr>
        <w:numPr>
          <w:ilvl w:val="0"/>
          <w:numId w:val="18"/>
        </w:numPr>
        <w:spacing w:before="100" w:beforeAutospacing="1" w:after="100" w:afterAutospacing="1"/>
        <w:divId w:val="2114661829"/>
        <w:rPr>
          <w:rFonts w:eastAsia="Times New Roman"/>
          <w:lang w:val="nl-NL"/>
        </w:rPr>
      </w:pPr>
      <w:r>
        <w:rPr>
          <w:rStyle w:val="Zwaar"/>
          <w:rFonts w:eastAsia="Times New Roman"/>
          <w:lang w:val="nl-NL"/>
        </w:rPr>
        <w:t>België</w:t>
      </w:r>
      <w:r>
        <w:rPr>
          <w:rFonts w:eastAsia="Times New Roman"/>
          <w:lang w:val="nl-NL"/>
        </w:rPr>
        <w:t xml:space="preserve"> is hoofdbetaler, want de moeder werkt in België. Parentia keert het Groeipakket uit.</w:t>
      </w:r>
    </w:p>
    <w:p w14:paraId="7EEC52FB" w14:textId="77777777" w:rsidR="006B5103" w:rsidRDefault="006B5103">
      <w:pPr>
        <w:numPr>
          <w:ilvl w:val="0"/>
          <w:numId w:val="18"/>
        </w:numPr>
        <w:spacing w:before="100" w:beforeAutospacing="1" w:after="100" w:afterAutospacing="1"/>
        <w:divId w:val="2114661829"/>
        <w:rPr>
          <w:rFonts w:eastAsia="Times New Roman"/>
          <w:lang w:val="nl-NL"/>
        </w:rPr>
      </w:pPr>
      <w:r>
        <w:rPr>
          <w:rStyle w:val="Zwaar"/>
          <w:rFonts w:eastAsia="Times New Roman"/>
          <w:lang w:val="nl-NL"/>
        </w:rPr>
        <w:t>Nederland</w:t>
      </w:r>
      <w:r>
        <w:rPr>
          <w:rFonts w:eastAsia="Times New Roman"/>
          <w:lang w:val="nl-NL"/>
        </w:rPr>
        <w:t xml:space="preserve"> vult aan tot het Nederlandse niveau, want het kind woont in Nederland. De SVB keert het verschil uit.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80E8DA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B385627" w14:textId="77777777" w:rsidR="006B5103" w:rsidRDefault="006B5103">
            <w:pPr>
              <w:pStyle w:val="Normaalweb"/>
              <w:spacing w:before="120"/>
              <w:jc w:val="center"/>
              <w:rPr>
                <w:sz w:val="21"/>
                <w:szCs w:val="21"/>
              </w:rPr>
            </w:pPr>
            <w:r>
              <w:rPr>
                <w:noProof/>
                <w:sz w:val="21"/>
                <w:szCs w:val="21"/>
              </w:rPr>
              <w:drawing>
                <wp:inline distT="0" distB="0" distL="0" distR="0" wp14:anchorId="0DC6F4B3" wp14:editId="02D22CD4">
                  <wp:extent cx="5715000" cy="2190750"/>
                  <wp:effectExtent l="0" t="0" r="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link="rId63">
                            <a:extLst>
                              <a:ext uri="{28A0092B-C50C-407E-A947-70E740481C1C}">
                                <a14:useLocalDpi xmlns:a14="http://schemas.microsoft.com/office/drawing/2010/main" val="0"/>
                              </a:ext>
                            </a:extLst>
                          </a:blip>
                          <a:srcRect/>
                          <a:stretch>
                            <a:fillRect/>
                          </a:stretch>
                        </pic:blipFill>
                        <pic:spPr bwMode="auto">
                          <a:xfrm>
                            <a:off x="0" y="0"/>
                            <a:ext cx="5715000" cy="2190750"/>
                          </a:xfrm>
                          <a:prstGeom prst="rect">
                            <a:avLst/>
                          </a:prstGeom>
                          <a:noFill/>
                          <a:ln>
                            <a:noFill/>
                          </a:ln>
                        </pic:spPr>
                      </pic:pic>
                    </a:graphicData>
                  </a:graphic>
                </wp:inline>
              </w:drawing>
            </w:r>
          </w:p>
          <w:p w14:paraId="4B4DF075" w14:textId="77777777" w:rsidR="006B5103" w:rsidRDefault="006B5103">
            <w:pPr>
              <w:pStyle w:val="caption"/>
              <w:spacing w:after="120" w:afterAutospacing="0"/>
            </w:pPr>
            <w:r>
              <w:rPr>
                <w:rStyle w:val="Zwaar"/>
              </w:rPr>
              <w:t>Figuur XII.1 — De splitsing.</w:t>
            </w:r>
            <w:r>
              <w:t xml:space="preserve"> </w:t>
            </w:r>
            <w:r>
              <w:t>Parentia betaalt de Belgische bijdrage op naam van de moeder (werklandbeginsel). De SVB vult aan tot het Nederlandse niveau op naam van de vader (woonlandbeginsel). Het kind ontvangt het volledige bedrag waarop een Nederlands kind recht heeft, verdeeld over twee landen.</w:t>
            </w:r>
          </w:p>
        </w:tc>
      </w:tr>
    </w:tbl>
    <w:p w14:paraId="315BF3CA" w14:textId="77777777" w:rsidR="006B5103" w:rsidRDefault="006B5103">
      <w:pPr>
        <w:pStyle w:val="Kop3"/>
        <w:divId w:val="2114661829"/>
        <w:rPr>
          <w:rFonts w:eastAsia="Times New Roman"/>
          <w:lang w:val="nl-NL"/>
        </w:rPr>
      </w:pPr>
      <w:bookmarkStart w:id="97" w:name="_Toc242191274"/>
      <w:r>
        <w:rPr>
          <w:rFonts w:eastAsia="Times New Roman"/>
          <w:lang w:val="nl-NL"/>
        </w:rPr>
        <w:t>Deel B — Waarom dit werkt</w:t>
      </w:r>
      <w:bookmarkEnd w:id="97"/>
    </w:p>
    <w:p w14:paraId="2FA45CDB" w14:textId="77777777" w:rsidR="006B5103" w:rsidRDefault="006B5103">
      <w:pPr>
        <w:pStyle w:val="Normaalweb"/>
        <w:divId w:val="2114661829"/>
        <w:rPr>
          <w:lang w:val="nl-NL"/>
        </w:rPr>
      </w:pPr>
      <w:r>
        <w:rPr>
          <w:lang w:val="nl-NL"/>
        </w:rPr>
        <w:t>Wat hier werkt, is precies wat elders in dit dossier misloopt. Twee nationale instanties, twee verschillende wetgevingen, twee talen, en één kind. Ze weten elkaar te vinden.</w:t>
      </w:r>
    </w:p>
    <w:p w14:paraId="4F8B1A8B" w14:textId="77777777" w:rsidR="006B5103" w:rsidRDefault="006B5103">
      <w:pPr>
        <w:pStyle w:val="Normaalweb"/>
        <w:divId w:val="2114661829"/>
        <w:rPr>
          <w:lang w:val="nl-NL"/>
        </w:rPr>
      </w:pPr>
      <w:r>
        <w:rPr>
          <w:lang w:val="nl-NL"/>
        </w:rPr>
        <w:t xml:space="preserve">De Europese coördinatieverordening voorziet in een mechanisme dat </w:t>
      </w:r>
      <w:r>
        <w:rPr>
          <w:rStyle w:val="Nadruk"/>
          <w:lang w:val="nl-NL"/>
        </w:rPr>
        <w:t>samenloop van gezinsbijslagen</w:t>
      </w:r>
      <w:r>
        <w:rPr>
          <w:lang w:val="nl-NL"/>
        </w:rPr>
        <w:t xml:space="preserve"> wordt genoemd. Dat mechanisme bepaalt welk land de hoofdbijdrage betaalt en welk land aanvult. Parentia en de SVB passen dit toe. Ze lezen elkaars statussen, erkennen elkaars beslissingen, en verrekenen de bedragen.</w:t>
      </w:r>
    </w:p>
    <w:p w14:paraId="2686304C" w14:textId="77777777" w:rsidR="006B5103" w:rsidRDefault="006B5103">
      <w:pPr>
        <w:pStyle w:val="Normaalweb"/>
        <w:divId w:val="2114661829"/>
        <w:rPr>
          <w:lang w:val="nl-NL"/>
        </w:rPr>
      </w:pPr>
      <w:r>
        <w:rPr>
          <w:lang w:val="nl-NL"/>
        </w:rPr>
        <w:t>De sleutel: de aanvulling op naam van de vader. De moeder werkte in België, dus op haar naam kon de SVB geen aanvulling toekennen — België was daar al bevoegd. Maar de vader werkte niet buiten Nederland, en woonde in Nederland. Daarmee was hij de aangewezen persoon om het verschil te ontvangen. Een eenvoudige toepassing van de Europese regels.</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D6FC878"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4F7995F" w14:textId="77777777" w:rsidR="006B5103" w:rsidRDefault="006B5103">
            <w:pPr>
              <w:pStyle w:val="Normaalweb"/>
              <w:spacing w:before="120"/>
              <w:jc w:val="center"/>
              <w:rPr>
                <w:sz w:val="21"/>
                <w:szCs w:val="21"/>
              </w:rPr>
            </w:pPr>
            <w:r>
              <w:rPr>
                <w:noProof/>
                <w:sz w:val="21"/>
                <w:szCs w:val="21"/>
              </w:rPr>
              <w:drawing>
                <wp:inline distT="0" distB="0" distL="0" distR="0" wp14:anchorId="15F8A5B1" wp14:editId="540E7577">
                  <wp:extent cx="5715000" cy="135255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link="rId64">
                            <a:extLst>
                              <a:ext uri="{28A0092B-C50C-407E-A947-70E740481C1C}">
                                <a14:useLocalDpi xmlns:a14="http://schemas.microsoft.com/office/drawing/2010/main" val="0"/>
                              </a:ext>
                            </a:extLst>
                          </a:blip>
                          <a:srcRect/>
                          <a:stretch>
                            <a:fillRect/>
                          </a:stretch>
                        </pic:blipFill>
                        <pic:spPr bwMode="auto">
                          <a:xfrm>
                            <a:off x="0" y="0"/>
                            <a:ext cx="5715000" cy="1352550"/>
                          </a:xfrm>
                          <a:prstGeom prst="rect">
                            <a:avLst/>
                          </a:prstGeom>
                          <a:noFill/>
                          <a:ln>
                            <a:noFill/>
                          </a:ln>
                        </pic:spPr>
                      </pic:pic>
                    </a:graphicData>
                  </a:graphic>
                </wp:inline>
              </w:drawing>
            </w:r>
          </w:p>
          <w:p w14:paraId="29C3891C" w14:textId="77777777" w:rsidR="006B5103" w:rsidRDefault="006B5103">
            <w:pPr>
              <w:pStyle w:val="caption"/>
              <w:spacing w:after="120" w:afterAutospacing="0"/>
            </w:pPr>
            <w:r>
              <w:t>De Europese coördinatie van gezinsbijslagen werkt hier omdat beide landen elkaars systeem erkennen en de bedragen verrekenen. In de rest van dit dossier loopt het mis omdat er geen verrekening plaatsvindt — bij medische kosten, bij vervoer, bij toeslagen.</w:t>
            </w:r>
          </w:p>
        </w:tc>
      </w:tr>
    </w:tbl>
    <w:p w14:paraId="546A8081" w14:textId="77777777" w:rsidR="006B5103" w:rsidRDefault="006B5103">
      <w:pPr>
        <w:pStyle w:val="Kop3"/>
        <w:divId w:val="2114661829"/>
        <w:rPr>
          <w:rFonts w:eastAsia="Times New Roman"/>
          <w:lang w:val="nl-NL"/>
        </w:rPr>
      </w:pPr>
      <w:bookmarkStart w:id="98" w:name="_Toc242191275"/>
      <w:r>
        <w:rPr>
          <w:rFonts w:eastAsia="Times New Roman"/>
          <w:lang w:val="nl-NL"/>
        </w:rPr>
        <w:t>Deel C — De herberekening die het succes bedreigt</w:t>
      </w:r>
      <w:bookmarkEnd w:id="98"/>
    </w:p>
    <w:p w14:paraId="14D0B7B2" w14:textId="77777777" w:rsidR="006B5103" w:rsidRDefault="006B5103">
      <w:pPr>
        <w:pStyle w:val="Normaalweb"/>
        <w:divId w:val="2114661829"/>
        <w:rPr>
          <w:lang w:val="nl-NL"/>
        </w:rPr>
      </w:pPr>
      <w:r>
        <w:rPr>
          <w:lang w:val="nl-NL"/>
        </w:rPr>
        <w:t>Nu komt het tweede deel van het verhaal. Zodra de retroactieve herclassificatie van de vader naar de status "ten laste invalide" wordt doorgevoerd, verandert de fiscale situatie van het gezin.</w:t>
      </w:r>
    </w:p>
    <w:p w14:paraId="2623F18C" w14:textId="77777777" w:rsidR="006B5103" w:rsidRDefault="006B5103">
      <w:pPr>
        <w:pStyle w:val="Normaalweb"/>
        <w:divId w:val="2114661829"/>
        <w:rPr>
          <w:lang w:val="nl-NL"/>
        </w:rPr>
      </w:pPr>
      <w:r>
        <w:rPr>
          <w:lang w:val="nl-NL"/>
        </w:rPr>
        <w:t>Wat er verandert: de moeder zal netto meer overhouden. Niet omdat ze meer bruto verdient, maar omdat het gezin recht krijgt op fiscale voordelen door de erkenning van de handicap van de vader.</w:t>
      </w:r>
    </w:p>
    <w:p w14:paraId="4BF63F15" w14:textId="77777777" w:rsidR="006B5103" w:rsidRDefault="006B5103">
      <w:pPr>
        <w:pStyle w:val="Normaalweb"/>
        <w:divId w:val="2114661829"/>
        <w:rPr>
          <w:lang w:val="nl-NL"/>
        </w:rPr>
      </w:pPr>
      <w:r>
        <w:rPr>
          <w:lang w:val="nl-NL"/>
        </w:rPr>
        <w:t>En dan begint het cascade-effect.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5213E6B"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0DEDD73" w14:textId="77777777" w:rsidR="006B5103" w:rsidRDefault="006B5103">
            <w:pPr>
              <w:pStyle w:val="Normaalweb"/>
              <w:spacing w:before="120"/>
              <w:jc w:val="center"/>
              <w:rPr>
                <w:sz w:val="21"/>
                <w:szCs w:val="21"/>
              </w:rPr>
            </w:pPr>
            <w:r>
              <w:rPr>
                <w:noProof/>
                <w:sz w:val="21"/>
                <w:szCs w:val="21"/>
              </w:rPr>
              <w:drawing>
                <wp:inline distT="0" distB="0" distL="0" distR="0" wp14:anchorId="3B82BC95" wp14:editId="49BD35C4">
                  <wp:extent cx="5715000" cy="2381250"/>
                  <wp:effectExtent l="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5715000" cy="2381250"/>
                          </a:xfrm>
                          <a:prstGeom prst="rect">
                            <a:avLst/>
                          </a:prstGeom>
                          <a:noFill/>
                          <a:ln>
                            <a:noFill/>
                          </a:ln>
                        </pic:spPr>
                      </pic:pic>
                    </a:graphicData>
                  </a:graphic>
                </wp:inline>
              </w:drawing>
            </w:r>
          </w:p>
          <w:p w14:paraId="40E24FEE" w14:textId="77777777" w:rsidR="006B5103" w:rsidRDefault="006B5103">
            <w:pPr>
              <w:pStyle w:val="caption"/>
              <w:spacing w:after="120" w:afterAutospacing="0"/>
            </w:pPr>
            <w:r>
              <w:rPr>
                <w:rStyle w:val="Zwaar"/>
              </w:rPr>
              <w:t>Figuur XII.2 — De herberekening.</w:t>
            </w:r>
            <w:r>
              <w:t xml:space="preserve"> De retroactieve statuswijziging naar "ten laste invalide" leidt tot fiscale voordelen voor het gezin. Het gezinsinkomen stijgt op papier. Parentia verlaagt de bijdrage. De SVB herberekent de aanvulling. Mogelijk met terugvordering. Wat vandaag werkt, kan morgen worden teruggedraaid door een automatische herberekening.</w:t>
            </w:r>
          </w:p>
        </w:tc>
      </w:tr>
    </w:tbl>
    <w:p w14:paraId="27646A5C" w14:textId="77777777" w:rsidR="006B5103" w:rsidRDefault="006B5103">
      <w:pPr>
        <w:pStyle w:val="Kop3"/>
        <w:divId w:val="2114661829"/>
        <w:rPr>
          <w:rFonts w:eastAsia="Times New Roman"/>
          <w:lang w:val="nl-NL"/>
        </w:rPr>
      </w:pPr>
      <w:bookmarkStart w:id="99" w:name="_Toc242191276"/>
      <w:r>
        <w:rPr>
          <w:rFonts w:eastAsia="Times New Roman"/>
          <w:lang w:val="nl-NL"/>
        </w:rPr>
        <w:t>Deel D — Wat dit hoofdstuk toont</w:t>
      </w:r>
      <w:bookmarkEnd w:id="99"/>
    </w:p>
    <w:p w14:paraId="52511CF1" w14:textId="77777777" w:rsidR="006B5103" w:rsidRDefault="006B5103">
      <w:pPr>
        <w:pStyle w:val="Normaalweb"/>
        <w:divId w:val="2114661829"/>
        <w:rPr>
          <w:lang w:val="nl-NL"/>
        </w:rPr>
      </w:pPr>
      <w:r>
        <w:rPr>
          <w:lang w:val="nl-NL"/>
        </w:rPr>
        <w:t>Dit is het enige hoofdstuk in Document C waarin een mechanisme volledig werkt. En dat maakt het juist interessant, om drie redenen:</w:t>
      </w:r>
    </w:p>
    <w:p w14:paraId="0CD03B5F" w14:textId="77777777" w:rsidR="006B5103" w:rsidRDefault="006B5103">
      <w:pPr>
        <w:pStyle w:val="Normaalweb"/>
        <w:divId w:val="2114661829"/>
        <w:rPr>
          <w:lang w:val="nl-NL"/>
        </w:rPr>
      </w:pPr>
      <w:r>
        <w:rPr>
          <w:rStyle w:val="Zwaar"/>
          <w:lang w:val="nl-NL"/>
        </w:rPr>
        <w:t>Ten eerste.</w:t>
      </w:r>
      <w:r>
        <w:rPr>
          <w:lang w:val="nl-NL"/>
        </w:rPr>
        <w:t xml:space="preserve"> De Europese coördinatie werkt wel degelijk voor gezinsbijslagen, omdat de verordening een expliciet mechanisme voorschrijft (samenloop) en beide landen zich daaraan houden. Waar dat mechanisme ontbreekt — zoals bij medische statussen, bij zorgtoeslag, bij ziekenvervoer — werkt het niet.</w:t>
      </w:r>
    </w:p>
    <w:p w14:paraId="2B825B9E" w14:textId="77777777" w:rsidR="006B5103" w:rsidRDefault="006B5103">
      <w:pPr>
        <w:pStyle w:val="Normaalweb"/>
        <w:divId w:val="2114661829"/>
        <w:rPr>
          <w:lang w:val="nl-NL"/>
        </w:rPr>
      </w:pPr>
      <w:r>
        <w:rPr>
          <w:rStyle w:val="Zwaar"/>
          <w:lang w:val="nl-NL"/>
        </w:rPr>
        <w:t>Ten tweede.</w:t>
      </w:r>
      <w:r>
        <w:rPr>
          <w:lang w:val="nl-NL"/>
        </w:rPr>
        <w:t xml:space="preserve"> De aanvulling op naam van de vader laat zien dat dezelfde administratieve realiteit anders uitpakt afhankelijk van wie de aanvraag doet. Op naam van de moeder: geen aanvulling. Op naam van de vader: wel aanvulling. Eén gezin, twee uitkomsten, afhankelijk van de formele rol.</w:t>
      </w:r>
    </w:p>
    <w:p w14:paraId="43018767" w14:textId="77777777" w:rsidR="006B5103" w:rsidRDefault="006B5103">
      <w:pPr>
        <w:pStyle w:val="Normaalweb"/>
        <w:divId w:val="2114661829"/>
        <w:rPr>
          <w:lang w:val="nl-NL"/>
        </w:rPr>
      </w:pPr>
      <w:r>
        <w:rPr>
          <w:rStyle w:val="Zwaar"/>
          <w:lang w:val="nl-NL"/>
        </w:rPr>
        <w:t>Ten derde.</w:t>
      </w:r>
      <w:r>
        <w:rPr>
          <w:lang w:val="nl-NL"/>
        </w:rPr>
        <w:t xml:space="preserve"> De retroactieve herclassificatie is een nieuw risico. Zodra de status van de vader verandert, worden de bedragen opnieuw berekend. Wat nu een werkend systeem is, kan volgend jaar een schuld produceren. Niet door een fout, maar door een herberekening.</w:t>
      </w:r>
    </w:p>
    <w:p w14:paraId="2CB44D71" w14:textId="77777777" w:rsidR="006B5103" w:rsidRDefault="006B5103">
      <w:pPr>
        <w:pStyle w:val="Normaalweb"/>
        <w:divId w:val="2114661829"/>
        <w:rPr>
          <w:lang w:val="nl-NL"/>
        </w:rPr>
      </w:pPr>
      <w:r>
        <w:rPr>
          <w:lang w:val="nl-NL"/>
        </w:rPr>
        <w:t>Deze drie punten maken dit hoofdstuk de perfecte tegenhanger van de Parentia-trap (Blok II) en de Gemeente Hulst-trap (Blok III). Dezelfde instanties, andere uitkomst. Wat dit dossier laat zien, is dat het systeem soms werkt — maar nooit gegarandeerd. Succes is een uitzondering, geen regel.</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5D5CAA6"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C0BA56B"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de SVB is bevoegd voor de aanvulling op de kinderbijslag wanneer u in Nederland woont en niet in het buitenland werkt. Werkende partner? Dan ontvangt u doorgaans geen aanvulling op uw eigen naam — vraag de SVB naar de juiste toewijzing. </w:t>
            </w:r>
            <w:r>
              <w:rPr>
                <w:rFonts w:eastAsia="Times New Roman"/>
                <w:szCs w:val="22"/>
              </w:rPr>
              <w:br/>
            </w:r>
            <w:r>
              <w:rPr>
                <w:rFonts w:eastAsia="Times New Roman"/>
                <w:szCs w:val="22"/>
              </w:rPr>
              <w:br/>
            </w:r>
            <w:r>
              <w:rPr>
                <w:rStyle w:val="Nadruk"/>
                <w:rFonts w:eastAsia="Times New Roman"/>
                <w:szCs w:val="22"/>
              </w:rPr>
              <w:t>Let op bij retroactieve wijzigingen:</w:t>
            </w:r>
            <w:r>
              <w:rPr>
                <w:rFonts w:eastAsia="Times New Roman"/>
                <w:szCs w:val="22"/>
              </w:rPr>
              <w:t xml:space="preserve"> zodra een van beide partners een andere fiscale status krijgt, herberekenen zowel Parentia als de SVB de bedragen. Dit kan leiden tot terugvorderingen. Bewaar alle beschikkingen en controleer jaarlijks de herberekeningen. </w:t>
            </w:r>
          </w:p>
        </w:tc>
      </w:tr>
    </w:tbl>
    <w:p w14:paraId="75CBEE6F" w14:textId="77777777" w:rsidR="006B5103" w:rsidRDefault="006B5103">
      <w:pPr>
        <w:pStyle w:val="noot"/>
        <w:spacing w:after="120" w:afterAutospacing="0"/>
        <w:divId w:val="2114661829"/>
        <w:rPr>
          <w:lang w:val="nl-NL"/>
        </w:rPr>
      </w:pPr>
      <w:r>
        <w:rPr>
          <w:lang w:val="nl-NL"/>
        </w:rPr>
        <w:t>De feiten zijn gebaseerd op Document B. De retroactieve herberekening is een voorspelling op basis van het patroon van herberekeningen in het dossier; de definitieve bedragen en de uitkomst zijn nog niet vastgesteld. Alle organisaties in dit hoofdstuk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w:t>
      </w:r>
    </w:p>
    <w:p w14:paraId="376B8D78" w14:textId="77777777" w:rsidR="006B5103" w:rsidRDefault="006B5103">
      <w:pPr>
        <w:pStyle w:val="marker"/>
        <w:ind w:left="800" w:right="800"/>
        <w:divId w:val="2114661829"/>
        <w:rPr>
          <w:lang w:val="nl-NL"/>
        </w:rPr>
      </w:pPr>
      <w:r>
        <w:br w:type="page"/>
      </w:r>
    </w:p>
    <w:p w14:paraId="78B0A59E" w14:textId="77777777" w:rsidR="006B5103" w:rsidRDefault="006B5103">
      <w:pPr>
        <w:pStyle w:val="Kop2"/>
        <w:divId w:val="2114661829"/>
        <w:rPr>
          <w:rFonts w:eastAsia="Times New Roman"/>
          <w:lang w:val="nl-NL"/>
        </w:rPr>
      </w:pPr>
      <w:bookmarkStart w:id="100" w:name="_Toc242191277"/>
      <w:r>
        <w:rPr>
          <w:rFonts w:eastAsia="Times New Roman"/>
          <w:lang w:val="nl-NL"/>
        </w:rPr>
        <w:t>Het lichaam zonder achterwacht</w:t>
      </w:r>
      <w:bookmarkEnd w:id="100"/>
    </w:p>
    <w:p w14:paraId="2BCE94A3" w14:textId="77777777" w:rsidR="006B5103" w:rsidRDefault="006B5103">
      <w:pPr>
        <w:pStyle w:val="lead"/>
        <w:divId w:val="2114661829"/>
        <w:rPr>
          <w:lang w:val="nl-NL"/>
        </w:rPr>
      </w:pPr>
      <w:r>
        <w:rPr>
          <w:lang w:val="nl-NL"/>
        </w:rPr>
        <w:t>Een grensarbeider woont in Nederland en wordt behandeld in België. Zijn volledige medische dossier zit in Belgische datasilo's. Wat gebeurt er als er in zijn eigen woonland iets misloopt? Een spoedgeval, een val, een acute complicatie? Wie is dan de dokter die hem kent? Het antwoord is: niemand. De wet verbiedt het.</w:t>
      </w:r>
    </w:p>
    <w:p w14:paraId="2F28FCF8" w14:textId="77777777" w:rsidR="006B5103" w:rsidRDefault="006B5103">
      <w:pPr>
        <w:pStyle w:val="Kop3"/>
        <w:divId w:val="2114661829"/>
        <w:rPr>
          <w:rFonts w:eastAsia="Times New Roman"/>
          <w:lang w:val="nl-NL"/>
        </w:rPr>
      </w:pPr>
      <w:bookmarkStart w:id="101" w:name="_Toc242191278"/>
      <w:r>
        <w:rPr>
          <w:rFonts w:eastAsia="Times New Roman"/>
          <w:lang w:val="nl-NL"/>
        </w:rPr>
        <w:t>Deel A — De wettelijke onmogelijkheid</w:t>
      </w:r>
      <w:bookmarkEnd w:id="101"/>
    </w:p>
    <w:p w14:paraId="527D8212" w14:textId="77777777" w:rsidR="006B5103" w:rsidRDefault="006B5103">
      <w:pPr>
        <w:pStyle w:val="Normaalweb"/>
        <w:divId w:val="2114661829"/>
        <w:rPr>
          <w:lang w:val="nl-NL"/>
        </w:rPr>
      </w:pPr>
      <w:r>
        <w:rPr>
          <w:lang w:val="nl-NL"/>
        </w:rPr>
        <w:t>In Nederland mag een patiënt maar bij één huisartsenpraktijk ingeschreven staan. Wie zich aanmeldt bij een nieuwe praktijk, wordt automatisch uitgeschreven bij de oude. Dat is een landelijk systeem dat dubbele inschrijvingen voorkomt. Voor een gewone Nederlander is dat logisch. Voor een grensarbeider die zijn hele medische leven in het buitenland heeft, is het een probleem.</w:t>
      </w:r>
    </w:p>
    <w:p w14:paraId="33F3CD6C" w14:textId="77777777" w:rsidR="006B5103" w:rsidRDefault="006B5103">
      <w:pPr>
        <w:pStyle w:val="Normaalweb"/>
        <w:divId w:val="2114661829"/>
        <w:rPr>
          <w:lang w:val="nl-NL"/>
        </w:rPr>
      </w:pPr>
      <w:r>
        <w:rPr>
          <w:lang w:val="nl-NL"/>
        </w:rPr>
        <w:t>De reden waarom dubbele inschrijving verboden is: de Nederlandse Zorgverzekeringswet en de administratieve reglementen van de huisartsenzorg verbieden een dubbele inschrijving over de landsgrenzen heen. Een huisarts mag een burger alleen inschrijven als hij ook daadwerkelijk de primaire en actieve medische verantwoordelijkheid draagt. Een inschrijving zonder actieve behandeling is juridisch niet mogelijk.</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0E4568F"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B1C7CC1" w14:textId="77777777" w:rsidR="006B5103" w:rsidRDefault="006B5103">
            <w:pPr>
              <w:pStyle w:val="Normaalweb"/>
              <w:spacing w:before="120"/>
              <w:jc w:val="center"/>
              <w:rPr>
                <w:sz w:val="21"/>
                <w:szCs w:val="21"/>
              </w:rPr>
            </w:pPr>
            <w:r>
              <w:rPr>
                <w:noProof/>
                <w:sz w:val="21"/>
                <w:szCs w:val="21"/>
              </w:rPr>
              <w:drawing>
                <wp:inline distT="0" distB="0" distL="0" distR="0" wp14:anchorId="2FE58A1D" wp14:editId="7AC48162">
                  <wp:extent cx="5715000" cy="2178050"/>
                  <wp:effectExtent l="0" t="0" r="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link="rId66">
                            <a:extLst>
                              <a:ext uri="{28A0092B-C50C-407E-A947-70E740481C1C}">
                                <a14:useLocalDpi xmlns:a14="http://schemas.microsoft.com/office/drawing/2010/main" val="0"/>
                              </a:ext>
                            </a:extLst>
                          </a:blip>
                          <a:srcRect/>
                          <a:stretch>
                            <a:fillRect/>
                          </a:stretch>
                        </pic:blipFill>
                        <pic:spPr bwMode="auto">
                          <a:xfrm>
                            <a:off x="0" y="0"/>
                            <a:ext cx="5715000" cy="2178050"/>
                          </a:xfrm>
                          <a:prstGeom prst="rect">
                            <a:avLst/>
                          </a:prstGeom>
                          <a:noFill/>
                          <a:ln>
                            <a:noFill/>
                          </a:ln>
                        </pic:spPr>
                      </pic:pic>
                    </a:graphicData>
                  </a:graphic>
                </wp:inline>
              </w:drawing>
            </w:r>
          </w:p>
          <w:p w14:paraId="7EEACDC1" w14:textId="77777777" w:rsidR="006B5103" w:rsidRDefault="006B5103">
            <w:pPr>
              <w:pStyle w:val="caption"/>
              <w:spacing w:after="120" w:afterAutospacing="0"/>
            </w:pPr>
            <w:r>
              <w:rPr>
                <w:rStyle w:val="Zwaar"/>
              </w:rPr>
              <w:t>Figuur XIX.1 — De wettelijke onmogelijkheid.</w:t>
            </w:r>
            <w:r>
              <w:t xml:space="preserve"> De patiënt heeft zijn volledige medische dossier in België. In Nederland kan hij zich niet medisch laten inschrijven, want de wet verbiedt dubbele inschrijvingen. Hij woont in een land waar geen enkele dokter zijn dossier kent.</w:t>
            </w:r>
          </w:p>
        </w:tc>
      </w:tr>
    </w:tbl>
    <w:p w14:paraId="22D95FBA" w14:textId="77777777" w:rsidR="006B5103" w:rsidRDefault="006B5103">
      <w:pPr>
        <w:pStyle w:val="Kop3"/>
        <w:divId w:val="2114661829"/>
        <w:rPr>
          <w:rFonts w:eastAsia="Times New Roman"/>
          <w:lang w:val="nl-NL"/>
        </w:rPr>
      </w:pPr>
      <w:bookmarkStart w:id="102" w:name="_Toc242191279"/>
      <w:r>
        <w:rPr>
          <w:rFonts w:eastAsia="Times New Roman"/>
          <w:lang w:val="nl-NL"/>
        </w:rPr>
        <w:t>Deel B — De gevolgen in de praktijk</w:t>
      </w:r>
      <w:bookmarkEnd w:id="102"/>
    </w:p>
    <w:p w14:paraId="083A29C2" w14:textId="77777777" w:rsidR="006B5103" w:rsidRDefault="006B5103">
      <w:pPr>
        <w:pStyle w:val="Normaalweb"/>
        <w:divId w:val="2114661829"/>
        <w:rPr>
          <w:lang w:val="nl-NL"/>
        </w:rPr>
      </w:pPr>
      <w:r>
        <w:rPr>
          <w:lang w:val="nl-NL"/>
        </w:rPr>
        <w:t>Wat gebeurt er als er in het woonland een medisch probleem optreedt?</w:t>
      </w:r>
    </w:p>
    <w:p w14:paraId="3A609A05" w14:textId="77777777" w:rsidR="006B5103" w:rsidRDefault="006B5103">
      <w:pPr>
        <w:numPr>
          <w:ilvl w:val="0"/>
          <w:numId w:val="19"/>
        </w:numPr>
        <w:spacing w:before="100" w:beforeAutospacing="1" w:after="100" w:afterAutospacing="1"/>
        <w:divId w:val="2114661829"/>
        <w:rPr>
          <w:rFonts w:eastAsia="Times New Roman"/>
          <w:lang w:val="nl-NL"/>
        </w:rPr>
      </w:pPr>
      <w:r>
        <w:rPr>
          <w:rFonts w:eastAsia="Times New Roman"/>
          <w:lang w:val="nl-NL"/>
        </w:rPr>
        <w:t>Een val thuis, een acute complicatie van de diabetes, een infectie aan de amputatiewonde — de huisarts van de wachtdienst kent het dossier niet.</w:t>
      </w:r>
    </w:p>
    <w:p w14:paraId="2701818B" w14:textId="77777777" w:rsidR="006B5103" w:rsidRDefault="006B5103">
      <w:pPr>
        <w:numPr>
          <w:ilvl w:val="0"/>
          <w:numId w:val="19"/>
        </w:numPr>
        <w:spacing w:before="100" w:beforeAutospacing="1" w:after="100" w:afterAutospacing="1"/>
        <w:divId w:val="2114661829"/>
        <w:rPr>
          <w:rFonts w:eastAsia="Times New Roman"/>
          <w:lang w:val="nl-NL"/>
        </w:rPr>
      </w:pPr>
      <w:r>
        <w:rPr>
          <w:rFonts w:eastAsia="Times New Roman"/>
          <w:lang w:val="nl-NL"/>
        </w:rPr>
        <w:t>De behandelaar moet op basis van beperkte informatie beslissen, zonder de amputatiegeschiedenis, zonder de medicatielijst, zonder de specifieke wondzorgbehoeften.</w:t>
      </w:r>
    </w:p>
    <w:p w14:paraId="7FD36F29" w14:textId="77777777" w:rsidR="006B5103" w:rsidRDefault="006B5103">
      <w:pPr>
        <w:numPr>
          <w:ilvl w:val="0"/>
          <w:numId w:val="19"/>
        </w:numPr>
        <w:spacing w:before="100" w:beforeAutospacing="1" w:after="100" w:afterAutospacing="1"/>
        <w:divId w:val="2114661829"/>
        <w:rPr>
          <w:rFonts w:eastAsia="Times New Roman"/>
          <w:lang w:val="nl-NL"/>
        </w:rPr>
      </w:pPr>
      <w:r>
        <w:rPr>
          <w:rFonts w:eastAsia="Times New Roman"/>
          <w:lang w:val="nl-NL"/>
        </w:rPr>
        <w:t>De patiënt moet zelf de context uitleggen — in een noodsituatie, mogelijk niet in staat om dat te doen.</w:t>
      </w:r>
    </w:p>
    <w:p w14:paraId="6D5C648A" w14:textId="77777777" w:rsidR="006B5103" w:rsidRDefault="006B5103">
      <w:pPr>
        <w:numPr>
          <w:ilvl w:val="0"/>
          <w:numId w:val="19"/>
        </w:numPr>
        <w:spacing w:before="100" w:beforeAutospacing="1" w:after="100" w:afterAutospacing="1"/>
        <w:divId w:val="2114661829"/>
        <w:rPr>
          <w:rFonts w:eastAsia="Times New Roman"/>
          <w:lang w:val="nl-NL"/>
        </w:rPr>
      </w:pPr>
      <w:r>
        <w:rPr>
          <w:rFonts w:eastAsia="Times New Roman"/>
          <w:lang w:val="nl-NL"/>
        </w:rPr>
        <w:t>Bij een spoedopname in een Nederlandse kliniek: geen dossier, geen medicatiehistoriek, geen wondzorgprotocol.</w:t>
      </w:r>
    </w:p>
    <w:p w14:paraId="0C89EAA9" w14:textId="77777777" w:rsidR="006B5103" w:rsidRDefault="006B5103">
      <w:pPr>
        <w:pStyle w:val="Normaalweb"/>
        <w:divId w:val="2114661829"/>
        <w:rPr>
          <w:lang w:val="nl-NL"/>
        </w:rPr>
      </w:pPr>
      <w:r>
        <w:rPr>
          <w:lang w:val="nl-NL"/>
        </w:rPr>
        <w:t>In het dossier is dit expliciet geprobeerd op te lossen via een zuiver informatieve inschrijving bij een Nederlandse huisartsenpraktijk. Geen actieve behandeling, alleen de dossierkennis op Nederlands grondgebied, zodat een wachtdienst of een spoedarts zou kunnen zien wat er speelt.</w:t>
      </w:r>
    </w:p>
    <w:p w14:paraId="21FC17DC" w14:textId="77777777" w:rsidR="006B5103" w:rsidRDefault="006B5103">
      <w:pPr>
        <w:pStyle w:val="Normaalweb"/>
        <w:divId w:val="2114661829"/>
        <w:rPr>
          <w:lang w:val="nl-NL"/>
        </w:rPr>
      </w:pPr>
      <w:r>
        <w:rPr>
          <w:lang w:val="nl-NL"/>
        </w:rPr>
        <w:t>Die aanvraag is afgewezen. De praktijk erkende telefonisch dat dit in een ideale wereld de juiste oplossing zou zijn, maar dat de wet het niet toestaat. Een inschrijving zonder actieve behandelrelatie is juridisch niet mogelijk. De brief bevestigde de systeemblokkade zonder ruimte voor heroverweging.</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E73488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F2C0AD1" w14:textId="77777777" w:rsidR="006B5103" w:rsidRDefault="006B5103">
            <w:pPr>
              <w:pStyle w:val="Normaalweb"/>
              <w:spacing w:before="120"/>
              <w:jc w:val="center"/>
              <w:rPr>
                <w:sz w:val="21"/>
                <w:szCs w:val="21"/>
              </w:rPr>
            </w:pPr>
            <w:r>
              <w:rPr>
                <w:noProof/>
                <w:sz w:val="21"/>
                <w:szCs w:val="21"/>
              </w:rPr>
              <w:drawing>
                <wp:inline distT="0" distB="0" distL="0" distR="0" wp14:anchorId="0620F5B5" wp14:editId="5FA47CFE">
                  <wp:extent cx="5715000" cy="1670050"/>
                  <wp:effectExtent l="0" t="0" r="0" b="635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link="rId67">
                            <a:extLst>
                              <a:ext uri="{28A0092B-C50C-407E-A947-70E740481C1C}">
                                <a14:useLocalDpi xmlns:a14="http://schemas.microsoft.com/office/drawing/2010/main" val="0"/>
                              </a:ext>
                            </a:extLst>
                          </a:blip>
                          <a:srcRect/>
                          <a:stretch>
                            <a:fillRect/>
                          </a:stretch>
                        </pic:blipFill>
                        <pic:spPr bwMode="auto">
                          <a:xfrm>
                            <a:off x="0" y="0"/>
                            <a:ext cx="5715000" cy="1670050"/>
                          </a:xfrm>
                          <a:prstGeom prst="rect">
                            <a:avLst/>
                          </a:prstGeom>
                          <a:noFill/>
                          <a:ln>
                            <a:noFill/>
                          </a:ln>
                        </pic:spPr>
                      </pic:pic>
                    </a:graphicData>
                  </a:graphic>
                </wp:inline>
              </w:drawing>
            </w:r>
          </w:p>
          <w:p w14:paraId="37A7E119" w14:textId="77777777" w:rsidR="006B5103" w:rsidRDefault="006B5103">
            <w:pPr>
              <w:pStyle w:val="caption"/>
              <w:spacing w:after="120" w:afterAutospacing="0"/>
            </w:pPr>
            <w:r>
              <w:rPr>
                <w:rStyle w:val="Zwaar"/>
              </w:rPr>
              <w:t>Figuur XIX.2 — Wat de praktijk antwoordde.</w:t>
            </w:r>
            <w:r>
              <w:t xml:space="preserve"> De huisartsenpraktijk erkende dat een informatieve inschrijving in theorie de ideale oplossing zou zijn, maar dat de wet een dubbele inschrijving over de grens verbiedt. De praktijk kan geen patiënt inschrijven zonder actieve behandelrelatie.</w:t>
            </w:r>
          </w:p>
        </w:tc>
      </w:tr>
    </w:tbl>
    <w:p w14:paraId="67B1878E" w14:textId="77777777" w:rsidR="006B5103" w:rsidRDefault="006B5103">
      <w:pPr>
        <w:pStyle w:val="Kop3"/>
        <w:divId w:val="2114661829"/>
        <w:rPr>
          <w:rFonts w:eastAsia="Times New Roman"/>
          <w:lang w:val="nl-NL"/>
        </w:rPr>
      </w:pPr>
      <w:bookmarkStart w:id="103" w:name="_Toc242191280"/>
      <w:r>
        <w:rPr>
          <w:rFonts w:eastAsia="Times New Roman"/>
          <w:lang w:val="nl-NL"/>
        </w:rPr>
        <w:t>Deel C — De wet die het gezin beschermt en verlamt</w:t>
      </w:r>
      <w:bookmarkEnd w:id="103"/>
    </w:p>
    <w:p w14:paraId="20AA34BF" w14:textId="77777777" w:rsidR="006B5103" w:rsidRDefault="006B5103">
      <w:pPr>
        <w:pStyle w:val="Normaalweb"/>
        <w:divId w:val="2114661829"/>
        <w:rPr>
          <w:lang w:val="nl-NL"/>
        </w:rPr>
      </w:pPr>
      <w:r>
        <w:rPr>
          <w:lang w:val="nl-NL"/>
        </w:rPr>
        <w:t>De regel dat een patiënt maar bij één huisartsenpraktijk mag staan, is bedoeld om kwaliteit en continuïteit van zorg te waarborgen. Voor gewone burgers werkt die regel. Voor grensarbeiders die hun volledige medische leven in een ander land hebben, creëert diezelfde regel een gat in de veiligheid.</w:t>
      </w:r>
    </w:p>
    <w:p w14:paraId="3CB634EA" w14:textId="77777777" w:rsidR="006B5103" w:rsidRDefault="006B5103">
      <w:pPr>
        <w:pStyle w:val="Normaalweb"/>
        <w:divId w:val="2114661829"/>
        <w:rPr>
          <w:lang w:val="nl-NL"/>
        </w:rPr>
      </w:pPr>
      <w:r>
        <w:rPr>
          <w:lang w:val="nl-NL"/>
        </w:rPr>
        <w:t>De Europese Unie erkent het recht op vrij verkeer. Ze erkent ook het recht op medische zorg in het buitenland. Maar ze voorziet niet in een oplossing voor de patiënt die zijn medische dossier in één lidstaat heeft en zijn lichaam in een andere lidstaat heeft. De wet beschermt de continuïteit binnen één land. Ze voorziet niet in continuïteit over de grens.</w:t>
      </w:r>
    </w:p>
    <w:p w14:paraId="3518D152" w14:textId="77777777" w:rsidR="006B5103" w:rsidRDefault="006B5103">
      <w:pPr>
        <w:pStyle w:val="Normaalweb"/>
        <w:divId w:val="2114661829"/>
        <w:rPr>
          <w:lang w:val="nl-NL"/>
        </w:rPr>
      </w:pPr>
      <w:r>
        <w:rPr>
          <w:lang w:val="nl-NL"/>
        </w:rPr>
        <w:t>Wat het gezin overhoudt, is een pragmatische oplossing: de patiënt draagt zijn eigen medische geschiedenis fysiek of digitaal mee. Bij een bezoek aan een Nederlandse dokter in noodgeval moet hij zelf kunnen uitleggen wat er speelt. Bij een ziekenhuisopname in Nederland moet hij zelf de Belgische dossiers aanleveren. Hij is niet alleen de data-hub voor de administratie, maar ook voor zijn eigen acute medische veiligheid.</w:t>
      </w:r>
    </w:p>
    <w:p w14:paraId="1423083D" w14:textId="77777777" w:rsidR="006B5103" w:rsidRDefault="006B5103">
      <w:pPr>
        <w:pStyle w:val="Kop3"/>
        <w:divId w:val="2114661829"/>
        <w:rPr>
          <w:rFonts w:eastAsia="Times New Roman"/>
          <w:lang w:val="nl-NL"/>
        </w:rPr>
      </w:pPr>
      <w:bookmarkStart w:id="104" w:name="_Toc242191281"/>
      <w:r>
        <w:rPr>
          <w:rFonts w:eastAsia="Times New Roman"/>
          <w:lang w:val="nl-NL"/>
        </w:rPr>
        <w:t>Deel D — De paradox</w:t>
      </w:r>
      <w:bookmarkEnd w:id="104"/>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F2A4008"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EFFD0A6" w14:textId="77777777" w:rsidR="006B5103" w:rsidRDefault="006B5103">
            <w:pPr>
              <w:pStyle w:val="Normaalweb"/>
              <w:spacing w:before="120"/>
              <w:jc w:val="center"/>
              <w:rPr>
                <w:sz w:val="21"/>
                <w:szCs w:val="21"/>
              </w:rPr>
            </w:pPr>
            <w:r>
              <w:rPr>
                <w:noProof/>
                <w:sz w:val="21"/>
                <w:szCs w:val="21"/>
              </w:rPr>
              <w:drawing>
                <wp:inline distT="0" distB="0" distL="0" distR="0" wp14:anchorId="4F78C5EF" wp14:editId="445C07CC">
                  <wp:extent cx="5715000" cy="1670050"/>
                  <wp:effectExtent l="0" t="0" r="0" b="635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5715000" cy="1670050"/>
                          </a:xfrm>
                          <a:prstGeom prst="rect">
                            <a:avLst/>
                          </a:prstGeom>
                          <a:noFill/>
                          <a:ln>
                            <a:noFill/>
                          </a:ln>
                        </pic:spPr>
                      </pic:pic>
                    </a:graphicData>
                  </a:graphic>
                </wp:inline>
              </w:drawing>
            </w:r>
          </w:p>
          <w:p w14:paraId="56F42487" w14:textId="77777777" w:rsidR="006B5103" w:rsidRDefault="006B5103">
            <w:pPr>
              <w:pStyle w:val="caption"/>
              <w:spacing w:after="120" w:afterAutospacing="0"/>
            </w:pPr>
            <w:r>
              <w:rPr>
                <w:rStyle w:val="Zwaar"/>
              </w:rPr>
              <w:t>Figuur XIX.3 — De paradox.</w:t>
            </w:r>
            <w:r>
              <w:t xml:space="preserve"> De wet beschermt de continuïteit van zorg binnen één land. Ze voorziet niet in continuïteit over de grens. Voor een gewone burger werkt de regel. Voor een grensarbeider creëert diezelfde regel een veiligheidsgat.</w:t>
            </w:r>
          </w:p>
        </w:tc>
      </w:tr>
    </w:tbl>
    <w:p w14:paraId="42E76FD0" w14:textId="77777777" w:rsidR="006B5103" w:rsidRDefault="006B5103">
      <w:pPr>
        <w:pStyle w:val="Kop3"/>
        <w:divId w:val="2114661829"/>
        <w:rPr>
          <w:rFonts w:eastAsia="Times New Roman"/>
          <w:lang w:val="nl-NL"/>
        </w:rPr>
      </w:pPr>
      <w:bookmarkStart w:id="105" w:name="_Toc242191282"/>
      <w:r>
        <w:rPr>
          <w:rFonts w:eastAsia="Times New Roman"/>
          <w:lang w:val="nl-NL"/>
        </w:rPr>
        <w:t>Wat dit hoofdstuk vaststelt</w:t>
      </w:r>
      <w:bookmarkEnd w:id="105"/>
    </w:p>
    <w:p w14:paraId="43B9509C" w14:textId="77777777" w:rsidR="006B5103" w:rsidRDefault="006B5103">
      <w:pPr>
        <w:pStyle w:val="Normaalweb"/>
        <w:divId w:val="2114661829"/>
        <w:rPr>
          <w:lang w:val="nl-NL"/>
        </w:rPr>
      </w:pPr>
      <w:r>
        <w:rPr>
          <w:lang w:val="nl-NL"/>
        </w:rPr>
        <w:t>De patiënt woont in Nederland, maar zijn volledige medische geschiedenis zit in België. De Nederlandse wet verbiedt een dubbele inschrijving bij huisartsen. De patiënt kan zich dus niet medisch verankeren in het land waar hij woont. En in een noodsituatie is er geen dokter die zijn dossier kent.</w:t>
      </w:r>
    </w:p>
    <w:p w14:paraId="3756468A" w14:textId="77777777" w:rsidR="006B5103" w:rsidRDefault="006B5103">
      <w:pPr>
        <w:pStyle w:val="Normaalweb"/>
        <w:divId w:val="2114661829"/>
        <w:rPr>
          <w:lang w:val="nl-NL"/>
        </w:rPr>
      </w:pPr>
      <w:r>
        <w:rPr>
          <w:lang w:val="nl-NL"/>
        </w:rPr>
        <w:t>De huisartsenpraktijk die hiervoor is benaderd, erkende dat dit in een ideale wereld de juiste oplossing zou zijn. De wet verbiedt het. De Europese Unie erkent vrij verkeer en erkent medische zorg over de grens, maar voorziet niet in medische continuïteit over de grens. Het gezin lost het op door de patiënt zelf zijn eigen dossier te laten dragen. Opnieuw: niet omdat het systeem het wil, maar omdat er geen alternatief is.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E8DF6DA"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3DCFC1F"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drie dingen om te weten: </w:t>
            </w:r>
          </w:p>
          <w:p w14:paraId="4FC0D886" w14:textId="77777777" w:rsidR="006B5103" w:rsidRDefault="006B5103">
            <w:pPr>
              <w:numPr>
                <w:ilvl w:val="0"/>
                <w:numId w:val="20"/>
              </w:numPr>
              <w:spacing w:before="100" w:beforeAutospacing="1" w:after="100" w:afterAutospacing="1"/>
              <w:rPr>
                <w:rFonts w:eastAsia="Times New Roman"/>
                <w:szCs w:val="22"/>
              </w:rPr>
            </w:pPr>
            <w:r>
              <w:rPr>
                <w:rFonts w:eastAsia="Times New Roman"/>
                <w:szCs w:val="22"/>
              </w:rPr>
              <w:t>Een informatieve inschrijving bij een Nederlandse huisartsenpraktijk is wettelijk niet mogelijk. Vraag bij de Belgische huisarts een actueel medisch paspoort op papier (medicatielijst, diagnoses, behandelaars).</w:t>
            </w:r>
          </w:p>
          <w:p w14:paraId="343F6D6A" w14:textId="77777777" w:rsidR="006B5103" w:rsidRDefault="006B5103">
            <w:pPr>
              <w:numPr>
                <w:ilvl w:val="0"/>
                <w:numId w:val="20"/>
              </w:numPr>
              <w:spacing w:before="100" w:beforeAutospacing="1" w:after="100" w:afterAutospacing="1"/>
              <w:rPr>
                <w:rFonts w:eastAsia="Times New Roman"/>
                <w:szCs w:val="22"/>
              </w:rPr>
            </w:pPr>
            <w:r>
              <w:rPr>
                <w:rFonts w:eastAsia="Times New Roman"/>
                <w:szCs w:val="22"/>
              </w:rPr>
              <w:t>Draag dit paspoort fysiek bij u, ook in noodgevallen. Gebruik eventueel een noodkaart in uw portemonnee met de belangrijkste medische gegevens.</w:t>
            </w:r>
          </w:p>
          <w:p w14:paraId="00554218" w14:textId="77777777" w:rsidR="006B5103" w:rsidRDefault="006B5103">
            <w:pPr>
              <w:numPr>
                <w:ilvl w:val="0"/>
                <w:numId w:val="20"/>
              </w:numPr>
              <w:spacing w:before="100" w:beforeAutospacing="1" w:after="100" w:afterAutospacing="1"/>
              <w:rPr>
                <w:rFonts w:eastAsia="Times New Roman"/>
                <w:szCs w:val="22"/>
              </w:rPr>
            </w:pPr>
            <w:r>
              <w:rPr>
                <w:rFonts w:eastAsia="Times New Roman"/>
                <w:szCs w:val="22"/>
              </w:rPr>
              <w:t>Bewaar een digitale versie van de belangrijkste rapporten op een USB-stick of in een beveiligde cloud, zodat u bij een ziekenhuisopname in Nederland direct kunt aanleveren.</w:t>
            </w:r>
          </w:p>
          <w:p w14:paraId="61D54A3D" w14:textId="77777777" w:rsidR="006B5103" w:rsidRDefault="006B5103">
            <w:pPr>
              <w:spacing w:after="0"/>
              <w:rPr>
                <w:rFonts w:eastAsia="Times New Roman"/>
                <w:szCs w:val="22"/>
              </w:rPr>
            </w:pPr>
            <w:r>
              <w:rPr>
                <w:rFonts w:eastAsia="Times New Roman"/>
                <w:szCs w:val="22"/>
              </w:rPr>
              <w:t xml:space="preserve">Voor structurele oplossingen op langere termijn: dit is een van de punten waar de Europese Unie nog geen oplossing voor heeft. Uw signaal draagt bij aan de druk om dit te veranderen. </w:t>
            </w:r>
          </w:p>
        </w:tc>
      </w:tr>
    </w:tbl>
    <w:p w14:paraId="3743F89D"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De feiten zijn gebaseerd op Document B. Dit hoofdstuk is geen juridisch of medisch advies.</w:t>
      </w:r>
    </w:p>
    <w:p w14:paraId="27681F44" w14:textId="77777777" w:rsidR="006B5103" w:rsidRDefault="006B5103">
      <w:pPr>
        <w:pStyle w:val="marker"/>
        <w:ind w:left="800" w:right="800"/>
        <w:divId w:val="2114661829"/>
        <w:rPr>
          <w:lang w:val="nl-NL"/>
        </w:rPr>
      </w:pPr>
      <w:r>
        <w:br w:type="page"/>
      </w:r>
    </w:p>
    <w:p w14:paraId="78AD9473" w14:textId="77777777" w:rsidR="006B5103" w:rsidRDefault="006B5103">
      <w:pPr>
        <w:pStyle w:val="Kop2"/>
        <w:divId w:val="2114661829"/>
        <w:rPr>
          <w:rFonts w:eastAsia="Times New Roman"/>
          <w:lang w:val="nl-NL"/>
        </w:rPr>
      </w:pPr>
      <w:bookmarkStart w:id="106" w:name="_Toc242191283"/>
      <w:r>
        <w:rPr>
          <w:rFonts w:eastAsia="Times New Roman"/>
          <w:lang w:val="nl-NL"/>
        </w:rPr>
        <w:t>De centrale pot</w:t>
      </w:r>
      <w:bookmarkEnd w:id="106"/>
    </w:p>
    <w:p w14:paraId="3624ED2C" w14:textId="77777777" w:rsidR="006B5103" w:rsidRDefault="006B5103">
      <w:pPr>
        <w:pStyle w:val="lead"/>
        <w:divId w:val="2114661829"/>
        <w:rPr>
          <w:lang w:val="nl-NL"/>
        </w:rPr>
      </w:pPr>
      <w:r>
        <w:rPr>
          <w:lang w:val="nl-NL"/>
        </w:rPr>
        <w:t>Alle vorige hoofdstukken beschreven instanties die weigeren, procedures die vastlopen en systemen die de werkelijke situatie niet lezen. Dit hoofdstuk toont het resultaat. Wanneer de uitkeringen niet komen, de toeslagen op nul blijven, de medische kosten blijven oplopen en niemand het gat dicht, dan blijft er nog één speler over: de private markt. De bank. De energieleverancier. De netbeheerder. En die werken niet met protocollen, maar met incassotermijnen.</w:t>
      </w:r>
    </w:p>
    <w:p w14:paraId="41AB9251" w14:textId="77777777" w:rsidR="006B5103" w:rsidRDefault="006B5103">
      <w:pPr>
        <w:pStyle w:val="Kop3"/>
        <w:divId w:val="2114661829"/>
        <w:rPr>
          <w:rFonts w:eastAsia="Times New Roman"/>
          <w:lang w:val="nl-NL"/>
        </w:rPr>
      </w:pPr>
      <w:bookmarkStart w:id="107" w:name="_Toc242191284"/>
      <w:r>
        <w:rPr>
          <w:rFonts w:eastAsia="Times New Roman"/>
          <w:lang w:val="nl-NL"/>
        </w:rPr>
        <w:t>Deel A — De rekening als reservoir</w:t>
      </w:r>
      <w:bookmarkEnd w:id="107"/>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CB41E1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E190564" w14:textId="77777777" w:rsidR="006B5103" w:rsidRDefault="006B5103">
            <w:pPr>
              <w:pStyle w:val="Normaalweb"/>
              <w:spacing w:before="120"/>
              <w:jc w:val="center"/>
              <w:rPr>
                <w:sz w:val="21"/>
                <w:szCs w:val="21"/>
              </w:rPr>
            </w:pPr>
            <w:r>
              <w:rPr>
                <w:noProof/>
                <w:sz w:val="21"/>
                <w:szCs w:val="21"/>
              </w:rPr>
              <w:drawing>
                <wp:inline distT="0" distB="0" distL="0" distR="0" wp14:anchorId="42DA51D2" wp14:editId="19A3E9B0">
                  <wp:extent cx="5715000" cy="2381250"/>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link="rId69">
                            <a:extLst>
                              <a:ext uri="{28A0092B-C50C-407E-A947-70E740481C1C}">
                                <a14:useLocalDpi xmlns:a14="http://schemas.microsoft.com/office/drawing/2010/main" val="0"/>
                              </a:ext>
                            </a:extLst>
                          </a:blip>
                          <a:srcRect/>
                          <a:stretch>
                            <a:fillRect/>
                          </a:stretch>
                        </pic:blipFill>
                        <pic:spPr bwMode="auto">
                          <a:xfrm>
                            <a:off x="0" y="0"/>
                            <a:ext cx="5715000" cy="2381250"/>
                          </a:xfrm>
                          <a:prstGeom prst="rect">
                            <a:avLst/>
                          </a:prstGeom>
                          <a:noFill/>
                          <a:ln>
                            <a:noFill/>
                          </a:ln>
                        </pic:spPr>
                      </pic:pic>
                    </a:graphicData>
                  </a:graphic>
                </wp:inline>
              </w:drawing>
            </w:r>
          </w:p>
          <w:p w14:paraId="50F0B09B" w14:textId="77777777" w:rsidR="006B5103" w:rsidRDefault="006B5103">
            <w:pPr>
              <w:pStyle w:val="caption"/>
              <w:spacing w:after="120" w:afterAutospacing="0"/>
            </w:pPr>
            <w:r>
              <w:rPr>
                <w:rStyle w:val="Zwaar"/>
              </w:rPr>
              <w:t>Figuur XX.1 — De rekening als reservoir.</w:t>
            </w:r>
            <w:r>
              <w:t xml:space="preserve"> Wat niet binnenkomt aan uitkeringen en toeslagen, en wat wel weglekt aan medische kosten, creëert een tekort op de bankrekening. Dat tekort wordt opgevangen door commerciële partijen: de bank, de energieleverancier, het incassobureau. Tegen rente, tegen sancties, tegen strikte voorwaarden.</w:t>
            </w:r>
          </w:p>
        </w:tc>
      </w:tr>
    </w:tbl>
    <w:p w14:paraId="64F28ABA" w14:textId="77777777" w:rsidR="006B5103" w:rsidRDefault="006B5103">
      <w:pPr>
        <w:pStyle w:val="Kop3"/>
        <w:divId w:val="2114661829"/>
        <w:rPr>
          <w:rFonts w:eastAsia="Times New Roman"/>
          <w:lang w:val="nl-NL"/>
        </w:rPr>
      </w:pPr>
      <w:bookmarkStart w:id="108" w:name="_Toc242191285"/>
      <w:r>
        <w:rPr>
          <w:rFonts w:eastAsia="Times New Roman"/>
          <w:lang w:val="nl-NL"/>
        </w:rPr>
        <w:t>Deel B — De drie private poorten</w:t>
      </w:r>
      <w:bookmarkEnd w:id="108"/>
    </w:p>
    <w:p w14:paraId="47C0FAE1" w14:textId="77777777" w:rsidR="006B5103" w:rsidRDefault="006B5103">
      <w:pPr>
        <w:pStyle w:val="Kop4"/>
        <w:divId w:val="2114661829"/>
        <w:rPr>
          <w:rFonts w:eastAsia="Times New Roman"/>
          <w:lang w:val="nl-NL"/>
        </w:rPr>
      </w:pPr>
      <w:r>
        <w:rPr>
          <w:rFonts w:eastAsia="Times New Roman"/>
          <w:lang w:val="nl-NL"/>
        </w:rPr>
        <w:t>ING — de bank als reddingsboei</w:t>
      </w:r>
    </w:p>
    <w:p w14:paraId="51656680" w14:textId="77777777" w:rsidR="006B5103" w:rsidRDefault="006B5103">
      <w:pPr>
        <w:pStyle w:val="Normaalweb"/>
        <w:divId w:val="2114661829"/>
        <w:rPr>
          <w:lang w:val="nl-NL"/>
        </w:rPr>
      </w:pPr>
      <w:r>
        <w:rPr>
          <w:lang w:val="nl-NL"/>
        </w:rPr>
        <w:t>Wanneer de overheidsbetalingen wegvallen en de medische kosten blijven oplopen, raakt de gezamenlijke bankrekening in het rood. De creditcard raakt vol. ING biedt een betalingsregeling aan: de volledige schuld wordt geparkeerd op een aparte rekening en afgelost in vierentwintig maanden.</w:t>
      </w:r>
    </w:p>
    <w:p w14:paraId="3A1A1165" w14:textId="77777777" w:rsidR="006B5103" w:rsidRDefault="006B5103">
      <w:pPr>
        <w:pStyle w:val="Normaalweb"/>
        <w:divId w:val="2114661829"/>
        <w:rPr>
          <w:lang w:val="nl-NL"/>
        </w:rPr>
      </w:pPr>
      <w:r>
        <w:rPr>
          <w:lang w:val="nl-NL"/>
        </w:rPr>
        <w:t>Wat de bank oplegt: roodstand verboden gedurende drie maanden. Geen creditcard gedurende twaalf maanden. Maandelijkse aflossing van € 286,55. Wie zich niet houdt aan de voorwaarden, verliest de regeling.</w:t>
      </w:r>
    </w:p>
    <w:p w14:paraId="151A21D1" w14:textId="77777777" w:rsidR="006B5103" w:rsidRDefault="006B5103">
      <w:pPr>
        <w:pStyle w:val="Normaalweb"/>
        <w:divId w:val="2114661829"/>
        <w:rPr>
          <w:lang w:val="nl-NL"/>
        </w:rPr>
      </w:pPr>
      <w:r>
        <w:rPr>
          <w:lang w:val="nl-NL"/>
        </w:rPr>
        <w:t>De bank is hier geen kwaadwillende partij. Ze past commerciële logica toe. Maar de logica van de markt is niet de logica van het sociaal recht. De overheidsinstanties die het gat hebben veroorzaakt, dragen geen verantwoordelijkheid voor de rente en de sancties die het gezin moet betalen.</w:t>
      </w:r>
    </w:p>
    <w:p w14:paraId="26900567" w14:textId="77777777" w:rsidR="006B5103" w:rsidRDefault="006B5103">
      <w:pPr>
        <w:pStyle w:val="Kop4"/>
        <w:divId w:val="2114661829"/>
        <w:rPr>
          <w:rFonts w:eastAsia="Times New Roman"/>
          <w:lang w:val="nl-NL"/>
        </w:rPr>
      </w:pPr>
      <w:r>
        <w:rPr>
          <w:rFonts w:eastAsia="Times New Roman"/>
          <w:lang w:val="nl-NL"/>
        </w:rPr>
        <w:t>Vattenfall — de energieleverancier</w:t>
      </w:r>
    </w:p>
    <w:p w14:paraId="7E2BF5EA" w14:textId="77777777" w:rsidR="006B5103" w:rsidRDefault="006B5103">
      <w:pPr>
        <w:pStyle w:val="Normaalweb"/>
        <w:divId w:val="2114661829"/>
        <w:rPr>
          <w:lang w:val="nl-NL"/>
        </w:rPr>
      </w:pPr>
      <w:r>
        <w:rPr>
          <w:lang w:val="nl-NL"/>
        </w:rPr>
        <w:t>De energieleverancier ziet de betalingsachterstanden oplopen. Er worden betalingsregelingen afgesproken, verbroken, hersteld. De maandtermijnen worden verhoogd om een nabetaling te voorkomen. En wanneer de patiënt een beroep doet op de beschermingsstatus "medisch kwetsbare consument", eist Vattenfall een verklaring van een onafhankelijke Nederlandse arts.</w:t>
      </w:r>
    </w:p>
    <w:p w14:paraId="7786065E" w14:textId="77777777" w:rsidR="006B5103" w:rsidRDefault="006B5103">
      <w:pPr>
        <w:pStyle w:val="Normaalweb"/>
        <w:divId w:val="2114661829"/>
        <w:rPr>
          <w:lang w:val="nl-NL"/>
        </w:rPr>
      </w:pPr>
      <w:r>
        <w:rPr>
          <w:lang w:val="nl-NL"/>
        </w:rPr>
        <w:t>Die eis is voor een grensarbeider onuitvoerbaar. De huisartsen weigeren, de GGD weigert, de private markt vraagt exorbitante tarieven voor een keuring op afstand. Het gezin stuurt een Belgische medische verklaring. Vattenfall weigert die te erkennen. Pas na maanden geeft de leverancier toe dat de eis onterecht was en dat de bevoegdheid bij de netbeheerder ligt.</w:t>
      </w:r>
    </w:p>
    <w:p w14:paraId="6BAF47CC" w14:textId="77777777" w:rsidR="006B5103" w:rsidRDefault="006B5103">
      <w:pPr>
        <w:pStyle w:val="Normaalweb"/>
        <w:divId w:val="2114661829"/>
        <w:rPr>
          <w:lang w:val="nl-NL"/>
        </w:rPr>
      </w:pPr>
      <w:r>
        <w:rPr>
          <w:lang w:val="nl-NL"/>
        </w:rPr>
        <w:t>Uiteindelijk wordt de openstaande vordering uit handen gegeven aan incassobureau Flanderijn. De totale schuld loopt op tot ruim € 2.300.</w:t>
      </w:r>
    </w:p>
    <w:p w14:paraId="3E623C7E" w14:textId="77777777" w:rsidR="006B5103" w:rsidRDefault="006B5103">
      <w:pPr>
        <w:pStyle w:val="Kop4"/>
        <w:divId w:val="2114661829"/>
        <w:rPr>
          <w:rFonts w:eastAsia="Times New Roman"/>
          <w:lang w:val="nl-NL"/>
        </w:rPr>
      </w:pPr>
      <w:r>
        <w:rPr>
          <w:rFonts w:eastAsia="Times New Roman"/>
          <w:lang w:val="nl-NL"/>
        </w:rPr>
        <w:t>Stedin — de netbeheerder</w:t>
      </w:r>
    </w:p>
    <w:p w14:paraId="59B79074" w14:textId="77777777" w:rsidR="006B5103" w:rsidRDefault="006B5103">
      <w:pPr>
        <w:pStyle w:val="Normaalweb"/>
        <w:divId w:val="2114661829"/>
        <w:rPr>
          <w:lang w:val="nl-NL"/>
        </w:rPr>
      </w:pPr>
      <w:r>
        <w:rPr>
          <w:lang w:val="nl-NL"/>
        </w:rPr>
        <w:t>Na de late doorverwijzing van Vattenfall belandt het dossier bij de netbeheerder. Stedin is wettelijk verantwoordelijk voor de fysieke levering. De patiënt moet de volledige medische bewijslast opnieuw indienen bij een nieuwe private partij. Geen enkele datadoorgifte, geen enkele herkenning van eerder aangeleverde documenten.</w:t>
      </w:r>
    </w:p>
    <w:p w14:paraId="722D9472" w14:textId="77777777" w:rsidR="006B5103" w:rsidRDefault="006B5103">
      <w:pPr>
        <w:pStyle w:val="Normaalweb"/>
        <w:divId w:val="2114661829"/>
        <w:rPr>
          <w:lang w:val="nl-NL"/>
        </w:rPr>
      </w:pPr>
      <w:r>
        <w:rPr>
          <w:lang w:val="nl-NL"/>
        </w:rPr>
        <w:t>Stedin is de instantie die de stroomtoevoer kan garanderen, wat cruciaal is voor de gekoelde opslag van insuline. Maar ook hier geldt: de patiënt moet de hele bewijslast opnieuw opbouwen, zonder dat de eerdere aanvraag bij Vattenfall wordt erkend.</w:t>
      </w:r>
    </w:p>
    <w:p w14:paraId="59A4BF3E" w14:textId="77777777" w:rsidR="006B5103" w:rsidRDefault="006B5103">
      <w:pPr>
        <w:pStyle w:val="Kop3"/>
        <w:divId w:val="2114661829"/>
        <w:rPr>
          <w:rFonts w:eastAsia="Times New Roman"/>
          <w:lang w:val="nl-NL"/>
        </w:rPr>
      </w:pPr>
      <w:bookmarkStart w:id="109" w:name="_Toc242191286"/>
      <w:r>
        <w:rPr>
          <w:rFonts w:eastAsia="Times New Roman"/>
          <w:lang w:val="nl-NL"/>
        </w:rPr>
        <w:t>Deel C — De bank als de-facto schuldeiser van de verzorgingsstaat</w:t>
      </w:r>
      <w:bookmarkEnd w:id="109"/>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AFB0E35"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04981AC" w14:textId="77777777" w:rsidR="006B5103" w:rsidRDefault="006B5103">
            <w:pPr>
              <w:pStyle w:val="Normaalweb"/>
              <w:spacing w:before="120"/>
              <w:jc w:val="center"/>
              <w:rPr>
                <w:sz w:val="21"/>
                <w:szCs w:val="21"/>
              </w:rPr>
            </w:pPr>
            <w:r>
              <w:rPr>
                <w:noProof/>
                <w:sz w:val="21"/>
                <w:szCs w:val="21"/>
              </w:rPr>
              <w:drawing>
                <wp:inline distT="0" distB="0" distL="0" distR="0" wp14:anchorId="2A099597" wp14:editId="4048D0D7">
                  <wp:extent cx="5715000" cy="2178050"/>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link="rId70">
                            <a:extLst>
                              <a:ext uri="{28A0092B-C50C-407E-A947-70E740481C1C}">
                                <a14:useLocalDpi xmlns:a14="http://schemas.microsoft.com/office/drawing/2010/main" val="0"/>
                              </a:ext>
                            </a:extLst>
                          </a:blip>
                          <a:srcRect/>
                          <a:stretch>
                            <a:fillRect/>
                          </a:stretch>
                        </pic:blipFill>
                        <pic:spPr bwMode="auto">
                          <a:xfrm>
                            <a:off x="0" y="0"/>
                            <a:ext cx="5715000" cy="2178050"/>
                          </a:xfrm>
                          <a:prstGeom prst="rect">
                            <a:avLst/>
                          </a:prstGeom>
                          <a:noFill/>
                          <a:ln>
                            <a:noFill/>
                          </a:ln>
                        </pic:spPr>
                      </pic:pic>
                    </a:graphicData>
                  </a:graphic>
                </wp:inline>
              </w:drawing>
            </w:r>
          </w:p>
          <w:p w14:paraId="3F005649" w14:textId="77777777" w:rsidR="006B5103" w:rsidRDefault="006B5103">
            <w:pPr>
              <w:pStyle w:val="caption"/>
              <w:spacing w:after="120" w:afterAutospacing="0"/>
            </w:pPr>
            <w:r>
              <w:rPr>
                <w:rStyle w:val="Zwaar"/>
              </w:rPr>
              <w:t>Figuur XX.2 — Wie draagt de schuld?</w:t>
            </w:r>
            <w:r>
              <w:t xml:space="preserve"> De overheid veroorzaakt het gat en draagt geen verantwoordelijkheid. De private markt vult het gat en incasseert de rente. Het gezin draagt de gevolgen: verlies van inkomen, verlies van toeslagen, oplopende rente, incassokosten, verdere verarming.</w:t>
            </w:r>
          </w:p>
        </w:tc>
      </w:tr>
    </w:tbl>
    <w:p w14:paraId="5C5CB901" w14:textId="77777777" w:rsidR="006B5103" w:rsidRDefault="006B5103">
      <w:pPr>
        <w:pStyle w:val="Kop3"/>
        <w:divId w:val="2114661829"/>
        <w:rPr>
          <w:rFonts w:eastAsia="Times New Roman"/>
          <w:lang w:val="nl-NL"/>
        </w:rPr>
      </w:pPr>
      <w:bookmarkStart w:id="110" w:name="_Toc242191287"/>
      <w:r>
        <w:rPr>
          <w:rFonts w:eastAsia="Times New Roman"/>
          <w:lang w:val="nl-NL"/>
        </w:rPr>
        <w:t>Wat dit hoofdstuk vaststelt</w:t>
      </w:r>
      <w:bookmarkEnd w:id="110"/>
    </w:p>
    <w:p w14:paraId="6C324C94" w14:textId="77777777" w:rsidR="006B5103" w:rsidRDefault="006B5103">
      <w:pPr>
        <w:pStyle w:val="Normaalweb"/>
        <w:divId w:val="2114661829"/>
        <w:rPr>
          <w:lang w:val="nl-NL"/>
        </w:rPr>
      </w:pPr>
      <w:r>
        <w:rPr>
          <w:lang w:val="nl-NL"/>
        </w:rPr>
        <w:t>De keten van falende overheidsinstanties leidt uiteindelijk tot één centrale plek: de bankrekening. Wat daar niet binnenkomt, en wat er wel uit weglekt, bepaalt hoe diep het gezin zakt. En wat het gezin niet kan opvangen, wordt opgevangen door de commerciële markt — tegen rente, tegen sancties, tegen incassokosten.</w:t>
      </w:r>
    </w:p>
    <w:p w14:paraId="60B0B536" w14:textId="77777777" w:rsidR="006B5103" w:rsidRDefault="006B5103">
      <w:pPr>
        <w:pStyle w:val="Normaalweb"/>
        <w:divId w:val="2114661829"/>
        <w:rPr>
          <w:lang w:val="nl-NL"/>
        </w:rPr>
      </w:pPr>
      <w:r>
        <w:rPr>
          <w:lang w:val="nl-NL"/>
        </w:rPr>
        <w:t>De private partijen zijn hierin niet de boosdoeners. Ze passen commerciële logica toe. Wat dit hoofdstuk laat zien, is dat de overheid zich heeft teruggetrokken uit een deel van haar verantwoordelijkheid. Het gat dat ze laat vallen, wordt door de markt gedicht. Maar de markt dicht geen gaten uit solidariteit. De markt dicht gaten tegen een prijs.</w:t>
      </w:r>
    </w:p>
    <w:p w14:paraId="7624C4BC" w14:textId="77777777" w:rsidR="006B5103" w:rsidRDefault="006B5103">
      <w:pPr>
        <w:pStyle w:val="Normaalweb"/>
        <w:divId w:val="2114661829"/>
        <w:rPr>
          <w:lang w:val="nl-NL"/>
        </w:rPr>
      </w:pPr>
      <w:r>
        <w:rPr>
          <w:lang w:val="nl-NL"/>
        </w:rPr>
        <w:t>En die prijs wordt betaald door het gezin dat al geen inkomen heeft. Door de ouders die al geen uitkering krijgen. Door de patiënt wiens amputaties door niemand worden gecompenseerd. Door het kind dat geen rol speelt in dit spel maar wel de gevolgen draagt.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7E31A6B"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7B9C649E"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de commerciële keten heeft geen boodschap aan de oorzaak van de schuld. Wat helpt: </w:t>
            </w:r>
          </w:p>
          <w:p w14:paraId="39CCF936" w14:textId="77777777" w:rsidR="006B5103" w:rsidRDefault="006B5103">
            <w:pPr>
              <w:numPr>
                <w:ilvl w:val="0"/>
                <w:numId w:val="21"/>
              </w:numPr>
              <w:spacing w:before="100" w:beforeAutospacing="1" w:after="100" w:afterAutospacing="1"/>
              <w:rPr>
                <w:rFonts w:eastAsia="Times New Roman"/>
                <w:szCs w:val="22"/>
              </w:rPr>
            </w:pPr>
            <w:r>
              <w:rPr>
                <w:rFonts w:eastAsia="Times New Roman"/>
                <w:szCs w:val="22"/>
              </w:rPr>
              <w:t>Verzamel bewijs van elke overheidsweigering die tot de schuld heeft geleid. Bewijs dat de schuld niet door uw eigen keuzes is ontstaan, maar door falende instanties.</w:t>
            </w:r>
          </w:p>
          <w:p w14:paraId="0781512E" w14:textId="77777777" w:rsidR="006B5103" w:rsidRDefault="006B5103">
            <w:pPr>
              <w:numPr>
                <w:ilvl w:val="0"/>
                <w:numId w:val="21"/>
              </w:numPr>
              <w:spacing w:before="100" w:beforeAutospacing="1" w:after="100" w:afterAutospacing="1"/>
              <w:rPr>
                <w:rFonts w:eastAsia="Times New Roman"/>
                <w:szCs w:val="22"/>
              </w:rPr>
            </w:pPr>
            <w:r>
              <w:rPr>
                <w:rFonts w:eastAsia="Times New Roman"/>
                <w:szCs w:val="22"/>
              </w:rPr>
              <w:t>Vraag bij de gemeente een bijzondere bijstand voor de ontstane schulden. Als de gemeente weigert, dient u formeel bezwaar in en verwijst u naar de causale keten.</w:t>
            </w:r>
          </w:p>
          <w:p w14:paraId="07140CE8" w14:textId="77777777" w:rsidR="006B5103" w:rsidRDefault="006B5103">
            <w:pPr>
              <w:numPr>
                <w:ilvl w:val="0"/>
                <w:numId w:val="21"/>
              </w:numPr>
              <w:spacing w:before="100" w:beforeAutospacing="1" w:after="100" w:afterAutospacing="1"/>
              <w:rPr>
                <w:rFonts w:eastAsia="Times New Roman"/>
                <w:szCs w:val="22"/>
              </w:rPr>
            </w:pPr>
            <w:r>
              <w:rPr>
                <w:rFonts w:eastAsia="Times New Roman"/>
                <w:szCs w:val="22"/>
              </w:rPr>
              <w:t>Neem contact op met de schuldhulpverlening van uw gemeente (via het Loket Schuldhulpverlening). Vraag om een minnelijke schuldregeling waarin de oorzaak van de schuld wordt meegewogen.</w:t>
            </w:r>
          </w:p>
          <w:p w14:paraId="273FE6CA" w14:textId="77777777" w:rsidR="006B5103" w:rsidRDefault="006B5103">
            <w:pPr>
              <w:numPr>
                <w:ilvl w:val="0"/>
                <w:numId w:val="21"/>
              </w:numPr>
              <w:spacing w:before="100" w:beforeAutospacing="1" w:after="100" w:afterAutospacing="1"/>
              <w:rPr>
                <w:rFonts w:eastAsia="Times New Roman"/>
                <w:szCs w:val="22"/>
              </w:rPr>
            </w:pPr>
            <w:r>
              <w:rPr>
                <w:rFonts w:eastAsia="Times New Roman"/>
                <w:szCs w:val="22"/>
              </w:rPr>
              <w:t>Schakel een sociaal raadsman of juridisch adviseur in (via de vakbond of het Juridisch Loket) voor de onderhandeling met commerciële partijen.</w:t>
            </w:r>
          </w:p>
          <w:p w14:paraId="5985AA4C" w14:textId="77777777" w:rsidR="006B5103" w:rsidRDefault="006B5103">
            <w:pPr>
              <w:spacing w:after="0"/>
              <w:rPr>
                <w:rFonts w:eastAsia="Times New Roman"/>
                <w:szCs w:val="22"/>
              </w:rPr>
            </w:pPr>
            <w:r>
              <w:rPr>
                <w:rFonts w:eastAsia="Times New Roman"/>
                <w:szCs w:val="22"/>
              </w:rPr>
              <w:t xml:space="preserve">De private markt is niet verplicht rekening te houden met de oorzaak. Maar een vastgestelde causale keten kan wel de onderhandelingspositie veranderen. </w:t>
            </w:r>
          </w:p>
        </w:tc>
      </w:tr>
    </w:tbl>
    <w:p w14:paraId="5E7981E4"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De feiten en bedragen zijn gebaseerd op Document B. Dit hoofdstuk is geen juridisch of financieel advies.</w:t>
      </w:r>
    </w:p>
    <w:p w14:paraId="494A3C99" w14:textId="77777777" w:rsidR="006B5103" w:rsidRDefault="006B5103">
      <w:pPr>
        <w:pStyle w:val="marker"/>
        <w:ind w:left="800" w:right="800"/>
        <w:divId w:val="2114661829"/>
        <w:rPr>
          <w:lang w:val="nl-NL"/>
        </w:rPr>
      </w:pPr>
      <w:r>
        <w:br w:type="page"/>
      </w:r>
    </w:p>
    <w:p w14:paraId="184D9996" w14:textId="77777777" w:rsidR="006B5103" w:rsidRDefault="006B5103">
      <w:pPr>
        <w:pStyle w:val="Kop1"/>
        <w:divId w:val="2114661829"/>
        <w:rPr>
          <w:rFonts w:eastAsia="Times New Roman"/>
          <w:lang w:val="nl-NL"/>
        </w:rPr>
      </w:pPr>
      <w:bookmarkStart w:id="111" w:name="_Toc242191288"/>
      <w:r>
        <w:rPr>
          <w:rFonts w:eastAsia="Times New Roman"/>
          <w:lang w:val="nl-NL"/>
        </w:rPr>
        <w:t>V. Europa</w:t>
      </w:r>
      <w:bookmarkEnd w:id="111"/>
    </w:p>
    <w:p w14:paraId="7409D15A" w14:textId="77777777" w:rsidR="006B5103" w:rsidRDefault="006B5103">
      <w:pPr>
        <w:pStyle w:val="Kop2"/>
        <w:divId w:val="2114661829"/>
        <w:rPr>
          <w:rFonts w:eastAsia="Times New Roman"/>
          <w:lang w:val="nl-NL"/>
        </w:rPr>
      </w:pPr>
      <w:bookmarkStart w:id="112" w:name="_Toc242191289"/>
      <w:r>
        <w:rPr>
          <w:rFonts w:eastAsia="Times New Roman"/>
          <w:lang w:val="nl-NL"/>
        </w:rPr>
        <w:t>De Europese laag</w:t>
      </w:r>
      <w:bookmarkEnd w:id="112"/>
    </w:p>
    <w:p w14:paraId="37B15CF0" w14:textId="77777777" w:rsidR="006B5103" w:rsidRDefault="006B5103">
      <w:pPr>
        <w:pStyle w:val="lead"/>
        <w:divId w:val="2114661829"/>
        <w:rPr>
          <w:lang w:val="nl-NL"/>
        </w:rPr>
      </w:pPr>
      <w:r>
        <w:rPr>
          <w:lang w:val="nl-NL"/>
        </w:rPr>
        <w:t>Wanneer de nationale wegen zijn uitgeput en de nationale politiek niet ingrijpt, blijft er nog één laag: Europa. In theorie zou Europa de oplossing moeten bieden voor een grensoverschrijdend probleem. In de praktijk blijkt dat de meeste Europese instanties geen mandaat hebben om een vastgelopen nationale keten te doorbreken. Maar er zijn in dit dossier twee uitzonderingen opgedoken. Twee openingen waar niemand op had gerekend.</w:t>
      </w:r>
    </w:p>
    <w:p w14:paraId="2A4724C0" w14:textId="77777777" w:rsidR="006B5103" w:rsidRDefault="006B5103">
      <w:pPr>
        <w:pStyle w:val="Kop3"/>
        <w:divId w:val="2114661829"/>
        <w:rPr>
          <w:rFonts w:eastAsia="Times New Roman"/>
          <w:lang w:val="nl-NL"/>
        </w:rPr>
      </w:pPr>
      <w:bookmarkStart w:id="113" w:name="_Toc242191290"/>
      <w:r>
        <w:rPr>
          <w:rFonts w:eastAsia="Times New Roman"/>
          <w:lang w:val="nl-NL"/>
        </w:rPr>
        <w:t>Deel A — De Europese en internationale laag</w:t>
      </w:r>
      <w:bookmarkEnd w:id="113"/>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56E630A"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659B11F" w14:textId="77777777" w:rsidR="006B5103" w:rsidRDefault="006B5103">
            <w:pPr>
              <w:pStyle w:val="Normaalweb"/>
              <w:spacing w:before="120"/>
              <w:jc w:val="center"/>
              <w:rPr>
                <w:sz w:val="21"/>
                <w:szCs w:val="21"/>
              </w:rPr>
            </w:pPr>
            <w:r>
              <w:rPr>
                <w:noProof/>
                <w:sz w:val="21"/>
                <w:szCs w:val="21"/>
              </w:rPr>
              <w:drawing>
                <wp:inline distT="0" distB="0" distL="0" distR="0" wp14:anchorId="79941A02" wp14:editId="4480A205">
                  <wp:extent cx="5715000" cy="2990850"/>
                  <wp:effectExtent l="0" t="0" r="0"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link="rId71">
                            <a:extLst>
                              <a:ext uri="{28A0092B-C50C-407E-A947-70E740481C1C}">
                                <a14:useLocalDpi xmlns:a14="http://schemas.microsoft.com/office/drawing/2010/main" val="0"/>
                              </a:ext>
                            </a:extLst>
                          </a:blip>
                          <a:srcRect/>
                          <a:stretch>
                            <a:fillRect/>
                          </a:stretch>
                        </pic:blipFill>
                        <pic:spPr bwMode="auto">
                          <a:xfrm>
                            <a:off x="0" y="0"/>
                            <a:ext cx="5715000" cy="2990850"/>
                          </a:xfrm>
                          <a:prstGeom prst="rect">
                            <a:avLst/>
                          </a:prstGeom>
                          <a:noFill/>
                          <a:ln>
                            <a:noFill/>
                          </a:ln>
                        </pic:spPr>
                      </pic:pic>
                    </a:graphicData>
                  </a:graphic>
                </wp:inline>
              </w:drawing>
            </w:r>
          </w:p>
          <w:p w14:paraId="39EC9DCC" w14:textId="77777777" w:rsidR="006B5103" w:rsidRDefault="006B5103">
            <w:pPr>
              <w:pStyle w:val="caption"/>
              <w:spacing w:after="120" w:afterAutospacing="0"/>
            </w:pPr>
            <w:r>
              <w:rPr>
                <w:rStyle w:val="Zwaar"/>
              </w:rPr>
              <w:t>Figuur XXII.1 — De Europese en internationale laag.</w:t>
            </w:r>
            <w:r>
              <w:t xml:space="preserve"> Elk met een eigen mandaat, elk met een eigen beperking. Twee uitzonderingen springen eruit: het Europees Parlement, waar petitie 1034/2026 openbaar is gemaakt en openstaat voor medeondertekenaars, en de Commissie, die al sinds 2022 meerdere inbreukklachten tegen België en Vlaanderen onderzoekt.</w:t>
            </w:r>
          </w:p>
        </w:tc>
      </w:tr>
    </w:tbl>
    <w:p w14:paraId="36DA5EDC" w14:textId="77777777" w:rsidR="006B5103" w:rsidRDefault="006B5103">
      <w:pPr>
        <w:pStyle w:val="Kop3"/>
        <w:divId w:val="2114661829"/>
        <w:rPr>
          <w:rFonts w:eastAsia="Times New Roman"/>
          <w:lang w:val="nl-NL"/>
        </w:rPr>
      </w:pPr>
      <w:bookmarkStart w:id="114" w:name="_Toc242191291"/>
      <w:r>
        <w:rPr>
          <w:rFonts w:eastAsia="Times New Roman"/>
          <w:lang w:val="nl-NL"/>
        </w:rPr>
        <w:t>Deel B — De cirkelverwijzing</w:t>
      </w:r>
      <w:bookmarkEnd w:id="114"/>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0467CF8"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275EACC" w14:textId="77777777" w:rsidR="006B5103" w:rsidRDefault="006B5103">
            <w:pPr>
              <w:pStyle w:val="Normaalweb"/>
              <w:spacing w:before="120"/>
              <w:jc w:val="center"/>
              <w:rPr>
                <w:sz w:val="21"/>
                <w:szCs w:val="21"/>
              </w:rPr>
            </w:pPr>
            <w:r>
              <w:rPr>
                <w:noProof/>
                <w:sz w:val="21"/>
                <w:szCs w:val="21"/>
              </w:rPr>
              <w:drawing>
                <wp:inline distT="0" distB="0" distL="0" distR="0" wp14:anchorId="17FEA249" wp14:editId="15D47276">
                  <wp:extent cx="5715000" cy="2667000"/>
                  <wp:effectExtent l="0" t="0" r="0" b="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link="rId72">
                            <a:extLst>
                              <a:ext uri="{28A0092B-C50C-407E-A947-70E740481C1C}">
                                <a14:useLocalDpi xmlns:a14="http://schemas.microsoft.com/office/drawing/2010/main" val="0"/>
                              </a:ext>
                            </a:extLst>
                          </a:blip>
                          <a:srcRect/>
                          <a:stretch>
                            <a:fillRect/>
                          </a:stretch>
                        </pic:blipFill>
                        <pic:spPr bwMode="auto">
                          <a:xfrm>
                            <a:off x="0" y="0"/>
                            <a:ext cx="5715000" cy="2667000"/>
                          </a:xfrm>
                          <a:prstGeom prst="rect">
                            <a:avLst/>
                          </a:prstGeom>
                          <a:noFill/>
                          <a:ln>
                            <a:noFill/>
                          </a:ln>
                        </pic:spPr>
                      </pic:pic>
                    </a:graphicData>
                  </a:graphic>
                </wp:inline>
              </w:drawing>
            </w:r>
          </w:p>
          <w:p w14:paraId="30BD7BE3" w14:textId="77777777" w:rsidR="006B5103" w:rsidRDefault="006B5103">
            <w:pPr>
              <w:pStyle w:val="caption"/>
              <w:spacing w:after="120" w:afterAutospacing="0"/>
            </w:pPr>
            <w:r>
              <w:rPr>
                <w:rStyle w:val="Zwaar"/>
              </w:rPr>
              <w:t>Figuur XXII.2 — De cirkelverwijzing.</w:t>
            </w:r>
            <w:r>
              <w:t xml:space="preserve"> </w:t>
            </w:r>
            <w:r>
              <w:t>De Europese instanties verwijzen naar elkaar. De Commissie wacht op de lidstaten. De lidstaten wachten op de Commissie. SOLVIT wacht op een duidelijke schending. De ELA wacht op een verzoek van de staten. Het Parlement kan geen nationale besluiten herzien. Het EHRM wacht op nationale rechtsgangen.</w:t>
            </w:r>
          </w:p>
        </w:tc>
      </w:tr>
    </w:tbl>
    <w:p w14:paraId="5B351733" w14:textId="77777777" w:rsidR="006B5103" w:rsidRDefault="006B5103">
      <w:pPr>
        <w:pStyle w:val="Kop3"/>
        <w:divId w:val="2114661829"/>
        <w:rPr>
          <w:rFonts w:eastAsia="Times New Roman"/>
          <w:lang w:val="nl-NL"/>
        </w:rPr>
      </w:pPr>
      <w:bookmarkStart w:id="115" w:name="_Toc242191292"/>
      <w:r>
        <w:rPr>
          <w:rFonts w:eastAsia="Times New Roman"/>
          <w:lang w:val="nl-NL"/>
        </w:rPr>
        <w:t>Deel C — De twee openingen</w:t>
      </w:r>
      <w:bookmarkEnd w:id="115"/>
    </w:p>
    <w:p w14:paraId="1EC7E8F4" w14:textId="77777777" w:rsidR="006B5103" w:rsidRDefault="006B5103">
      <w:pPr>
        <w:pStyle w:val="Normaalweb"/>
        <w:divId w:val="2114661829"/>
        <w:rPr>
          <w:lang w:val="nl-NL"/>
        </w:rPr>
      </w:pPr>
      <w:r>
        <w:rPr>
          <w:lang w:val="nl-NL"/>
        </w:rPr>
        <w:t>In deze ogenschijnlijk gesloten cirkel zijn in september 2026 twee openingen ontstaan waar niemand op had gerekend.</w:t>
      </w:r>
    </w:p>
    <w:p w14:paraId="7640A1EB" w14:textId="77777777" w:rsidR="006B5103" w:rsidRDefault="006B5103">
      <w:pPr>
        <w:pStyle w:val="Kop4"/>
        <w:divId w:val="2114661829"/>
        <w:rPr>
          <w:rFonts w:eastAsia="Times New Roman"/>
          <w:lang w:val="nl-NL"/>
        </w:rPr>
      </w:pPr>
      <w:r>
        <w:rPr>
          <w:rFonts w:eastAsia="Times New Roman"/>
          <w:lang w:val="nl-NL"/>
        </w:rPr>
        <w:t>Opening 1 — PETI 1034/2026 open voor medeondertekenaars</w:t>
      </w:r>
    </w:p>
    <w:p w14:paraId="2890A6F0" w14:textId="77777777" w:rsidR="006B5103" w:rsidRDefault="006B5103">
      <w:pPr>
        <w:pStyle w:val="Normaalweb"/>
        <w:divId w:val="2114661829"/>
        <w:rPr>
          <w:lang w:val="nl-NL"/>
        </w:rPr>
      </w:pPr>
      <w:r>
        <w:rPr>
          <w:lang w:val="nl-NL"/>
        </w:rPr>
        <w:t>Het Europees Parlement heeft petitie 1034/2026 in behandeling genomen. Op 25 september 2026 is de status gewijzigd naar "beschikbaar voor medeondertekenaars". Dat betekent dat de petitie een officiële parlementaire samenvatting heeft gekregen en openbaar is gemaakt op het petitieportaal van het Europees Parlement.</w:t>
      </w:r>
    </w:p>
    <w:p w14:paraId="506114B0" w14:textId="77777777" w:rsidR="006B5103" w:rsidRDefault="006B5103">
      <w:pPr>
        <w:pStyle w:val="Normaalweb"/>
        <w:divId w:val="2114661829"/>
        <w:rPr>
          <w:lang w:val="nl-NL"/>
        </w:rPr>
      </w:pPr>
      <w:r>
        <w:rPr>
          <w:lang w:val="nl-NL"/>
        </w:rPr>
        <w:t>De samenvatting is gepubliceerd onder de beleidsterreinen Interne markt, Werkgelegenheid, Gezondheid, Sociale zaken en Grondrechten, met vermelding van België en Nederland als betrokken lidstaten. De petitie verankert het structurele verzuim van beide lidstaten inzake het Vester-arrest, de weigering tot samentelling van verzekeringsperioden, en de verblijfsvereisten. En vraagt de Europese Commissie om een inbreukprocedure te starten.</w:t>
      </w:r>
    </w:p>
    <w:p w14:paraId="37637310" w14:textId="77777777" w:rsidR="006B5103" w:rsidRDefault="006B5103">
      <w:pPr>
        <w:pStyle w:val="Normaalweb"/>
        <w:divId w:val="2114661829"/>
        <w:rPr>
          <w:lang w:val="nl-NL"/>
        </w:rPr>
      </w:pPr>
      <w:r>
        <w:rPr>
          <w:lang w:val="nl-NL"/>
        </w:rPr>
        <w:t>Wat dit betekent: de petitie is niet langer een privéklacht in een postbus. Het is een formeel parlementair dossier dat door elke EU-burger kan worden ondertekend. Dat verandert de politieke status van het dossier.</w:t>
      </w:r>
    </w:p>
    <w:p w14:paraId="7D41FF74" w14:textId="77777777" w:rsidR="006B5103" w:rsidRDefault="006B5103">
      <w:pPr>
        <w:pStyle w:val="Kop4"/>
        <w:divId w:val="2114661829"/>
        <w:rPr>
          <w:rFonts w:eastAsia="Times New Roman"/>
          <w:lang w:val="nl-NL"/>
        </w:rPr>
      </w:pPr>
      <w:r>
        <w:rPr>
          <w:rFonts w:eastAsia="Times New Roman"/>
          <w:lang w:val="nl-NL"/>
        </w:rPr>
        <w:t>Opening 2 — De Commissie onderzoekt al sinds 2022</w:t>
      </w:r>
    </w:p>
    <w:p w14:paraId="67F212C1" w14:textId="77777777" w:rsidR="006B5103" w:rsidRDefault="006B5103">
      <w:pPr>
        <w:pStyle w:val="Normaalweb"/>
        <w:divId w:val="2114661829"/>
        <w:rPr>
          <w:lang w:val="nl-NL"/>
        </w:rPr>
      </w:pPr>
      <w:r>
        <w:rPr>
          <w:lang w:val="nl-NL"/>
        </w:rPr>
        <w:t>Op 25 september 2026 is een officieel schrijven van de Europese Commissie (DG EMPL) in het dossier gekomen. Wat daaruit blijkt, is dat de Commissie al sinds 2022 en 2023 meerdere inbreukklachten tegen België en Vlaanderen onderzoekt. Het gaat om klachten over de Vlaamse jobbonus, de studiefinanciering, en het Groeipakket — alle drie onder Verordening 492/2011 over het vrije verkeer van werknemers.</w:t>
      </w:r>
    </w:p>
    <w:p w14:paraId="4CC65BA4" w14:textId="77777777" w:rsidR="006B5103" w:rsidRDefault="006B5103">
      <w:pPr>
        <w:pStyle w:val="Normaalweb"/>
        <w:divId w:val="2114661829"/>
        <w:rPr>
          <w:lang w:val="nl-NL"/>
        </w:rPr>
      </w:pPr>
      <w:r>
        <w:rPr>
          <w:lang w:val="nl-NL"/>
        </w:rPr>
        <w:t>De Commissie heeft in al die jaren geen definitief besluit genomen. Dat betekent niet dat de klachten zijn afgewezen. Het betekent dat ze open zijn. En dat de klacht van dit gezin aansluit bij een reeks klachten die de Commissie al aan het onderzoeken is.</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D204B1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0B68123" w14:textId="77777777" w:rsidR="006B5103" w:rsidRDefault="006B5103">
            <w:pPr>
              <w:pStyle w:val="Normaalweb"/>
              <w:spacing w:before="120"/>
              <w:jc w:val="center"/>
              <w:rPr>
                <w:sz w:val="21"/>
                <w:szCs w:val="21"/>
              </w:rPr>
            </w:pPr>
            <w:r>
              <w:rPr>
                <w:noProof/>
                <w:sz w:val="21"/>
                <w:szCs w:val="21"/>
              </w:rPr>
              <w:drawing>
                <wp:inline distT="0" distB="0" distL="0" distR="0" wp14:anchorId="266B9DDB" wp14:editId="1237C7C7">
                  <wp:extent cx="5715000" cy="2190750"/>
                  <wp:effectExtent l="0" t="0" r="0" b="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link="rId73">
                            <a:extLst>
                              <a:ext uri="{28A0092B-C50C-407E-A947-70E740481C1C}">
                                <a14:useLocalDpi xmlns:a14="http://schemas.microsoft.com/office/drawing/2010/main" val="0"/>
                              </a:ext>
                            </a:extLst>
                          </a:blip>
                          <a:srcRect/>
                          <a:stretch>
                            <a:fillRect/>
                          </a:stretch>
                        </pic:blipFill>
                        <pic:spPr bwMode="auto">
                          <a:xfrm>
                            <a:off x="0" y="0"/>
                            <a:ext cx="5715000" cy="2190750"/>
                          </a:xfrm>
                          <a:prstGeom prst="rect">
                            <a:avLst/>
                          </a:prstGeom>
                          <a:noFill/>
                          <a:ln>
                            <a:noFill/>
                          </a:ln>
                        </pic:spPr>
                      </pic:pic>
                    </a:graphicData>
                  </a:graphic>
                </wp:inline>
              </w:drawing>
            </w:r>
          </w:p>
          <w:p w14:paraId="2484FE66" w14:textId="77777777" w:rsidR="006B5103" w:rsidRDefault="006B5103">
            <w:pPr>
              <w:pStyle w:val="caption"/>
              <w:spacing w:after="120" w:afterAutospacing="0"/>
            </w:pPr>
            <w:r>
              <w:rPr>
                <w:rStyle w:val="Zwaar"/>
              </w:rPr>
              <w:t>Figuur XXII.3 — De twee openingen.</w:t>
            </w:r>
            <w:r>
              <w:t xml:space="preserve"> Enerzijds is de petitie in het Europees Parlement openbaar en open voor medeondertekenaars. Anderzijds blijkt dat de Europese Commissie al sinds 2022 meerdere klachten tegen België en Vlaanderen onderzoekt zonder tot een besluit te komen. De klacht van dit gezin is geen geïsoleerd geval.</w:t>
            </w:r>
          </w:p>
        </w:tc>
      </w:tr>
    </w:tbl>
    <w:p w14:paraId="7AECDE55" w14:textId="77777777" w:rsidR="006B5103" w:rsidRDefault="006B5103">
      <w:pPr>
        <w:pStyle w:val="Kop3"/>
        <w:divId w:val="2114661829"/>
        <w:rPr>
          <w:rFonts w:eastAsia="Times New Roman"/>
          <w:lang w:val="nl-NL"/>
        </w:rPr>
      </w:pPr>
      <w:bookmarkStart w:id="116" w:name="_Toc242191293"/>
      <w:r>
        <w:rPr>
          <w:rFonts w:eastAsia="Times New Roman"/>
          <w:lang w:val="nl-NL"/>
        </w:rPr>
        <w:t>Deel D — De inbreukprocedure die niet komt</w:t>
      </w:r>
      <w:bookmarkEnd w:id="116"/>
    </w:p>
    <w:p w14:paraId="6C1A5930" w14:textId="77777777" w:rsidR="006B5103" w:rsidRDefault="006B5103">
      <w:pPr>
        <w:pStyle w:val="Normaalweb"/>
        <w:divId w:val="2114661829"/>
        <w:rPr>
          <w:lang w:val="nl-NL"/>
        </w:rPr>
      </w:pPr>
      <w:r>
        <w:rPr>
          <w:lang w:val="nl-NL"/>
        </w:rPr>
        <w:t>De Europese Commissie heeft één instrument dat bindend is: de inbreukprocedure. Wanneer een lidstaat het Unierecht structureel schendt, kan de Commissie een procedure starten die uiteindelijk leidt tot een uitspraak van het Hof van Justitie, en in theorie tot financiële sancties voor de lidstaat.</w:t>
      </w:r>
    </w:p>
    <w:p w14:paraId="49DC7F72" w14:textId="77777777" w:rsidR="006B5103" w:rsidRDefault="006B5103">
      <w:pPr>
        <w:pStyle w:val="Normaalweb"/>
        <w:divId w:val="2114661829"/>
        <w:rPr>
          <w:lang w:val="nl-NL"/>
        </w:rPr>
      </w:pPr>
      <w:r>
        <w:rPr>
          <w:lang w:val="nl-NL"/>
        </w:rPr>
        <w:t>In de praktijk is dit een politiek besluit, geen juridisch automatisme. De Commissie weegt af of een inbreukprocedure politiek opportuun is. In dit dossier is de klacht geregistreerd onder CPLT(2026)01544 en samengevoegd met andere klachten onder Ares(2026)5891709. De Commissie heeft nog geen inbreukprocedure gestart.</w:t>
      </w:r>
    </w:p>
    <w:p w14:paraId="2B121FBE" w14:textId="77777777" w:rsidR="006B5103" w:rsidRDefault="006B5103">
      <w:pPr>
        <w:pStyle w:val="Normaalweb"/>
        <w:divId w:val="2114661829"/>
        <w:rPr>
          <w:lang w:val="nl-NL"/>
        </w:rPr>
      </w:pPr>
      <w:r>
        <w:rPr>
          <w:lang w:val="nl-NL"/>
        </w:rPr>
        <w:t>De redenen waarom dat niet gebeurt, zijn structureel:</w:t>
      </w:r>
    </w:p>
    <w:p w14:paraId="71588201" w14:textId="77777777" w:rsidR="006B5103" w:rsidRDefault="006B5103">
      <w:pPr>
        <w:numPr>
          <w:ilvl w:val="0"/>
          <w:numId w:val="22"/>
        </w:numPr>
        <w:spacing w:before="100" w:beforeAutospacing="1" w:after="100" w:afterAutospacing="1"/>
        <w:divId w:val="2114661829"/>
        <w:rPr>
          <w:rFonts w:eastAsia="Times New Roman"/>
          <w:lang w:val="nl-NL"/>
        </w:rPr>
      </w:pPr>
      <w:r>
        <w:rPr>
          <w:rFonts w:eastAsia="Times New Roman"/>
          <w:lang w:val="nl-NL"/>
        </w:rPr>
        <w:t>De Commissie ontvangt duizenden klachten per jaar. Ze kan niet voor elke klacht een procedure starten.</w:t>
      </w:r>
    </w:p>
    <w:p w14:paraId="6B80533A" w14:textId="77777777" w:rsidR="006B5103" w:rsidRDefault="006B5103">
      <w:pPr>
        <w:numPr>
          <w:ilvl w:val="0"/>
          <w:numId w:val="22"/>
        </w:numPr>
        <w:spacing w:before="100" w:beforeAutospacing="1" w:after="100" w:afterAutospacing="1"/>
        <w:divId w:val="2114661829"/>
        <w:rPr>
          <w:rFonts w:eastAsia="Times New Roman"/>
          <w:lang w:val="nl-NL"/>
        </w:rPr>
      </w:pPr>
      <w:r>
        <w:rPr>
          <w:rFonts w:eastAsia="Times New Roman"/>
          <w:lang w:val="nl-NL"/>
        </w:rPr>
        <w:t>De coördinatie van sociale zekerheid is formeel een gedeelde bevoegdheid. Lidstaten hebben een ruime beoordelingsmarge.</w:t>
      </w:r>
    </w:p>
    <w:p w14:paraId="3505C372" w14:textId="77777777" w:rsidR="006B5103" w:rsidRDefault="006B5103">
      <w:pPr>
        <w:numPr>
          <w:ilvl w:val="0"/>
          <w:numId w:val="22"/>
        </w:numPr>
        <w:spacing w:before="100" w:beforeAutospacing="1" w:after="100" w:afterAutospacing="1"/>
        <w:divId w:val="2114661829"/>
        <w:rPr>
          <w:rFonts w:eastAsia="Times New Roman"/>
          <w:lang w:val="nl-NL"/>
        </w:rPr>
      </w:pPr>
      <w:r>
        <w:rPr>
          <w:rFonts w:eastAsia="Times New Roman"/>
          <w:lang w:val="nl-NL"/>
        </w:rPr>
        <w:t>Een inbreukprocedure duurt gemiddeld vier tot zes jaar voordat een uitspraak volgt.</w:t>
      </w:r>
    </w:p>
    <w:p w14:paraId="3927AB21" w14:textId="77777777" w:rsidR="006B5103" w:rsidRDefault="006B5103">
      <w:pPr>
        <w:numPr>
          <w:ilvl w:val="0"/>
          <w:numId w:val="22"/>
        </w:numPr>
        <w:spacing w:before="100" w:beforeAutospacing="1" w:after="100" w:afterAutospacing="1"/>
        <w:divId w:val="2114661829"/>
        <w:rPr>
          <w:rFonts w:eastAsia="Times New Roman"/>
          <w:lang w:val="nl-NL"/>
        </w:rPr>
      </w:pPr>
      <w:r>
        <w:rPr>
          <w:rFonts w:eastAsia="Times New Roman"/>
          <w:lang w:val="nl-NL"/>
        </w:rPr>
        <w:t>Een uitspraak stelt de schending vast, maar dwingt niet altijd tot een oplossing voor het individuele dossier.</w:t>
      </w:r>
    </w:p>
    <w:p w14:paraId="41DCEC1A" w14:textId="77777777" w:rsidR="006B5103" w:rsidRDefault="006B5103">
      <w:pPr>
        <w:pStyle w:val="Normaalweb"/>
        <w:divId w:val="2114661829"/>
        <w:rPr>
          <w:lang w:val="nl-NL"/>
        </w:rPr>
      </w:pPr>
      <w:r>
        <w:rPr>
          <w:lang w:val="nl-NL"/>
        </w:rPr>
        <w:t>Wat dit betekent voor de burger: zelfs wanneer de Commissie zou ingrijpen, zou de procedure jaren duren. En zelfs wanneer het Hof zou uitspreken dat er een schending is, zou dat het individuele dossier niet meteen oplossen.</w:t>
      </w:r>
    </w:p>
    <w:p w14:paraId="535A767D" w14:textId="77777777" w:rsidR="006B5103" w:rsidRDefault="006B5103">
      <w:pPr>
        <w:pStyle w:val="Kop3"/>
        <w:divId w:val="2114661829"/>
        <w:rPr>
          <w:rFonts w:eastAsia="Times New Roman"/>
          <w:lang w:val="nl-NL"/>
        </w:rPr>
      </w:pPr>
      <w:bookmarkStart w:id="117" w:name="_Toc242191294"/>
      <w:r>
        <w:rPr>
          <w:rFonts w:eastAsia="Times New Roman"/>
          <w:lang w:val="nl-NL"/>
        </w:rPr>
        <w:t>Deel E — De Europese tegenstrijdigheid</w:t>
      </w:r>
      <w:bookmarkEnd w:id="117"/>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D599F0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0807978" w14:textId="77777777" w:rsidR="006B5103" w:rsidRDefault="006B5103">
            <w:pPr>
              <w:pStyle w:val="Normaalweb"/>
              <w:spacing w:before="120"/>
              <w:jc w:val="center"/>
              <w:rPr>
                <w:sz w:val="21"/>
                <w:szCs w:val="21"/>
              </w:rPr>
            </w:pPr>
            <w:r>
              <w:rPr>
                <w:noProof/>
                <w:sz w:val="21"/>
                <w:szCs w:val="21"/>
              </w:rPr>
              <w:drawing>
                <wp:inline distT="0" distB="0" distL="0" distR="0" wp14:anchorId="7F1585E9" wp14:editId="00F7C589">
                  <wp:extent cx="5715000" cy="2000250"/>
                  <wp:effectExtent l="0" t="0" r="0" b="0"/>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link="rId74">
                            <a:extLst>
                              <a:ext uri="{28A0092B-C50C-407E-A947-70E740481C1C}">
                                <a14:useLocalDpi xmlns:a14="http://schemas.microsoft.com/office/drawing/2010/main" val="0"/>
                              </a:ext>
                            </a:extLst>
                          </a:blip>
                          <a:srcRect/>
                          <a:stretch>
                            <a:fillRect/>
                          </a:stretch>
                        </pic:blipFill>
                        <pic:spPr bwMode="auto">
                          <a:xfrm>
                            <a:off x="0" y="0"/>
                            <a:ext cx="5715000" cy="2000250"/>
                          </a:xfrm>
                          <a:prstGeom prst="rect">
                            <a:avLst/>
                          </a:prstGeom>
                          <a:noFill/>
                          <a:ln>
                            <a:noFill/>
                          </a:ln>
                        </pic:spPr>
                      </pic:pic>
                    </a:graphicData>
                  </a:graphic>
                </wp:inline>
              </w:drawing>
            </w:r>
          </w:p>
          <w:p w14:paraId="6BC0C52F" w14:textId="77777777" w:rsidR="006B5103" w:rsidRDefault="006B5103">
            <w:pPr>
              <w:pStyle w:val="caption"/>
              <w:spacing w:after="120" w:afterAutospacing="0"/>
            </w:pPr>
            <w:r>
              <w:rPr>
                <w:rStyle w:val="Zwaar"/>
              </w:rPr>
              <w:t>Figuur XXII.4 — De Europese tegenstrijdigheid.</w:t>
            </w:r>
            <w:r>
              <w:t xml:space="preserve"> De EU coördineert de sociale zekerheid, maar harmoniseert niet. Zolang dat zo blijft, hangt elke oplossing af van de nationale overheden.</w:t>
            </w:r>
          </w:p>
        </w:tc>
      </w:tr>
    </w:tbl>
    <w:p w14:paraId="52377CAE" w14:textId="77777777" w:rsidR="006B5103" w:rsidRDefault="006B5103">
      <w:pPr>
        <w:pStyle w:val="Kop3"/>
        <w:divId w:val="2114661829"/>
        <w:rPr>
          <w:rFonts w:eastAsia="Times New Roman"/>
          <w:lang w:val="nl-NL"/>
        </w:rPr>
      </w:pPr>
      <w:bookmarkStart w:id="118" w:name="_Toc242191295"/>
      <w:r>
        <w:rPr>
          <w:rFonts w:eastAsia="Times New Roman"/>
          <w:lang w:val="nl-NL"/>
        </w:rPr>
        <w:t>Wat dit hoofdstuk vaststelt</w:t>
      </w:r>
      <w:bookmarkEnd w:id="118"/>
    </w:p>
    <w:p w14:paraId="35B6F993" w14:textId="77777777" w:rsidR="006B5103" w:rsidRDefault="006B5103">
      <w:pPr>
        <w:pStyle w:val="Normaalweb"/>
        <w:divId w:val="2114661829"/>
        <w:rPr>
          <w:lang w:val="nl-NL"/>
        </w:rPr>
      </w:pPr>
      <w:r>
        <w:rPr>
          <w:lang w:val="nl-NL"/>
        </w:rPr>
        <w:t>De Europese laag heeft de architectuur geschapen waarin grensoverschrijdende sociale zekerheid geregeld zou moeten zijn. Ze heeft de regels vastgesteld, de bemiddelingsnetwerken opgericht, de coördinatie-instellingen in het leven geroepen. En ze heeft het toezicht op de naleving van de regels aan zichzelf toevertrouwd.</w:t>
      </w:r>
    </w:p>
    <w:p w14:paraId="4791587D" w14:textId="77777777" w:rsidR="006B5103" w:rsidRDefault="006B5103">
      <w:pPr>
        <w:pStyle w:val="Normaalweb"/>
        <w:divId w:val="2114661829"/>
        <w:rPr>
          <w:lang w:val="nl-NL"/>
        </w:rPr>
      </w:pPr>
      <w:r>
        <w:rPr>
          <w:lang w:val="nl-NL"/>
        </w:rPr>
        <w:t>Maar de Europese laag heeft nagelaten de architectuur ook af te dwingen. De meeste instanties kunnen alleen kijken, bemiddelen, rapporteren — zonder dwingende macht. En de weg naar de rechter is lang.</w:t>
      </w:r>
    </w:p>
    <w:p w14:paraId="2DFC9651" w14:textId="77777777" w:rsidR="006B5103" w:rsidRDefault="006B5103">
      <w:pPr>
        <w:pStyle w:val="Normaalweb"/>
        <w:divId w:val="2114661829"/>
        <w:rPr>
          <w:lang w:val="nl-NL"/>
        </w:rPr>
      </w:pPr>
      <w:r>
        <w:rPr>
          <w:lang w:val="nl-NL"/>
        </w:rPr>
        <w:t>Twee dingen vallen op. De petitie in het Europees Parlement is openbaar geworden en staat open voor medeondertekenaars. Dat verandert de politieke status van het dossier: het is niet langer een privéklacht. En de Europese Commissie onderzoekt al sinds 2022 meerdere inbreukklachten tegen België en Vlaanderen. De klacht van dit gezin sluit aan bij een reeks die al loopt.</w:t>
      </w:r>
    </w:p>
    <w:p w14:paraId="4E1F7246" w14:textId="77777777" w:rsidR="006B5103" w:rsidRDefault="006B5103">
      <w:pPr>
        <w:pStyle w:val="Normaalweb"/>
        <w:divId w:val="2114661829"/>
        <w:rPr>
          <w:lang w:val="nl-NL"/>
        </w:rPr>
      </w:pPr>
      <w:r>
        <w:rPr>
          <w:lang w:val="nl-NL"/>
        </w:rPr>
        <w:t xml:space="preserve">Wat overblijft, is een burger die op elk Europees loket heeft aangeklopt en op elk loket dezelfde boodschap krijgt: </w:t>
      </w:r>
      <w:r>
        <w:rPr>
          <w:rStyle w:val="Nadruk"/>
          <w:lang w:val="nl-NL"/>
        </w:rPr>
        <w:t>wij zijn niet bevoegd voor uw individuele geval.</w:t>
      </w:r>
      <w:r>
        <w:rPr>
          <w:lang w:val="nl-NL"/>
        </w:rPr>
        <w:t xml:space="preserve"> Maar waar de deuren gesloten bleven, zijn er twee op een kier gegaan. Voor een dossier dat tien jaar lang door niemand werd gehoord, is dat niet niets.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0363749"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76FC0E5"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de Europese weg is lang, maar niet zonder openingen. </w:t>
            </w:r>
          </w:p>
          <w:p w14:paraId="0547E664" w14:textId="77777777" w:rsidR="006B5103" w:rsidRDefault="006B5103">
            <w:pPr>
              <w:numPr>
                <w:ilvl w:val="0"/>
                <w:numId w:val="23"/>
              </w:numPr>
              <w:spacing w:before="100" w:beforeAutospacing="1" w:after="100" w:afterAutospacing="1"/>
              <w:rPr>
                <w:rFonts w:eastAsia="Times New Roman"/>
                <w:szCs w:val="22"/>
              </w:rPr>
            </w:pPr>
            <w:r>
              <w:rPr>
                <w:rStyle w:val="Nadruk"/>
                <w:rFonts w:eastAsia="Times New Roman"/>
                <w:szCs w:val="22"/>
              </w:rPr>
              <w:t>Dien een petitie in bij het Europees Parlement (PETI).</w:t>
            </w:r>
            <w:r>
              <w:rPr>
                <w:rFonts w:eastAsia="Times New Roman"/>
                <w:szCs w:val="22"/>
              </w:rPr>
              <w:t xml:space="preserve"> </w:t>
            </w:r>
            <w:r>
              <w:rPr>
                <w:rFonts w:eastAsia="Times New Roman"/>
                <w:szCs w:val="22"/>
              </w:rPr>
              <w:t>Eenmaal ontvankelijk en openbaar, wordt de petitie zichtbaar op het petitieportaal. U kunt andere burgers vragen om mede te ondertekenen. Dat verandert de politieke status.</w:t>
            </w:r>
          </w:p>
          <w:p w14:paraId="325E2B99" w14:textId="77777777" w:rsidR="006B5103" w:rsidRDefault="006B5103">
            <w:pPr>
              <w:numPr>
                <w:ilvl w:val="0"/>
                <w:numId w:val="23"/>
              </w:numPr>
              <w:spacing w:before="100" w:beforeAutospacing="1" w:after="100" w:afterAutospacing="1"/>
              <w:rPr>
                <w:rFonts w:eastAsia="Times New Roman"/>
                <w:szCs w:val="22"/>
              </w:rPr>
            </w:pPr>
            <w:r>
              <w:rPr>
                <w:rStyle w:val="Nadruk"/>
                <w:rFonts w:eastAsia="Times New Roman"/>
                <w:szCs w:val="22"/>
              </w:rPr>
              <w:t>Registreer de klacht bij de Commissie (DG EMPL).</w:t>
            </w:r>
            <w:r>
              <w:rPr>
                <w:rFonts w:eastAsia="Times New Roman"/>
                <w:szCs w:val="22"/>
              </w:rPr>
              <w:t xml:space="preserve"> Elke klacht wordt geregistreerd. Meerdere klachten over hetzelfde thema kunnen worden samengevoegd tot een dossier.</w:t>
            </w:r>
          </w:p>
          <w:p w14:paraId="61BB58EF" w14:textId="77777777" w:rsidR="006B5103" w:rsidRDefault="006B5103">
            <w:pPr>
              <w:numPr>
                <w:ilvl w:val="0"/>
                <w:numId w:val="23"/>
              </w:numPr>
              <w:spacing w:before="100" w:beforeAutospacing="1" w:after="100" w:afterAutospacing="1"/>
              <w:rPr>
                <w:rFonts w:eastAsia="Times New Roman"/>
                <w:szCs w:val="22"/>
              </w:rPr>
            </w:pPr>
            <w:r>
              <w:rPr>
                <w:rStyle w:val="Nadruk"/>
                <w:rFonts w:eastAsia="Times New Roman"/>
                <w:szCs w:val="22"/>
              </w:rPr>
              <w:t>Wees voorzichtig met het EHRM.</w:t>
            </w:r>
            <w:r>
              <w:rPr>
                <w:rFonts w:eastAsia="Times New Roman"/>
                <w:szCs w:val="22"/>
              </w:rPr>
              <w:t xml:space="preserve"> Het Hof verklaart klachten onontvankelijk zolang nationale rechtsmiddelen niet zijn uitgeput. Eerst nationaal procederen.</w:t>
            </w:r>
          </w:p>
          <w:p w14:paraId="6B4FA62F" w14:textId="77777777" w:rsidR="006B5103" w:rsidRDefault="006B5103">
            <w:pPr>
              <w:numPr>
                <w:ilvl w:val="0"/>
                <w:numId w:val="23"/>
              </w:numPr>
              <w:spacing w:before="100" w:beforeAutospacing="1" w:after="100" w:afterAutospacing="1"/>
              <w:rPr>
                <w:rFonts w:eastAsia="Times New Roman"/>
                <w:szCs w:val="22"/>
              </w:rPr>
            </w:pPr>
            <w:r>
              <w:rPr>
                <w:rStyle w:val="Nadruk"/>
                <w:rFonts w:eastAsia="Times New Roman"/>
                <w:szCs w:val="22"/>
              </w:rPr>
              <w:t>Gebruik de ELA niet rechtstreeks.</w:t>
            </w:r>
            <w:r>
              <w:rPr>
                <w:rFonts w:eastAsia="Times New Roman"/>
                <w:szCs w:val="22"/>
              </w:rPr>
              <w:t xml:space="preserve"> De ELA bemiddelt alleen op verzoek van lidstaten. Het gaat via SOLVIT, als dat orgaan tenminste wil doorverwijzen — wat in dit dossier niet gebeurde.</w:t>
            </w:r>
          </w:p>
          <w:p w14:paraId="69A73F59" w14:textId="77777777" w:rsidR="006B5103" w:rsidRDefault="006B5103">
            <w:pPr>
              <w:spacing w:after="0"/>
              <w:rPr>
                <w:rFonts w:eastAsia="Times New Roman"/>
                <w:szCs w:val="22"/>
              </w:rPr>
            </w:pPr>
            <w:r>
              <w:rPr>
                <w:rFonts w:eastAsia="Times New Roman"/>
                <w:szCs w:val="22"/>
              </w:rPr>
              <w:t xml:space="preserve">De Europese weg is er. Twee openingen zijn er ook. Het is aan de burger om ze te gebruiken. </w:t>
            </w:r>
          </w:p>
        </w:tc>
      </w:tr>
    </w:tbl>
    <w:p w14:paraId="4AF3D252" w14:textId="77777777" w:rsidR="006B5103" w:rsidRDefault="006B5103">
      <w:pPr>
        <w:pStyle w:val="noot"/>
        <w:spacing w:after="120" w:afterAutospacing="0"/>
        <w:divId w:val="2114661829"/>
        <w:rPr>
          <w:lang w:val="nl-NL"/>
        </w:rPr>
      </w:pPr>
      <w:r>
        <w:rPr>
          <w:lang w:val="nl-NL"/>
        </w:rPr>
        <w:t>Alle organisaties in dit hoofdstuk zijn rechtspersonen. De wettelijke basis van de verschillende procedures is gebaseerd op de Verdragen van de Europese Unie (art. 258 en 259 VWEU voor de inbreukprocedure), de reglementen van het Europees Parlement (PETI-procedure) en het Statuut van de Raad van Europa (EHRM). De informatie over de klachtprocedures is gebaseerd op Document B. Dit hoofdstuk is geen juridisch advies.</w:t>
      </w:r>
    </w:p>
    <w:p w14:paraId="644F8700" w14:textId="77777777" w:rsidR="006B5103" w:rsidRDefault="006B5103">
      <w:pPr>
        <w:pStyle w:val="marker"/>
        <w:ind w:left="800" w:right="800"/>
        <w:divId w:val="2114661829"/>
        <w:rPr>
          <w:lang w:val="nl-NL"/>
        </w:rPr>
      </w:pPr>
      <w:r>
        <w:br w:type="page"/>
      </w:r>
    </w:p>
    <w:p w14:paraId="3928FD32" w14:textId="77777777" w:rsidR="006B5103" w:rsidRDefault="006B5103">
      <w:pPr>
        <w:pStyle w:val="Kop1"/>
        <w:divId w:val="2114661829"/>
        <w:rPr>
          <w:rFonts w:eastAsia="Times New Roman"/>
          <w:lang w:val="nl-NL"/>
        </w:rPr>
      </w:pPr>
      <w:bookmarkStart w:id="119" w:name="_Toc242191296"/>
      <w:r>
        <w:rPr>
          <w:rFonts w:eastAsia="Times New Roman"/>
          <w:lang w:val="nl-NL"/>
        </w:rPr>
        <w:t>VI. Wie toekijkt</w:t>
      </w:r>
      <w:bookmarkEnd w:id="119"/>
    </w:p>
    <w:p w14:paraId="74862979" w14:textId="77777777" w:rsidR="006B5103" w:rsidRDefault="006B5103">
      <w:pPr>
        <w:pStyle w:val="Kop2"/>
        <w:divId w:val="2114661829"/>
        <w:rPr>
          <w:rFonts w:eastAsia="Times New Roman"/>
          <w:lang w:val="nl-NL"/>
        </w:rPr>
      </w:pPr>
      <w:bookmarkStart w:id="120" w:name="_Toc242191297"/>
      <w:r>
        <w:rPr>
          <w:rFonts w:eastAsia="Times New Roman"/>
          <w:lang w:val="nl-NL"/>
        </w:rPr>
        <w:t>De controle- en bemiddelingslaag</w:t>
      </w:r>
      <w:bookmarkEnd w:id="120"/>
    </w:p>
    <w:p w14:paraId="59F1FDA4" w14:textId="77777777" w:rsidR="006B5103" w:rsidRDefault="006B5103">
      <w:pPr>
        <w:pStyle w:val="lead"/>
        <w:divId w:val="2114661829"/>
        <w:rPr>
          <w:lang w:val="nl-NL"/>
        </w:rPr>
      </w:pPr>
      <w:r>
        <w:rPr>
          <w:lang w:val="nl-NL"/>
        </w:rPr>
        <w:t>Wanneer een uitvoeringsinstantie weigert, bestaat er een laag die geacht wordt in te grijpen: de ombudsmannen, de bemiddelingsdiensten, de Europese netwerken. In dit dossier is die laag aangesproken. Ze heeft geluisterd, onderzocht, en op elk niveau vastgesteld dat ze niet kan ingrijpen. Aan het einde blijkt dat de zwaarste bemiddelingsroute — de Europese Arbeidsautoriteit — niet eens toegankelijk is.</w:t>
      </w:r>
    </w:p>
    <w:p w14:paraId="339C71FE" w14:textId="77777777" w:rsidR="006B5103" w:rsidRDefault="006B5103">
      <w:pPr>
        <w:pStyle w:val="Kop3"/>
        <w:divId w:val="2114661829"/>
        <w:rPr>
          <w:rFonts w:eastAsia="Times New Roman"/>
          <w:lang w:val="nl-NL"/>
        </w:rPr>
      </w:pPr>
      <w:bookmarkStart w:id="121" w:name="_Toc242191298"/>
      <w:r>
        <w:rPr>
          <w:rFonts w:eastAsia="Times New Roman"/>
          <w:lang w:val="nl-NL"/>
        </w:rPr>
        <w:t>Deel A — De vier bemiddelaars</w:t>
      </w:r>
      <w:bookmarkEnd w:id="121"/>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7A2CE4E"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3CDE8F4" w14:textId="77777777" w:rsidR="006B5103" w:rsidRDefault="006B5103">
            <w:pPr>
              <w:pStyle w:val="Normaalweb"/>
              <w:spacing w:before="120"/>
              <w:jc w:val="center"/>
              <w:rPr>
                <w:sz w:val="21"/>
                <w:szCs w:val="21"/>
              </w:rPr>
            </w:pPr>
            <w:r>
              <w:rPr>
                <w:noProof/>
                <w:sz w:val="21"/>
                <w:szCs w:val="21"/>
              </w:rPr>
              <w:drawing>
                <wp:inline distT="0" distB="0" distL="0" distR="0" wp14:anchorId="7BBE844D" wp14:editId="3C61BAA3">
                  <wp:extent cx="5715000" cy="2952750"/>
                  <wp:effectExtent l="0" t="0" r="0" b="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link="rId75">
                            <a:extLst>
                              <a:ext uri="{28A0092B-C50C-407E-A947-70E740481C1C}">
                                <a14:useLocalDpi xmlns:a14="http://schemas.microsoft.com/office/drawing/2010/main" val="0"/>
                              </a:ext>
                            </a:extLst>
                          </a:blip>
                          <a:srcRect/>
                          <a:stretch>
                            <a:fillRect/>
                          </a:stretch>
                        </pic:blipFill>
                        <pic:spPr bwMode="auto">
                          <a:xfrm>
                            <a:off x="0" y="0"/>
                            <a:ext cx="5715000" cy="2952750"/>
                          </a:xfrm>
                          <a:prstGeom prst="rect">
                            <a:avLst/>
                          </a:prstGeom>
                          <a:noFill/>
                          <a:ln>
                            <a:noFill/>
                          </a:ln>
                        </pic:spPr>
                      </pic:pic>
                    </a:graphicData>
                  </a:graphic>
                </wp:inline>
              </w:drawing>
            </w:r>
          </w:p>
          <w:p w14:paraId="5D6E9DA6" w14:textId="77777777" w:rsidR="006B5103" w:rsidRDefault="006B5103">
            <w:pPr>
              <w:pStyle w:val="caption"/>
              <w:spacing w:after="120" w:afterAutospacing="0"/>
            </w:pPr>
            <w:r>
              <w:rPr>
                <w:rStyle w:val="Zwaar"/>
              </w:rPr>
              <w:t>Figuur XV.1 — Vier bemiddelaars, vier beperkingen.</w:t>
            </w:r>
            <w:r>
              <w:t xml:space="preserve"> De Federale Ombudsman kan tussenkomen in lopende zaken, maar niet dwingen. De Nationale Ombudsman kan niet tussenkomen zolang er een bestuursrechtelijke voorziening openstaat. SOLVIT kan niet dwingen en sluit bij lopende procedures. Het GIP kan alleen informeren en weigert een systeemfout te melden.</w:t>
            </w:r>
          </w:p>
        </w:tc>
      </w:tr>
    </w:tbl>
    <w:p w14:paraId="3BD180D8" w14:textId="77777777" w:rsidR="006B5103" w:rsidRDefault="006B5103">
      <w:pPr>
        <w:pStyle w:val="Kop3"/>
        <w:divId w:val="2114661829"/>
        <w:rPr>
          <w:rFonts w:eastAsia="Times New Roman"/>
          <w:lang w:val="nl-NL"/>
        </w:rPr>
      </w:pPr>
      <w:bookmarkStart w:id="122" w:name="_Toc242191299"/>
      <w:r>
        <w:rPr>
          <w:rFonts w:eastAsia="Times New Roman"/>
          <w:lang w:val="nl-NL"/>
        </w:rPr>
        <w:t>Deel B — Het verschil tussen de twee ombudsmannen</w:t>
      </w:r>
      <w:bookmarkEnd w:id="122"/>
    </w:p>
    <w:p w14:paraId="6F48B7B5" w14:textId="77777777" w:rsidR="006B5103" w:rsidRDefault="006B5103">
      <w:pPr>
        <w:pStyle w:val="Normaalweb"/>
        <w:divId w:val="2114661829"/>
        <w:rPr>
          <w:lang w:val="nl-NL"/>
        </w:rPr>
      </w:pPr>
      <w:r>
        <w:rPr>
          <w:lang w:val="nl-NL"/>
        </w:rPr>
        <w:t>De Belgische en Nederlandse ombudsman lijken op elkaar, maar hun wettelijke kaders zijn fundamenteel verschillend.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556CB4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3BC8168" w14:textId="77777777" w:rsidR="006B5103" w:rsidRDefault="006B5103">
            <w:pPr>
              <w:pStyle w:val="Normaalweb"/>
              <w:spacing w:before="120"/>
              <w:jc w:val="center"/>
              <w:rPr>
                <w:sz w:val="21"/>
                <w:szCs w:val="21"/>
              </w:rPr>
            </w:pPr>
            <w:r>
              <w:rPr>
                <w:noProof/>
                <w:sz w:val="21"/>
                <w:szCs w:val="21"/>
              </w:rPr>
              <w:drawing>
                <wp:inline distT="0" distB="0" distL="0" distR="0" wp14:anchorId="626F6282" wp14:editId="0C41DCF4">
                  <wp:extent cx="5715000" cy="1974850"/>
                  <wp:effectExtent l="0" t="0" r="0" b="6350"/>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link="rId76">
                            <a:extLst>
                              <a:ext uri="{28A0092B-C50C-407E-A947-70E740481C1C}">
                                <a14:useLocalDpi xmlns:a14="http://schemas.microsoft.com/office/drawing/2010/main" val="0"/>
                              </a:ext>
                            </a:extLst>
                          </a:blip>
                          <a:srcRect/>
                          <a:stretch>
                            <a:fillRect/>
                          </a:stretch>
                        </pic:blipFill>
                        <pic:spPr bwMode="auto">
                          <a:xfrm>
                            <a:off x="0" y="0"/>
                            <a:ext cx="5715000" cy="1974850"/>
                          </a:xfrm>
                          <a:prstGeom prst="rect">
                            <a:avLst/>
                          </a:prstGeom>
                          <a:noFill/>
                          <a:ln>
                            <a:noFill/>
                          </a:ln>
                        </pic:spPr>
                      </pic:pic>
                    </a:graphicData>
                  </a:graphic>
                </wp:inline>
              </w:drawing>
            </w:r>
          </w:p>
          <w:p w14:paraId="01BD46EE" w14:textId="77777777" w:rsidR="006B5103" w:rsidRDefault="006B5103">
            <w:pPr>
              <w:pStyle w:val="caption"/>
              <w:spacing w:after="120" w:afterAutospacing="0"/>
            </w:pPr>
            <w:r>
              <w:rPr>
                <w:rStyle w:val="Zwaar"/>
              </w:rPr>
              <w:t>Figuur XV.2 — De twee ombudsmannen.</w:t>
            </w:r>
            <w:r>
              <w:t xml:space="preserve"> De Federale Ombudsman kan tussenkomen in lopende administratieve zaken. De Nationale Ombudsman is wettelijk uitgesloten van tussenkomst zolang er een bestuursrechtelijke voorziening openstaat.</w:t>
            </w:r>
          </w:p>
        </w:tc>
      </w:tr>
    </w:tbl>
    <w:p w14:paraId="7DC0A906" w14:textId="77777777" w:rsidR="006B5103" w:rsidRDefault="006B5103">
      <w:pPr>
        <w:pStyle w:val="Kop3"/>
        <w:divId w:val="2114661829"/>
        <w:rPr>
          <w:rFonts w:eastAsia="Times New Roman"/>
          <w:lang w:val="nl-NL"/>
        </w:rPr>
      </w:pPr>
      <w:bookmarkStart w:id="123" w:name="_Toc242191300"/>
      <w:r>
        <w:rPr>
          <w:rFonts w:eastAsia="Times New Roman"/>
          <w:lang w:val="nl-NL"/>
        </w:rPr>
        <w:t>Deel C — De cirkelverwijzing tussen de twee SOLVIT-centra</w:t>
      </w:r>
      <w:bookmarkEnd w:id="123"/>
    </w:p>
    <w:p w14:paraId="63213A4C" w14:textId="77777777" w:rsidR="006B5103" w:rsidRDefault="006B5103">
      <w:pPr>
        <w:pStyle w:val="Normaalweb"/>
        <w:divId w:val="2114661829"/>
        <w:rPr>
          <w:lang w:val="nl-NL"/>
        </w:rPr>
      </w:pPr>
      <w:r>
        <w:rPr>
          <w:lang w:val="nl-NL"/>
        </w:rPr>
        <w:t>In de Europese architectuur is SOLVIT het orgaan dat moet bemiddelen wanneer nationale overheidsdiensten het EU-recht schenden. In dit dossier zijn twee SOLVIT-centra betrokken: SOLVIT Nederland en SOLVIT België. Wat volgt is een patroon van wederzijdse doorverwijzing — tot beide centra zich terugtrekken.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0CD402E"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CC65DD7" w14:textId="77777777" w:rsidR="006B5103" w:rsidRDefault="006B5103">
            <w:pPr>
              <w:pStyle w:val="Normaalweb"/>
              <w:spacing w:before="120"/>
              <w:jc w:val="center"/>
              <w:rPr>
                <w:sz w:val="21"/>
                <w:szCs w:val="21"/>
              </w:rPr>
            </w:pPr>
            <w:r>
              <w:rPr>
                <w:noProof/>
                <w:sz w:val="21"/>
                <w:szCs w:val="21"/>
              </w:rPr>
              <w:drawing>
                <wp:inline distT="0" distB="0" distL="0" distR="0" wp14:anchorId="680030E7" wp14:editId="55C6447F">
                  <wp:extent cx="5715000" cy="2286000"/>
                  <wp:effectExtent l="0" t="0" r="0" b="0"/>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link="rId77">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p w14:paraId="310AA79F" w14:textId="77777777" w:rsidR="006B5103" w:rsidRDefault="006B5103">
            <w:pPr>
              <w:pStyle w:val="caption"/>
              <w:spacing w:after="120" w:afterAutospacing="0"/>
            </w:pPr>
            <w:r>
              <w:rPr>
                <w:rStyle w:val="Zwaar"/>
              </w:rPr>
              <w:t>Figuur XV.3 — De cirkelverwijzing tussen SOLVIT NL en SOLVIT BE.</w:t>
            </w:r>
            <w:r>
              <w:t xml:space="preserve"> </w:t>
            </w:r>
            <w:r>
              <w:t>Beide centra verwijzen naar elkaar. En wanneer de patiënt vraagt om doorverwijzing naar de Europese Arbeidsautoriteit, weigeren beide: SOLVIT NL omdat er geen schending is vastgesteld, SOLVIT BE omdat doorverwijzing niet tot de eigen opdracht zou behoren.</w:t>
            </w:r>
          </w:p>
        </w:tc>
      </w:tr>
    </w:tbl>
    <w:p w14:paraId="5D23C7C7" w14:textId="77777777" w:rsidR="006B5103" w:rsidRDefault="006B5103">
      <w:pPr>
        <w:pStyle w:val="Kop3"/>
        <w:divId w:val="2114661829"/>
        <w:rPr>
          <w:rFonts w:eastAsia="Times New Roman"/>
          <w:lang w:val="nl-NL"/>
        </w:rPr>
      </w:pPr>
      <w:bookmarkStart w:id="124" w:name="_Toc242191301"/>
      <w:r>
        <w:rPr>
          <w:rFonts w:eastAsia="Times New Roman"/>
          <w:lang w:val="nl-NL"/>
        </w:rPr>
        <w:t>Deel D — De ELA: de weg die niet opengaat</w:t>
      </w:r>
      <w:bookmarkEnd w:id="124"/>
    </w:p>
    <w:p w14:paraId="40B3F76F" w14:textId="77777777" w:rsidR="006B5103" w:rsidRDefault="006B5103">
      <w:pPr>
        <w:pStyle w:val="Normaalweb"/>
        <w:divId w:val="2114661829"/>
        <w:rPr>
          <w:lang w:val="nl-NL"/>
        </w:rPr>
      </w:pPr>
      <w:r>
        <w:rPr>
          <w:lang w:val="nl-NL"/>
        </w:rPr>
        <w:t>Wanneer SOLVIT geen oplossing biedt, blijft er nog één Europees orgaan over dat speciaal in het leven is geroepen voor grensoverschrijdende geschillen: de Europese Arbeidsautoriteit (ELA). De ELA is opgericht om eerlijke arbeidsmobiliteit te bevorderen en bemiddeling te faciliteren tussen lidstaten bij grensoverschrijdende problemen met sociale zekerheid.</w:t>
      </w:r>
    </w:p>
    <w:p w14:paraId="53282FF8" w14:textId="77777777" w:rsidR="006B5103" w:rsidRDefault="006B5103">
      <w:pPr>
        <w:pStyle w:val="Normaalweb"/>
        <w:divId w:val="2114661829"/>
        <w:rPr>
          <w:lang w:val="nl-NL"/>
        </w:rPr>
      </w:pPr>
      <w:r>
        <w:rPr>
          <w:lang w:val="nl-NL"/>
        </w:rPr>
        <w:t>In theorie zou de ELA de instantie moeten zijn die optreedt wanneer nationale overheden er samen niet uitkomen. In de praktijk blijkt de ELA voor een individuele burger niet toegankelijk.</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40F0BF5"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7C52458" w14:textId="77777777" w:rsidR="006B5103" w:rsidRDefault="006B5103">
            <w:pPr>
              <w:pStyle w:val="Normaalweb"/>
              <w:spacing w:before="120"/>
              <w:jc w:val="center"/>
              <w:rPr>
                <w:sz w:val="21"/>
                <w:szCs w:val="21"/>
              </w:rPr>
            </w:pPr>
            <w:r>
              <w:rPr>
                <w:noProof/>
                <w:sz w:val="21"/>
                <w:szCs w:val="21"/>
              </w:rPr>
              <w:drawing>
                <wp:inline distT="0" distB="0" distL="0" distR="0" wp14:anchorId="25459104" wp14:editId="323E9D65">
                  <wp:extent cx="5715000" cy="2076450"/>
                  <wp:effectExtent l="0" t="0" r="0" b="0"/>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link="rId78">
                            <a:extLst>
                              <a:ext uri="{28A0092B-C50C-407E-A947-70E740481C1C}">
                                <a14:useLocalDpi xmlns:a14="http://schemas.microsoft.com/office/drawing/2010/main" val="0"/>
                              </a:ext>
                            </a:extLst>
                          </a:blip>
                          <a:srcRect/>
                          <a:stretch>
                            <a:fillRect/>
                          </a:stretch>
                        </pic:blipFill>
                        <pic:spPr bwMode="auto">
                          <a:xfrm>
                            <a:off x="0" y="0"/>
                            <a:ext cx="5715000" cy="2076450"/>
                          </a:xfrm>
                          <a:prstGeom prst="rect">
                            <a:avLst/>
                          </a:prstGeom>
                          <a:noFill/>
                          <a:ln>
                            <a:noFill/>
                          </a:ln>
                        </pic:spPr>
                      </pic:pic>
                    </a:graphicData>
                  </a:graphic>
                </wp:inline>
              </w:drawing>
            </w:r>
          </w:p>
          <w:p w14:paraId="71102958" w14:textId="77777777" w:rsidR="006B5103" w:rsidRDefault="006B5103">
            <w:pPr>
              <w:pStyle w:val="caption"/>
              <w:spacing w:after="120" w:afterAutospacing="0"/>
            </w:pPr>
            <w:r>
              <w:rPr>
                <w:rStyle w:val="Zwaar"/>
              </w:rPr>
              <w:t>Figuur XV.4 — De ELA als gesloten deur.</w:t>
            </w:r>
            <w:r>
              <w:t xml:space="preserve"> De ELA bemiddelt alleen op verzoek van lidstaten. Rechtstreekse verzoeken van burgers worden niet ontvankelijk verklaard. En de doorgeefluiken die zouden moeten doorverwijzen (SOLVIT NL en BE) weigeren dat te doen. Het orgaan dat speciaal voor dit soort situaties is opgericht, blijft onbereikbaar voor wie het het hardst nodig heeft.</w:t>
            </w:r>
          </w:p>
        </w:tc>
      </w:tr>
    </w:tbl>
    <w:p w14:paraId="204A7A91" w14:textId="77777777" w:rsidR="006B5103" w:rsidRDefault="006B5103">
      <w:pPr>
        <w:pStyle w:val="Kop3"/>
        <w:divId w:val="2114661829"/>
        <w:rPr>
          <w:rFonts w:eastAsia="Times New Roman"/>
          <w:lang w:val="nl-NL"/>
        </w:rPr>
      </w:pPr>
      <w:bookmarkStart w:id="125" w:name="_Toc242191302"/>
      <w:r>
        <w:rPr>
          <w:rFonts w:eastAsia="Times New Roman"/>
          <w:lang w:val="nl-NL"/>
        </w:rPr>
        <w:t>Deel E — Het patroon</w:t>
      </w:r>
      <w:bookmarkEnd w:id="125"/>
    </w:p>
    <w:p w14:paraId="644CC7DE" w14:textId="77777777" w:rsidR="006B5103" w:rsidRDefault="006B5103">
      <w:pPr>
        <w:pStyle w:val="Normaalweb"/>
        <w:divId w:val="2114661829"/>
        <w:rPr>
          <w:lang w:val="nl-NL"/>
        </w:rPr>
      </w:pPr>
      <w:r>
        <w:rPr>
          <w:lang w:val="nl-NL"/>
        </w:rPr>
        <w:t xml:space="preserve">Wat alle bemiddelaars gemeen hebben, is een fundamenteel kenmerk: ze kunnen onderzoeken, aanbevelen en rapporteren, maar niet </w:t>
      </w:r>
      <w:r>
        <w:rPr>
          <w:rStyle w:val="Zwaar"/>
          <w:lang w:val="nl-NL"/>
        </w:rPr>
        <w:t>dwingen</w:t>
      </w:r>
      <w:r>
        <w:rPr>
          <w:lang w:val="nl-NL"/>
        </w:rPr>
        <w:t>. Geen enkele bemiddelaar kan een uitvoeringsinstantie verplichten een beslissing te herzien, een uitkering toe te kennen, of een registratie door te voeren.</w:t>
      </w:r>
    </w:p>
    <w:p w14:paraId="709C7C84" w14:textId="77777777" w:rsidR="006B5103" w:rsidRDefault="006B5103">
      <w:pPr>
        <w:pStyle w:val="Normaalweb"/>
        <w:divId w:val="2114661829"/>
        <w:rPr>
          <w:lang w:val="nl-NL"/>
        </w:rPr>
      </w:pPr>
      <w:r>
        <w:rPr>
          <w:lang w:val="nl-NL"/>
        </w:rPr>
        <w:t xml:space="preserve">Daar komt een tweede kenmerk bij: elke bemiddelaar heeft een eigen drempel voor </w:t>
      </w:r>
      <w:r>
        <w:rPr>
          <w:rStyle w:val="Zwaar"/>
          <w:lang w:val="nl-NL"/>
        </w:rPr>
        <w:t>wanneer</w:t>
      </w:r>
      <w:r>
        <w:rPr>
          <w:lang w:val="nl-NL"/>
        </w:rPr>
        <w:t xml:space="preserve"> hij mag tussenkomen. De Federale Ombudsman mag dat bij lopende zaken. De Nationale Ombudsman mag dat niet. SOLVIT mag dat niet bij lopende rechtszaken. Het GIP mag dat nooit. De ELA mag dat alleen op verzoek van lidstaten. Het EHRM mag dat alleen na uitputting van alle nationale middelen.</w:t>
      </w:r>
    </w:p>
    <w:p w14:paraId="3E61D13C" w14:textId="77777777" w:rsidR="006B5103" w:rsidRDefault="006B5103">
      <w:pPr>
        <w:pStyle w:val="Normaalweb"/>
        <w:divId w:val="2114661829"/>
        <w:rPr>
          <w:lang w:val="nl-NL"/>
        </w:rPr>
      </w:pPr>
      <w:r>
        <w:rPr>
          <w:lang w:val="nl-NL"/>
        </w:rPr>
        <w:t>En in dit dossier blijkt dat de zwaarste bemiddelingsroute — de Europese Arbeidsautoriteit — niet alleen beperkt is, maar volledig gesloten. De ELA is ontworpen voor situaties zoals deze, maar is voor een individuele burger niet toegankelijk. En de enige doorgeefluiken die toegang zouden kunnen verlenen (SOLVIT NL en BE) weigeren dat te doen.</w:t>
      </w:r>
    </w:p>
    <w:p w14:paraId="49A4B93F" w14:textId="77777777" w:rsidR="006B5103" w:rsidRDefault="006B5103">
      <w:pPr>
        <w:pStyle w:val="Normaalweb"/>
        <w:divId w:val="2114661829"/>
        <w:rPr>
          <w:lang w:val="nl-NL"/>
        </w:rPr>
      </w:pPr>
      <w:r>
        <w:rPr>
          <w:lang w:val="nl-NL"/>
        </w:rPr>
        <w:t>Wat overblijft is dat de bemiddelingslaag functioneert als een reeks filters. Elke klacht wordt geregistreerd, onderzocht, en doorverwezen naar een andere instantie die ook niet kan ingrijpen. En wanneer de laatste instantie bereikt wordt, blijkt ook die een gesloten deur te hebben.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853EF78"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F63868B"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w:t>
            </w:r>
          </w:p>
          <w:p w14:paraId="382D6879" w14:textId="77777777" w:rsidR="006B5103" w:rsidRDefault="006B5103">
            <w:pPr>
              <w:numPr>
                <w:ilvl w:val="0"/>
                <w:numId w:val="24"/>
              </w:numPr>
              <w:spacing w:before="100" w:beforeAutospacing="1" w:after="100" w:afterAutospacing="1"/>
              <w:rPr>
                <w:rFonts w:eastAsia="Times New Roman"/>
                <w:szCs w:val="22"/>
              </w:rPr>
            </w:pPr>
            <w:r>
              <w:rPr>
                <w:rStyle w:val="Nadruk"/>
                <w:rFonts w:eastAsia="Times New Roman"/>
                <w:szCs w:val="22"/>
              </w:rPr>
              <w:t>De Federale Ombudsman (BE)</w:t>
            </w:r>
            <w:r>
              <w:rPr>
                <w:rFonts w:eastAsia="Times New Roman"/>
                <w:szCs w:val="22"/>
              </w:rPr>
              <w:t xml:space="preserve"> is de enige bemiddelaar die in lopende zaken kan tussenkomen zonder dat er eerst een rechtszaak nodig is. Dien daar een klacht in als u vastloopt bij een federale overheidsdienst.</w:t>
            </w:r>
          </w:p>
          <w:p w14:paraId="410DCBF7" w14:textId="77777777" w:rsidR="006B5103" w:rsidRDefault="006B5103">
            <w:pPr>
              <w:numPr>
                <w:ilvl w:val="0"/>
                <w:numId w:val="24"/>
              </w:numPr>
              <w:spacing w:before="100" w:beforeAutospacing="1" w:after="100" w:afterAutospacing="1"/>
              <w:rPr>
                <w:rFonts w:eastAsia="Times New Roman"/>
                <w:szCs w:val="22"/>
              </w:rPr>
            </w:pPr>
            <w:r>
              <w:rPr>
                <w:rStyle w:val="Nadruk"/>
                <w:rFonts w:eastAsia="Times New Roman"/>
                <w:szCs w:val="22"/>
              </w:rPr>
              <w:t>De Nationale Ombudsman (NL)</w:t>
            </w:r>
            <w:r>
              <w:rPr>
                <w:rFonts w:eastAsia="Times New Roman"/>
                <w:szCs w:val="22"/>
              </w:rPr>
              <w:t xml:space="preserve"> kan pas iets doen als alle bestuursrechtelijke procedures zijn afgerond. Begin dus niet bij de Ombudsman, maar bij de instantie zelf en daarna bij de rechter.</w:t>
            </w:r>
          </w:p>
          <w:p w14:paraId="49568CAF" w14:textId="77777777" w:rsidR="006B5103" w:rsidRDefault="006B5103">
            <w:pPr>
              <w:numPr>
                <w:ilvl w:val="0"/>
                <w:numId w:val="24"/>
              </w:numPr>
              <w:spacing w:before="100" w:beforeAutospacing="1" w:after="100" w:afterAutospacing="1"/>
              <w:rPr>
                <w:rFonts w:eastAsia="Times New Roman"/>
                <w:szCs w:val="22"/>
              </w:rPr>
            </w:pPr>
            <w:r>
              <w:rPr>
                <w:rStyle w:val="Nadruk"/>
                <w:rFonts w:eastAsia="Times New Roman"/>
                <w:szCs w:val="22"/>
              </w:rPr>
              <w:t>SOLVIT</w:t>
            </w:r>
            <w:r>
              <w:rPr>
                <w:rFonts w:eastAsia="Times New Roman"/>
                <w:szCs w:val="22"/>
              </w:rPr>
              <w:t xml:space="preserve"> is nuttig voor informatie en voor het documenteren van een structureel probleem. In dit dossier weigerden beide centra echter de zaak door te verwijzen naar de ELA. Verwacht dus geen doorbraak via dit kanaal.</w:t>
            </w:r>
          </w:p>
          <w:p w14:paraId="185FFA21" w14:textId="77777777" w:rsidR="006B5103" w:rsidRDefault="006B5103">
            <w:pPr>
              <w:numPr>
                <w:ilvl w:val="0"/>
                <w:numId w:val="24"/>
              </w:numPr>
              <w:spacing w:before="100" w:beforeAutospacing="1" w:after="100" w:afterAutospacing="1"/>
              <w:rPr>
                <w:rFonts w:eastAsia="Times New Roman"/>
                <w:szCs w:val="22"/>
              </w:rPr>
            </w:pPr>
            <w:r>
              <w:rPr>
                <w:rStyle w:val="Nadruk"/>
                <w:rFonts w:eastAsia="Times New Roman"/>
                <w:szCs w:val="22"/>
              </w:rPr>
              <w:t>De ELA</w:t>
            </w:r>
            <w:r>
              <w:rPr>
                <w:rFonts w:eastAsia="Times New Roman"/>
                <w:szCs w:val="22"/>
              </w:rPr>
              <w:t xml:space="preserve"> is rechtstreeks niet toegankelijk voor burgers. Alleen via SOLVIT-centra. En die weigeren in dit dossier consequent.</w:t>
            </w:r>
          </w:p>
          <w:p w14:paraId="350B94B0" w14:textId="77777777" w:rsidR="006B5103" w:rsidRDefault="006B5103">
            <w:pPr>
              <w:spacing w:after="0"/>
              <w:rPr>
                <w:rFonts w:eastAsia="Times New Roman"/>
                <w:szCs w:val="22"/>
              </w:rPr>
            </w:pPr>
            <w:r>
              <w:rPr>
                <w:rFonts w:eastAsia="Times New Roman"/>
                <w:szCs w:val="22"/>
              </w:rPr>
              <w:t xml:space="preserve">De bemiddelingslaag is een aanvulling op de juridische weg, geen vervanging. En soms is zelfs de aanvulling gesloten. </w:t>
            </w:r>
          </w:p>
        </w:tc>
      </w:tr>
    </w:tbl>
    <w:p w14:paraId="671685AA"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De feiten zijn gebaseerd op Document B. De wettelijke kaders zijn gebaseerd op de officiële communicatie van de betrokken instanties. Dit hoofdstuk is geen juridisch advies.</w:t>
      </w:r>
    </w:p>
    <w:p w14:paraId="0A85AE22" w14:textId="77777777" w:rsidR="006B5103" w:rsidRDefault="006B5103">
      <w:pPr>
        <w:pStyle w:val="marker"/>
        <w:ind w:left="800" w:right="800"/>
        <w:divId w:val="2114661829"/>
        <w:rPr>
          <w:lang w:val="nl-NL"/>
        </w:rPr>
      </w:pPr>
      <w:r>
        <w:br w:type="page"/>
      </w:r>
    </w:p>
    <w:p w14:paraId="7729D1C1" w14:textId="77777777" w:rsidR="006B5103" w:rsidRDefault="006B5103">
      <w:pPr>
        <w:pStyle w:val="Kop2"/>
        <w:divId w:val="2114661829"/>
        <w:rPr>
          <w:rFonts w:eastAsia="Times New Roman"/>
          <w:lang w:val="nl-NL"/>
        </w:rPr>
      </w:pPr>
      <w:bookmarkStart w:id="126" w:name="_Toc242191303"/>
      <w:r>
        <w:rPr>
          <w:rFonts w:eastAsia="Times New Roman"/>
          <w:lang w:val="nl-NL"/>
        </w:rPr>
        <w:t>De rechtbanken</w:t>
      </w:r>
      <w:bookmarkEnd w:id="126"/>
    </w:p>
    <w:p w14:paraId="1A60DFB0" w14:textId="77777777" w:rsidR="006B5103" w:rsidRDefault="006B5103">
      <w:pPr>
        <w:pStyle w:val="lead"/>
        <w:divId w:val="2114661829"/>
        <w:rPr>
          <w:lang w:val="nl-NL"/>
        </w:rPr>
      </w:pPr>
      <w:r>
        <w:rPr>
          <w:lang w:val="nl-NL"/>
        </w:rPr>
        <w:t>Wanneer geen enkele instantie nog ingrijpt, blijft de rechter over. In theorie is dat de plek waar een beslissing kan worden afgedwongen. In de praktijk blijkt de toegang tot die rechter zelf een drempel te zijn — en die drempel is precies het probleem dat de rechter moest oplossen.</w:t>
      </w:r>
    </w:p>
    <w:p w14:paraId="11721F1C" w14:textId="77777777" w:rsidR="006B5103" w:rsidRDefault="006B5103">
      <w:pPr>
        <w:pStyle w:val="Kop3"/>
        <w:divId w:val="2114661829"/>
        <w:rPr>
          <w:rFonts w:eastAsia="Times New Roman"/>
          <w:lang w:val="nl-NL"/>
        </w:rPr>
      </w:pPr>
      <w:bookmarkStart w:id="127" w:name="_Toc242191304"/>
      <w:r>
        <w:rPr>
          <w:rFonts w:eastAsia="Times New Roman"/>
          <w:lang w:val="nl-NL"/>
        </w:rPr>
        <w:t>Deel A — De twee rechtswegen</w:t>
      </w:r>
      <w:bookmarkEnd w:id="127"/>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EDCD33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220232D" w14:textId="77777777" w:rsidR="006B5103" w:rsidRDefault="006B5103">
            <w:pPr>
              <w:pStyle w:val="Normaalweb"/>
              <w:spacing w:before="120"/>
              <w:jc w:val="center"/>
              <w:rPr>
                <w:sz w:val="21"/>
                <w:szCs w:val="21"/>
              </w:rPr>
            </w:pPr>
            <w:r>
              <w:rPr>
                <w:noProof/>
                <w:sz w:val="21"/>
                <w:szCs w:val="21"/>
              </w:rPr>
              <w:drawing>
                <wp:inline distT="0" distB="0" distL="0" distR="0" wp14:anchorId="3C7C51A2" wp14:editId="2728FCB1">
                  <wp:extent cx="5715000" cy="2476500"/>
                  <wp:effectExtent l="0" t="0" r="0" b="0"/>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link="rId79">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05F2636C" w14:textId="77777777" w:rsidR="006B5103" w:rsidRDefault="006B5103">
            <w:pPr>
              <w:pStyle w:val="caption"/>
              <w:spacing w:after="120" w:afterAutospacing="0"/>
            </w:pPr>
            <w:r>
              <w:rPr>
                <w:rStyle w:val="Zwaar"/>
              </w:rPr>
              <w:t>Figuur XVI.1 — De twee rechtswegen.</w:t>
            </w:r>
            <w:r>
              <w:t xml:space="preserve"> In België is de arbeidsrechtbank toegankelijk via een eenvoudig verzoekschrift, zonder rolrecht en zonder rechtsplegingsvergoeding voor de burger. De enige kosten zijn het ereloon van de advocaat. In Nederland begint de weg met een bezwaarschrift bij de instantie zelf, gevolgd door beroep bij de bestuursrechter, met griffierecht en advocaatkosten.</w:t>
            </w:r>
          </w:p>
        </w:tc>
      </w:tr>
    </w:tbl>
    <w:p w14:paraId="389ED80B" w14:textId="77777777" w:rsidR="006B5103" w:rsidRDefault="006B5103">
      <w:pPr>
        <w:pStyle w:val="Kop3"/>
        <w:divId w:val="2114661829"/>
        <w:rPr>
          <w:rFonts w:eastAsia="Times New Roman"/>
          <w:lang w:val="nl-NL"/>
        </w:rPr>
      </w:pPr>
      <w:bookmarkStart w:id="128" w:name="_Toc242191305"/>
      <w:r>
        <w:rPr>
          <w:rFonts w:eastAsia="Times New Roman"/>
          <w:lang w:val="nl-NL"/>
        </w:rPr>
        <w:t>Deel B — De pro deo-drempel</w:t>
      </w:r>
      <w:bookmarkEnd w:id="128"/>
    </w:p>
    <w:p w14:paraId="40D2DE49" w14:textId="77777777" w:rsidR="006B5103" w:rsidRDefault="006B5103">
      <w:pPr>
        <w:pStyle w:val="Normaalweb"/>
        <w:divId w:val="2114661829"/>
        <w:rPr>
          <w:lang w:val="nl-NL"/>
        </w:rPr>
      </w:pPr>
      <w:r>
        <w:rPr>
          <w:lang w:val="nl-NL"/>
        </w:rPr>
        <w:t>Beide landen kennen een systeem van gesubsidieerde rechtsbijstand: pro deo in België, toevoeging in Nederland. Wie onder een bepaalde inkomensgrens valt, krijgt een advocaat toegewezen waarvan de overheid de kosten (grotendeels) draagt. Maar de drempels zijn problematisch voor een grensarbeider in een medische crisis.</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4A66DA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4A66A83" w14:textId="77777777" w:rsidR="006B5103" w:rsidRDefault="006B5103">
            <w:pPr>
              <w:pStyle w:val="Normaalweb"/>
              <w:spacing w:before="120"/>
              <w:jc w:val="center"/>
              <w:rPr>
                <w:sz w:val="21"/>
                <w:szCs w:val="21"/>
              </w:rPr>
            </w:pPr>
            <w:r>
              <w:rPr>
                <w:noProof/>
                <w:sz w:val="21"/>
                <w:szCs w:val="21"/>
              </w:rPr>
              <w:drawing>
                <wp:inline distT="0" distB="0" distL="0" distR="0" wp14:anchorId="3036C0AE" wp14:editId="6A72D356">
                  <wp:extent cx="5715000" cy="2381250"/>
                  <wp:effectExtent l="0" t="0" r="0" b="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link="rId80">
                            <a:extLst>
                              <a:ext uri="{28A0092B-C50C-407E-A947-70E740481C1C}">
                                <a14:useLocalDpi xmlns:a14="http://schemas.microsoft.com/office/drawing/2010/main" val="0"/>
                              </a:ext>
                            </a:extLst>
                          </a:blip>
                          <a:srcRect/>
                          <a:stretch>
                            <a:fillRect/>
                          </a:stretch>
                        </pic:blipFill>
                        <pic:spPr bwMode="auto">
                          <a:xfrm>
                            <a:off x="0" y="0"/>
                            <a:ext cx="5715000" cy="2381250"/>
                          </a:xfrm>
                          <a:prstGeom prst="rect">
                            <a:avLst/>
                          </a:prstGeom>
                          <a:noFill/>
                          <a:ln>
                            <a:noFill/>
                          </a:ln>
                        </pic:spPr>
                      </pic:pic>
                    </a:graphicData>
                  </a:graphic>
                </wp:inline>
              </w:drawing>
            </w:r>
          </w:p>
          <w:p w14:paraId="2F51152F" w14:textId="77777777" w:rsidR="006B5103" w:rsidRDefault="006B5103">
            <w:pPr>
              <w:pStyle w:val="caption"/>
              <w:spacing w:after="120" w:afterAutospacing="0"/>
            </w:pPr>
            <w:r>
              <w:rPr>
                <w:rStyle w:val="Zwaar"/>
              </w:rPr>
              <w:t>Figuur XVI.2 — De pro deo-drempels.</w:t>
            </w:r>
            <w:r>
              <w:t xml:space="preserve"> In België wordt getoetst aan het netto maandinkomen van twee jaar eerder (het peiljaar). In Nederland aan het bruto jaarinkomen van twee jaar eerder. In beide landen is het werkelijke inkomen in de medische crisis gedaald tot nul, maar het peiljaarinkomen is nog gebaseerd op de periode vóór de crisis. De burger verdient op papier te veel, terwijl hij in werkelijkheid niets heeft.</w:t>
            </w:r>
          </w:p>
        </w:tc>
      </w:tr>
    </w:tbl>
    <w:p w14:paraId="0FC8DD96" w14:textId="77777777" w:rsidR="006B5103" w:rsidRDefault="006B5103">
      <w:pPr>
        <w:pStyle w:val="Kop3"/>
        <w:divId w:val="2114661829"/>
        <w:rPr>
          <w:rFonts w:eastAsia="Times New Roman"/>
          <w:lang w:val="nl-NL"/>
        </w:rPr>
      </w:pPr>
      <w:bookmarkStart w:id="129" w:name="_Toc242191306"/>
      <w:r>
        <w:rPr>
          <w:rFonts w:eastAsia="Times New Roman"/>
          <w:lang w:val="nl-NL"/>
        </w:rPr>
        <w:t>Deel C — De ironie van het peiljaar</w:t>
      </w:r>
      <w:bookmarkEnd w:id="129"/>
    </w:p>
    <w:p w14:paraId="27E96F07" w14:textId="77777777" w:rsidR="006B5103" w:rsidRDefault="006B5103">
      <w:pPr>
        <w:pStyle w:val="Normaalweb"/>
        <w:divId w:val="2114661829"/>
        <w:rPr>
          <w:lang w:val="nl-NL"/>
        </w:rPr>
      </w:pPr>
      <w:r>
        <w:rPr>
          <w:lang w:val="nl-NL"/>
        </w:rPr>
        <w:t xml:space="preserve">De kern van het probleem is het </w:t>
      </w:r>
      <w:r>
        <w:rPr>
          <w:rStyle w:val="Zwaar"/>
          <w:lang w:val="nl-NL"/>
        </w:rPr>
        <w:t>peiljaar</w:t>
      </w:r>
      <w:r>
        <w:rPr>
          <w:lang w:val="nl-NL"/>
        </w:rPr>
        <w:t>. Beide landen toetsen het recht op gesubsidieerde rechtsbijstand aan het inkomen van twee jaar eerder. Dat is bedoeld om fraude te voorkomen: wie snel zijn inkomen verlaagt om in aanmerking te komen, wordt geweerd. Maar het systeem houdt geen rekening met een plotselinge, onvrijwillige inkomensdaling door ziekte.</w:t>
      </w:r>
    </w:p>
    <w:p w14:paraId="41552779" w14:textId="77777777" w:rsidR="006B5103" w:rsidRDefault="006B5103">
      <w:pPr>
        <w:pStyle w:val="Normaalweb"/>
        <w:divId w:val="2114661829"/>
        <w:rPr>
          <w:lang w:val="nl-NL"/>
        </w:rPr>
      </w:pPr>
      <w:r>
        <w:rPr>
          <w:lang w:val="nl-NL"/>
        </w:rPr>
        <w:t>In het dossier van de gebruiker:</w:t>
      </w:r>
    </w:p>
    <w:p w14:paraId="7AD8352E" w14:textId="77777777" w:rsidR="006B5103" w:rsidRDefault="006B5103">
      <w:pPr>
        <w:numPr>
          <w:ilvl w:val="0"/>
          <w:numId w:val="25"/>
        </w:numPr>
        <w:spacing w:before="100" w:beforeAutospacing="1" w:after="100" w:afterAutospacing="1"/>
        <w:divId w:val="2114661829"/>
        <w:rPr>
          <w:rFonts w:eastAsia="Times New Roman"/>
          <w:lang w:val="nl-NL"/>
        </w:rPr>
      </w:pPr>
      <w:r>
        <w:rPr>
          <w:rFonts w:eastAsia="Times New Roman"/>
          <w:lang w:val="nl-NL"/>
        </w:rPr>
        <w:t>Twee jaar geleden was het inkomen nog normaal — de vader werkte, de medische crisis was nog niet begonnen.</w:t>
      </w:r>
    </w:p>
    <w:p w14:paraId="537D18F3" w14:textId="77777777" w:rsidR="006B5103" w:rsidRDefault="006B5103">
      <w:pPr>
        <w:numPr>
          <w:ilvl w:val="0"/>
          <w:numId w:val="25"/>
        </w:numPr>
        <w:spacing w:before="100" w:beforeAutospacing="1" w:after="100" w:afterAutospacing="1"/>
        <w:divId w:val="2114661829"/>
        <w:rPr>
          <w:rFonts w:eastAsia="Times New Roman"/>
          <w:lang w:val="nl-NL"/>
        </w:rPr>
      </w:pPr>
      <w:r>
        <w:rPr>
          <w:rFonts w:eastAsia="Times New Roman"/>
          <w:lang w:val="nl-NL"/>
        </w:rPr>
        <w:t>Nu is het werkelijke inkomen nul: de ziekte-uitkering is geblokkeerd, de WIA is geweigerd, de toeslagen staan op nul.</w:t>
      </w:r>
    </w:p>
    <w:p w14:paraId="01330A35" w14:textId="77777777" w:rsidR="006B5103" w:rsidRDefault="006B5103">
      <w:pPr>
        <w:numPr>
          <w:ilvl w:val="0"/>
          <w:numId w:val="25"/>
        </w:numPr>
        <w:spacing w:before="100" w:beforeAutospacing="1" w:after="100" w:afterAutospacing="1"/>
        <w:divId w:val="2114661829"/>
        <w:rPr>
          <w:rFonts w:eastAsia="Times New Roman"/>
          <w:lang w:val="nl-NL"/>
        </w:rPr>
      </w:pPr>
      <w:r>
        <w:rPr>
          <w:rFonts w:eastAsia="Times New Roman"/>
          <w:lang w:val="nl-NL"/>
        </w:rPr>
        <w:t>De medische kosten hebben het beschikbare inkomen volledig uitgehold.</w:t>
      </w:r>
    </w:p>
    <w:p w14:paraId="1E1B4442" w14:textId="77777777" w:rsidR="006B5103" w:rsidRDefault="006B5103">
      <w:pPr>
        <w:numPr>
          <w:ilvl w:val="0"/>
          <w:numId w:val="25"/>
        </w:numPr>
        <w:spacing w:before="100" w:beforeAutospacing="1" w:after="100" w:afterAutospacing="1"/>
        <w:divId w:val="2114661829"/>
        <w:rPr>
          <w:rFonts w:eastAsia="Times New Roman"/>
          <w:lang w:val="nl-NL"/>
        </w:rPr>
      </w:pPr>
      <w:r>
        <w:rPr>
          <w:rFonts w:eastAsia="Times New Roman"/>
          <w:lang w:val="nl-NL"/>
        </w:rPr>
        <w:t>Maar het peiljaarinkomen is nog steeds het oude, normale inkomen.</w:t>
      </w:r>
    </w:p>
    <w:p w14:paraId="171669E1" w14:textId="77777777" w:rsidR="006B5103" w:rsidRDefault="006B5103">
      <w:pPr>
        <w:pStyle w:val="Normaalweb"/>
        <w:divId w:val="2114661829"/>
        <w:rPr>
          <w:lang w:val="nl-NL"/>
        </w:rPr>
      </w:pPr>
      <w:r>
        <w:rPr>
          <w:lang w:val="nl-NL"/>
        </w:rPr>
        <w:t>Het gevolg: de burger verdient op papier te veel voor pro deo, terwijl hij in werkelijkheid geen geld heeft om een advocaat te betalen. De drempel die bedoeld is om de zwaksten te beschermen, sluit juist degenen uit die door een plotselinge crisis in de problemen zijn geraakt.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F6B057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1E889CF" w14:textId="77777777" w:rsidR="006B5103" w:rsidRDefault="006B5103">
            <w:pPr>
              <w:pStyle w:val="Normaalweb"/>
              <w:spacing w:before="120"/>
              <w:jc w:val="center"/>
              <w:rPr>
                <w:sz w:val="21"/>
                <w:szCs w:val="21"/>
              </w:rPr>
            </w:pPr>
            <w:r>
              <w:rPr>
                <w:noProof/>
                <w:sz w:val="21"/>
                <w:szCs w:val="21"/>
              </w:rPr>
              <w:drawing>
                <wp:inline distT="0" distB="0" distL="0" distR="0" wp14:anchorId="42F8C19B" wp14:editId="52227D8E">
                  <wp:extent cx="5715000" cy="1866900"/>
                  <wp:effectExtent l="0" t="0" r="0" b="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5715000" cy="1866900"/>
                          </a:xfrm>
                          <a:prstGeom prst="rect">
                            <a:avLst/>
                          </a:prstGeom>
                          <a:noFill/>
                          <a:ln>
                            <a:noFill/>
                          </a:ln>
                        </pic:spPr>
                      </pic:pic>
                    </a:graphicData>
                  </a:graphic>
                </wp:inline>
              </w:drawing>
            </w:r>
          </w:p>
          <w:p w14:paraId="60FB9AB5" w14:textId="77777777" w:rsidR="006B5103" w:rsidRDefault="006B5103">
            <w:pPr>
              <w:pStyle w:val="caption"/>
              <w:spacing w:after="120" w:afterAutospacing="0"/>
            </w:pPr>
            <w:r>
              <w:rPr>
                <w:rStyle w:val="Zwaar"/>
              </w:rPr>
              <w:t>Figuur XVI.3 — De ironie van het peiljaar.</w:t>
            </w:r>
            <w:r>
              <w:t xml:space="preserve"> Het systeem toetst aan het inkomen van twee jaar geleden. In de medische crisis is dat inkomen niet meer representatief. De burger verdient op papier te veel voor pro deo, terwijl zijn werkelijke inkomen nul is. De drempel die bedoeld is om de zwaksten te beschermen, sluit juist degenen uit die door een plotselinge crisis in de problemen zijn geraakt.</w:t>
            </w:r>
          </w:p>
        </w:tc>
      </w:tr>
    </w:tbl>
    <w:p w14:paraId="37BCAB46" w14:textId="77777777" w:rsidR="006B5103" w:rsidRDefault="006B5103">
      <w:pPr>
        <w:pStyle w:val="Kop3"/>
        <w:divId w:val="2114661829"/>
        <w:rPr>
          <w:rFonts w:eastAsia="Times New Roman"/>
          <w:lang w:val="nl-NL"/>
        </w:rPr>
      </w:pPr>
      <w:bookmarkStart w:id="130" w:name="_Toc242191307"/>
      <w:r>
        <w:rPr>
          <w:rFonts w:eastAsia="Times New Roman"/>
          <w:lang w:val="nl-NL"/>
        </w:rPr>
        <w:t>Deel D — Wat dit betekent</w:t>
      </w:r>
      <w:bookmarkEnd w:id="130"/>
    </w:p>
    <w:p w14:paraId="5C03737F" w14:textId="77777777" w:rsidR="006B5103" w:rsidRDefault="006B5103">
      <w:pPr>
        <w:pStyle w:val="Normaalweb"/>
        <w:divId w:val="2114661829"/>
        <w:rPr>
          <w:lang w:val="nl-NL"/>
        </w:rPr>
      </w:pPr>
      <w:r>
        <w:rPr>
          <w:lang w:val="nl-NL"/>
        </w:rPr>
        <w:t>De juridische weg is in theorie de ultieme oplossing. De rechter kan een instantie dwingen een beslissing te herzien. In de praktijk blijkt de toegang tot die rechter zelf een drempel te zijn. En die drempel is precies het probleem dat de rechter moest oplossen.</w:t>
      </w:r>
    </w:p>
    <w:p w14:paraId="0B72AB87" w14:textId="77777777" w:rsidR="006B5103" w:rsidRDefault="006B5103">
      <w:pPr>
        <w:pStyle w:val="Normaalweb"/>
        <w:divId w:val="2114661829"/>
        <w:rPr>
          <w:lang w:val="nl-NL"/>
        </w:rPr>
      </w:pPr>
      <w:r>
        <w:rPr>
          <w:lang w:val="nl-NL"/>
        </w:rPr>
        <w:t>De burger die geen advocaat kan betalen, kan de juridische weg niet bewandelen. De burger die geen pro deo krijgt omdat zijn peiljaarinkomen te hoog is, kan de juridische weg niet bewandelen. De burger die geen inkomen heeft omdat zijn uitkeringen zijn geblokkeerd, kan de juridische weg niet bewandelen. Het systeem verwijst naar de rechter, maar de rechter is onbereikbaar voor wie het meest behoefte heeft aan toegang.</w:t>
      </w:r>
    </w:p>
    <w:p w14:paraId="492B0C18" w14:textId="77777777" w:rsidR="006B5103" w:rsidRDefault="006B5103">
      <w:pPr>
        <w:pStyle w:val="Normaalweb"/>
        <w:divId w:val="2114661829"/>
        <w:rPr>
          <w:lang w:val="nl-NL"/>
        </w:rPr>
      </w:pPr>
      <w:r>
        <w:rPr>
          <w:lang w:val="nl-NL"/>
        </w:rPr>
        <w:t>In België is de drempel lager: het verzoekschrift is eenvoudig en kosteloos, en de enige kosten zijn het ereloon van de advocaat. Maar ook dat ereloon is voor veel mensen onbetaalbaar. In Nederland is de drempel hoger: griffierecht, advocaatkosten, en een toetsingskader dat nog strenger is.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B92274D"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37BDB73"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de juridische weg is niet onmogelijk, maar de toegang is beperkt door het peiljaar. Drie dingen om te weten: </w:t>
            </w:r>
          </w:p>
          <w:p w14:paraId="119E7F61" w14:textId="77777777" w:rsidR="006B5103" w:rsidRDefault="006B5103">
            <w:pPr>
              <w:numPr>
                <w:ilvl w:val="0"/>
                <w:numId w:val="26"/>
              </w:numPr>
              <w:spacing w:before="100" w:beforeAutospacing="1" w:after="100" w:afterAutospacing="1"/>
              <w:rPr>
                <w:rFonts w:eastAsia="Times New Roman"/>
                <w:szCs w:val="22"/>
              </w:rPr>
            </w:pPr>
            <w:r>
              <w:rPr>
                <w:rFonts w:eastAsia="Times New Roman"/>
                <w:szCs w:val="22"/>
              </w:rPr>
              <w:t xml:space="preserve">Vraag bij het Bureau voor Juridische Bijstand (BE) of de Raad voor Rechtsbijstand (NL) om een </w:t>
            </w:r>
            <w:r>
              <w:rPr>
                <w:rStyle w:val="Zwaar"/>
                <w:rFonts w:eastAsia="Times New Roman"/>
                <w:szCs w:val="22"/>
              </w:rPr>
              <w:t>peiljaarverlegging</w:t>
            </w:r>
            <w:r>
              <w:rPr>
                <w:rFonts w:eastAsia="Times New Roman"/>
                <w:szCs w:val="22"/>
              </w:rPr>
              <w:t>. In Nederland is dat mogelijk als het inkomen met minimaal 15% is gedaald ten opzichte van twee jaar eerder. In België kan het Bureau voor Juridische Bijstand ook rekening houden met de actuele bestaansmiddelen.</w:t>
            </w:r>
          </w:p>
          <w:p w14:paraId="08897359" w14:textId="77777777" w:rsidR="006B5103" w:rsidRDefault="006B5103">
            <w:pPr>
              <w:numPr>
                <w:ilvl w:val="0"/>
                <w:numId w:val="26"/>
              </w:numPr>
              <w:spacing w:before="100" w:beforeAutospacing="1" w:after="100" w:afterAutospacing="1"/>
              <w:rPr>
                <w:rFonts w:eastAsia="Times New Roman"/>
                <w:szCs w:val="22"/>
              </w:rPr>
            </w:pPr>
            <w:r>
              <w:rPr>
                <w:rFonts w:eastAsia="Times New Roman"/>
                <w:szCs w:val="22"/>
              </w:rPr>
              <w:t>In België is het verzoekschrift bij de arbeidsrechtbank gratis. U kunt het zelf opstellen, zonder advocaat. Een vakbond of sociale organisatie kan u helpen.</w:t>
            </w:r>
          </w:p>
          <w:p w14:paraId="1C1ADF45" w14:textId="77777777" w:rsidR="006B5103" w:rsidRDefault="006B5103">
            <w:pPr>
              <w:numPr>
                <w:ilvl w:val="0"/>
                <w:numId w:val="26"/>
              </w:numPr>
              <w:spacing w:before="100" w:beforeAutospacing="1" w:after="100" w:afterAutospacing="1"/>
              <w:rPr>
                <w:rFonts w:eastAsia="Times New Roman"/>
                <w:szCs w:val="22"/>
              </w:rPr>
            </w:pPr>
            <w:r>
              <w:rPr>
                <w:rFonts w:eastAsia="Times New Roman"/>
                <w:szCs w:val="22"/>
              </w:rPr>
              <w:t>In Nederland is een bezwaarschrift bij de instantie zelf gratis. Als dat niet helpt, is de volgende stap de bestuursrechter, maar daar zijn kosten aan verbonden. Vraag een toevoeging aan als uw inkomen in het lopende jaar laag is — ook als het peiljaarinkomen hoger was.</w:t>
            </w:r>
          </w:p>
          <w:p w14:paraId="4DF42DE9" w14:textId="77777777" w:rsidR="006B5103" w:rsidRDefault="006B5103">
            <w:pPr>
              <w:spacing w:after="0"/>
              <w:rPr>
                <w:rFonts w:eastAsia="Times New Roman"/>
                <w:szCs w:val="22"/>
              </w:rPr>
            </w:pPr>
            <w:r>
              <w:rPr>
                <w:rFonts w:eastAsia="Times New Roman"/>
                <w:szCs w:val="22"/>
              </w:rPr>
              <w:t xml:space="preserve">De juridische weg is de laatste weg. Maar hij is niet voor iedereen even toegankelijk. </w:t>
            </w:r>
          </w:p>
        </w:tc>
      </w:tr>
    </w:tbl>
    <w:p w14:paraId="20FA7EC7" w14:textId="77777777" w:rsidR="006B5103" w:rsidRDefault="006B5103">
      <w:pPr>
        <w:pStyle w:val="noot"/>
        <w:spacing w:after="120" w:afterAutospacing="0"/>
        <w:divId w:val="2114661829"/>
        <w:rPr>
          <w:lang w:val="nl-NL"/>
        </w:rPr>
      </w:pPr>
      <w:r>
        <w:rPr>
          <w:lang w:val="nl-NL"/>
        </w:rPr>
        <w:t>Alle organisaties in dit hoofdstuk zijn rechtspersonen. De inkomensgrenzen voor pro deo en toevoeging zijn gebaseerd op de officiële communicatie van de betrokken instanties (advocaat.be, Raad voor Rechtsbijstand). Dit hoofdstuk is geen juridisch advies. Raadpleeg bij twijfel een gespecialiseerde dienst of advocaat.</w:t>
      </w:r>
    </w:p>
    <w:p w14:paraId="5B229455" w14:textId="77777777" w:rsidR="006B5103" w:rsidRDefault="006B5103">
      <w:pPr>
        <w:pStyle w:val="marker"/>
        <w:ind w:left="800" w:right="800"/>
        <w:divId w:val="2114661829"/>
        <w:rPr>
          <w:lang w:val="nl-NL"/>
        </w:rPr>
      </w:pPr>
      <w:r>
        <w:br w:type="page"/>
      </w:r>
    </w:p>
    <w:p w14:paraId="2451B996" w14:textId="77777777" w:rsidR="006B5103" w:rsidRDefault="006B5103">
      <w:pPr>
        <w:pStyle w:val="Kop2"/>
        <w:divId w:val="2114661829"/>
        <w:rPr>
          <w:rFonts w:eastAsia="Times New Roman"/>
          <w:lang w:val="nl-NL"/>
        </w:rPr>
      </w:pPr>
      <w:bookmarkStart w:id="131" w:name="_Toc242191308"/>
      <w:r>
        <w:rPr>
          <w:rFonts w:eastAsia="Times New Roman"/>
          <w:lang w:val="nl-NL"/>
        </w:rPr>
        <w:t>De politiek</w:t>
      </w:r>
      <w:bookmarkEnd w:id="131"/>
    </w:p>
    <w:p w14:paraId="6E497A45" w14:textId="77777777" w:rsidR="006B5103" w:rsidRDefault="006B5103">
      <w:pPr>
        <w:pStyle w:val="lead"/>
        <w:divId w:val="2114661829"/>
        <w:rPr>
          <w:lang w:val="nl-NL"/>
        </w:rPr>
      </w:pPr>
      <w:r>
        <w:rPr>
          <w:lang w:val="nl-NL"/>
        </w:rPr>
        <w:t>De politiek heeft de macht om wetten te veranderen, budgetten toe te wijzen en uitvoeringsinstanties bij te sturen. In theorie is het de ultieme correctiemacht. In de praktijk blijkt dat de politiek die macht alleen uitoefent wanneer het probleem als een collectief systeemfalen wordt gepresenteerd — niet wanneer het als een individuele klacht aankomt.</w:t>
      </w:r>
    </w:p>
    <w:p w14:paraId="13E48D8C" w14:textId="77777777" w:rsidR="006B5103" w:rsidRDefault="006B5103">
      <w:pPr>
        <w:pStyle w:val="Kop3"/>
        <w:divId w:val="2114661829"/>
        <w:rPr>
          <w:rFonts w:eastAsia="Times New Roman"/>
          <w:lang w:val="nl-NL"/>
        </w:rPr>
      </w:pPr>
      <w:bookmarkStart w:id="132" w:name="_Toc242191309"/>
      <w:r>
        <w:rPr>
          <w:rFonts w:eastAsia="Times New Roman"/>
          <w:lang w:val="nl-NL"/>
        </w:rPr>
        <w:t>Deel A — De scheiding der machten</w:t>
      </w:r>
      <w:bookmarkEnd w:id="132"/>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7BBF0D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216FDAA" w14:textId="77777777" w:rsidR="006B5103" w:rsidRDefault="006B5103">
            <w:pPr>
              <w:pStyle w:val="Normaalweb"/>
              <w:spacing w:before="120"/>
              <w:jc w:val="center"/>
              <w:rPr>
                <w:sz w:val="21"/>
                <w:szCs w:val="21"/>
              </w:rPr>
            </w:pPr>
            <w:r>
              <w:rPr>
                <w:noProof/>
                <w:sz w:val="21"/>
                <w:szCs w:val="21"/>
              </w:rPr>
              <w:drawing>
                <wp:inline distT="0" distB="0" distL="0" distR="0" wp14:anchorId="0D540C15" wp14:editId="10379F55">
                  <wp:extent cx="5715000" cy="2667000"/>
                  <wp:effectExtent l="0" t="0" r="0" b="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link="rId82">
                            <a:extLst>
                              <a:ext uri="{28A0092B-C50C-407E-A947-70E740481C1C}">
                                <a14:useLocalDpi xmlns:a14="http://schemas.microsoft.com/office/drawing/2010/main" val="0"/>
                              </a:ext>
                            </a:extLst>
                          </a:blip>
                          <a:srcRect/>
                          <a:stretch>
                            <a:fillRect/>
                          </a:stretch>
                        </pic:blipFill>
                        <pic:spPr bwMode="auto">
                          <a:xfrm>
                            <a:off x="0" y="0"/>
                            <a:ext cx="5715000" cy="2667000"/>
                          </a:xfrm>
                          <a:prstGeom prst="rect">
                            <a:avLst/>
                          </a:prstGeom>
                          <a:noFill/>
                          <a:ln>
                            <a:noFill/>
                          </a:ln>
                        </pic:spPr>
                      </pic:pic>
                    </a:graphicData>
                  </a:graphic>
                </wp:inline>
              </w:drawing>
            </w:r>
          </w:p>
          <w:p w14:paraId="070E3961" w14:textId="77777777" w:rsidR="006B5103" w:rsidRDefault="006B5103">
            <w:pPr>
              <w:pStyle w:val="caption"/>
              <w:spacing w:after="120" w:afterAutospacing="0"/>
            </w:pPr>
            <w:r>
              <w:rPr>
                <w:rStyle w:val="Zwaar"/>
              </w:rPr>
              <w:t>Figuur XVII.1 — De scheiding der machten.</w:t>
            </w:r>
            <w:r>
              <w:t xml:space="preserve"> België kent een klassieke trias politica, vastgelegd in de artikelen 33, 36, 37 en 40 van de Grondwet. Nederland kent geen strikte scheiding, maar een stelsel van checks and balances, met de ministeriële verantwoordelijkheid (art. 42) en de inlichtingenplicht (art. 68) als kern.</w:t>
            </w:r>
          </w:p>
        </w:tc>
      </w:tr>
    </w:tbl>
    <w:p w14:paraId="10124CB5" w14:textId="77777777" w:rsidR="006B5103" w:rsidRDefault="006B5103">
      <w:pPr>
        <w:pStyle w:val="Kop3"/>
        <w:divId w:val="2114661829"/>
        <w:rPr>
          <w:rFonts w:eastAsia="Times New Roman"/>
          <w:lang w:val="nl-NL"/>
        </w:rPr>
      </w:pPr>
      <w:bookmarkStart w:id="133" w:name="_Toc242191310"/>
      <w:r>
        <w:rPr>
          <w:rFonts w:eastAsia="Times New Roman"/>
          <w:lang w:val="nl-NL"/>
        </w:rPr>
        <w:t>Deel B — Wat de politiek wel en niet kan</w:t>
      </w:r>
      <w:bookmarkEnd w:id="133"/>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9DB2DA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91579DF" w14:textId="77777777" w:rsidR="006B5103" w:rsidRDefault="006B5103">
            <w:pPr>
              <w:pStyle w:val="Normaalweb"/>
              <w:spacing w:before="120"/>
              <w:jc w:val="center"/>
              <w:rPr>
                <w:sz w:val="21"/>
                <w:szCs w:val="21"/>
              </w:rPr>
            </w:pPr>
            <w:r>
              <w:rPr>
                <w:noProof/>
                <w:sz w:val="21"/>
                <w:szCs w:val="21"/>
              </w:rPr>
              <w:drawing>
                <wp:inline distT="0" distB="0" distL="0" distR="0" wp14:anchorId="43D0883D" wp14:editId="40E84530">
                  <wp:extent cx="5715000" cy="2381250"/>
                  <wp:effectExtent l="0" t="0" r="0" b="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5715000" cy="2381250"/>
                          </a:xfrm>
                          <a:prstGeom prst="rect">
                            <a:avLst/>
                          </a:prstGeom>
                          <a:noFill/>
                          <a:ln>
                            <a:noFill/>
                          </a:ln>
                        </pic:spPr>
                      </pic:pic>
                    </a:graphicData>
                  </a:graphic>
                </wp:inline>
              </w:drawing>
            </w:r>
          </w:p>
          <w:p w14:paraId="37F129BE" w14:textId="77777777" w:rsidR="006B5103" w:rsidRDefault="006B5103">
            <w:pPr>
              <w:pStyle w:val="caption"/>
              <w:spacing w:after="120" w:afterAutospacing="0"/>
            </w:pPr>
            <w:r>
              <w:rPr>
                <w:rStyle w:val="Zwaar"/>
              </w:rPr>
              <w:t>Figuur XVII.2 — Wat de politiek wel en niet kan.</w:t>
            </w:r>
            <w:r>
              <w:t xml:space="preserve"> De politiek kan wetten maken en wijzigen, maar kan geen individuele beslissing herzien. Ze kan een uitvoeringsinstantie nieuwe opdrachten geven, maar kan een individueel dossier niet openen of sluiten. De scheiding der machten verbiedt inmenging in concrete zaken.</w:t>
            </w:r>
          </w:p>
        </w:tc>
      </w:tr>
    </w:tbl>
    <w:p w14:paraId="2873FC8C" w14:textId="77777777" w:rsidR="006B5103" w:rsidRDefault="006B5103">
      <w:pPr>
        <w:pStyle w:val="Kop3"/>
        <w:divId w:val="2114661829"/>
        <w:rPr>
          <w:rFonts w:eastAsia="Times New Roman"/>
          <w:lang w:val="nl-NL"/>
        </w:rPr>
      </w:pPr>
      <w:bookmarkStart w:id="134" w:name="_Toc242191311"/>
      <w:r>
        <w:rPr>
          <w:rFonts w:eastAsia="Times New Roman"/>
          <w:lang w:val="nl-NL"/>
        </w:rPr>
        <w:t>Deel C — De Belgische parlementaire praktijk</w:t>
      </w:r>
      <w:bookmarkEnd w:id="134"/>
    </w:p>
    <w:p w14:paraId="04AC5144" w14:textId="77777777" w:rsidR="006B5103" w:rsidRDefault="006B5103">
      <w:pPr>
        <w:pStyle w:val="Normaalweb"/>
        <w:divId w:val="2114661829"/>
        <w:rPr>
          <w:lang w:val="nl-NL"/>
        </w:rPr>
      </w:pPr>
      <w:r>
        <w:rPr>
          <w:lang w:val="nl-NL"/>
        </w:rPr>
        <w:t>In België beschikt de Kamer van Volksvertegenwoordigers over een uitgebreid arsenaal aan controle-instrumenten. De vaste commissies — waaronder de commissie Sociale Zaken, Werk en Pensioenen — bereiden wetgeving voor en controleren de regering. Binnen die commissies kunnen Kamerleden schriftelijke en mondelinge vragen stellen, en interpellaties houden die kunnen uitmonden in moties van aanbeveling of wantrouwen.</w:t>
      </w:r>
    </w:p>
    <w:p w14:paraId="61B65F57" w14:textId="77777777" w:rsidR="006B5103" w:rsidRDefault="006B5103">
      <w:pPr>
        <w:pStyle w:val="Normaalweb"/>
        <w:divId w:val="2114661829"/>
        <w:rPr>
          <w:lang w:val="nl-NL"/>
        </w:rPr>
      </w:pPr>
      <w:r>
        <w:rPr>
          <w:lang w:val="nl-NL"/>
        </w:rPr>
        <w:t>Daarnaast bestaat de Commissie voor de Verzoekschriften. Iedere burger kan daar een verzoekschrift indienen. De commissie gaat na of het verzoekschrift ontvankelijk is, en zendt het vervolgens door naar de bevoegde commissie of de bevoegde minister. Die minister wordt geacht binnen zes weken schriftelijk uitleg te geven. Daarna kan de commissie beslissen om het verzoekschrift te klasseren, door te verwijzen, of een hoorzitting te organiseren.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E69F7D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C746AF1" w14:textId="77777777" w:rsidR="006B5103" w:rsidRDefault="006B5103">
            <w:pPr>
              <w:pStyle w:val="Normaalweb"/>
              <w:spacing w:before="120"/>
              <w:jc w:val="center"/>
              <w:rPr>
                <w:sz w:val="21"/>
                <w:szCs w:val="21"/>
              </w:rPr>
            </w:pPr>
            <w:r>
              <w:rPr>
                <w:noProof/>
                <w:sz w:val="21"/>
                <w:szCs w:val="21"/>
              </w:rPr>
              <w:drawing>
                <wp:inline distT="0" distB="0" distL="0" distR="0" wp14:anchorId="5E17FFBE" wp14:editId="29B31CF4">
                  <wp:extent cx="5715000" cy="2476500"/>
                  <wp:effectExtent l="0" t="0" r="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link="rId84">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09376D54" w14:textId="77777777" w:rsidR="006B5103" w:rsidRDefault="006B5103">
            <w:pPr>
              <w:pStyle w:val="caption"/>
              <w:spacing w:after="120" w:afterAutospacing="0"/>
            </w:pPr>
            <w:r>
              <w:rPr>
                <w:rStyle w:val="Zwaar"/>
              </w:rPr>
              <w:t>Figuur XVII.3 — De Belgische weg.</w:t>
            </w:r>
            <w:r>
              <w:t xml:space="preserve"> De burger dient een verzoekschrift in. De Commissie voor Verzoekschriften verklaart het ontvankelijk en stuurt het door naar de bevoegde commissie en de minister. De minister geeft binnen zes weken uitleg. Daarna stopt het. In dit dossier: ontvankelijk verklaard, doorgestuurd, geen inhoudelijke reactie.</w:t>
            </w:r>
          </w:p>
        </w:tc>
      </w:tr>
    </w:tbl>
    <w:p w14:paraId="325517FE" w14:textId="77777777" w:rsidR="006B5103" w:rsidRDefault="006B5103">
      <w:pPr>
        <w:pStyle w:val="Kop3"/>
        <w:divId w:val="2114661829"/>
        <w:rPr>
          <w:rFonts w:eastAsia="Times New Roman"/>
          <w:lang w:val="nl-NL"/>
        </w:rPr>
      </w:pPr>
      <w:bookmarkStart w:id="135" w:name="_Toc242191312"/>
      <w:r>
        <w:rPr>
          <w:rFonts w:eastAsia="Times New Roman"/>
          <w:lang w:val="nl-NL"/>
        </w:rPr>
        <w:t>Deel D — De Nederlandse parlementaire praktijk</w:t>
      </w:r>
      <w:bookmarkEnd w:id="135"/>
    </w:p>
    <w:p w14:paraId="058649E9" w14:textId="77777777" w:rsidR="006B5103" w:rsidRDefault="006B5103">
      <w:pPr>
        <w:pStyle w:val="Normaalweb"/>
        <w:divId w:val="2114661829"/>
        <w:rPr>
          <w:lang w:val="nl-NL"/>
        </w:rPr>
      </w:pPr>
      <w:r>
        <w:rPr>
          <w:lang w:val="nl-NL"/>
        </w:rPr>
        <w:t>De Tweede Kamer kent een vergelijkbaar instrumentarium. Kamerleden kunnen schriftelijke vragen stellen, mondelinge vragen, interpellaties houden en moties indienen. De vaste commissie voor Sociale Zaken en Werkgelegenheid (SZW) is bevoegd voor de controle op het ministerie van SZW en de daaronder vallende uitvoeringsorganisaties.</w:t>
      </w:r>
    </w:p>
    <w:p w14:paraId="0BCE32EF" w14:textId="77777777" w:rsidR="006B5103" w:rsidRDefault="006B5103">
      <w:pPr>
        <w:pStyle w:val="Normaalweb"/>
        <w:divId w:val="2114661829"/>
        <w:rPr>
          <w:lang w:val="nl-NL"/>
        </w:rPr>
      </w:pPr>
      <w:r>
        <w:rPr>
          <w:lang w:val="nl-NL"/>
        </w:rPr>
        <w:t>Wat Nederland onderscheidt, is de parlementaire enquête. Dat is het zwaarste onderzoeksinstrument: een commissie die onder ede getuigen kan horen, documenten kan vorderen en een openbaar rapport uitbrengt. De toeslagenaffaire is het meest recente voorbeeld van hoe dat instrument werkt — en hoe lang het duurt voordat het wordt ingezet.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3B173DFE"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084B2A6" w14:textId="77777777" w:rsidR="006B5103" w:rsidRDefault="006B5103">
            <w:pPr>
              <w:pStyle w:val="Normaalweb"/>
              <w:spacing w:before="120"/>
              <w:jc w:val="center"/>
              <w:rPr>
                <w:sz w:val="21"/>
                <w:szCs w:val="21"/>
              </w:rPr>
            </w:pPr>
            <w:r>
              <w:rPr>
                <w:noProof/>
                <w:sz w:val="21"/>
                <w:szCs w:val="21"/>
              </w:rPr>
              <w:drawing>
                <wp:inline distT="0" distB="0" distL="0" distR="0" wp14:anchorId="78148750" wp14:editId="576A804D">
                  <wp:extent cx="5715000" cy="2476500"/>
                  <wp:effectExtent l="0" t="0" r="0" b="0"/>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85">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7DC64A24" w14:textId="77777777" w:rsidR="006B5103" w:rsidRDefault="006B5103">
            <w:pPr>
              <w:pStyle w:val="caption"/>
              <w:spacing w:after="120" w:afterAutospacing="0"/>
            </w:pPr>
            <w:r>
              <w:rPr>
                <w:rStyle w:val="Zwaar"/>
              </w:rPr>
              <w:t>Figuur XVII.4 — De Nederlandse weg.</w:t>
            </w:r>
            <w:r>
              <w:t xml:space="preserve"> De Tweede Kamer behandelt geen individuele klachten. De commissie SZW kan een dossier parkeren. Het zwaarste instrument — de parlementaire enquête — vereist een meerderheid en wordt alleen bij grote systeemcrises ingezet. De toeslagenaffaire toont hoe lang dat duurt.</w:t>
            </w:r>
          </w:p>
        </w:tc>
      </w:tr>
    </w:tbl>
    <w:p w14:paraId="05B2027B" w14:textId="77777777" w:rsidR="006B5103" w:rsidRDefault="006B5103">
      <w:pPr>
        <w:pStyle w:val="Kop3"/>
        <w:divId w:val="2114661829"/>
        <w:rPr>
          <w:rFonts w:eastAsia="Times New Roman"/>
          <w:lang w:val="nl-NL"/>
        </w:rPr>
      </w:pPr>
      <w:bookmarkStart w:id="136" w:name="_Toc242191313"/>
      <w:r>
        <w:rPr>
          <w:rFonts w:eastAsia="Times New Roman"/>
          <w:lang w:val="nl-NL"/>
        </w:rPr>
        <w:t>Deel E — De verschillen op een rij</w:t>
      </w:r>
      <w:bookmarkEnd w:id="136"/>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570BD09B" w14:textId="77777777">
        <w:trPr>
          <w:divId w:val="2114661829"/>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915EDEC"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Aspect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95523EA"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België</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24FB627" w14:textId="77777777" w:rsidR="006B5103" w:rsidRDefault="006B5103">
            <w:pPr>
              <w:spacing w:before="200" w:after="360"/>
              <w:rPr>
                <w:rFonts w:eastAsia="Times New Roman"/>
                <w:b/>
                <w:bCs/>
                <w:color w:val="FFFFFF"/>
                <w:sz w:val="21"/>
                <w:szCs w:val="21"/>
              </w:rPr>
            </w:pPr>
            <w:r>
              <w:rPr>
                <w:rFonts w:eastAsia="Times New Roman"/>
                <w:b/>
                <w:bCs/>
                <w:color w:val="FFFFFF"/>
                <w:sz w:val="21"/>
                <w:szCs w:val="21"/>
              </w:rPr>
              <w:t>Nederland</w:t>
            </w:r>
          </w:p>
        </w:tc>
      </w:tr>
      <w:tr w:rsidR="00000000" w14:paraId="57F3892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B4EAD5C" w14:textId="77777777" w:rsidR="006B5103" w:rsidRDefault="006B5103">
            <w:pPr>
              <w:spacing w:before="200" w:after="360"/>
              <w:rPr>
                <w:rFonts w:eastAsia="Times New Roman"/>
                <w:sz w:val="21"/>
                <w:szCs w:val="21"/>
              </w:rPr>
            </w:pPr>
            <w:r>
              <w:rPr>
                <w:rStyle w:val="Zwaar"/>
                <w:rFonts w:eastAsia="Times New Roman"/>
                <w:sz w:val="21"/>
                <w:szCs w:val="21"/>
              </w:rPr>
              <w:t>Individuele klacht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5DA793" w14:textId="77777777" w:rsidR="006B5103" w:rsidRDefault="006B5103">
            <w:pPr>
              <w:spacing w:before="200" w:after="360"/>
              <w:rPr>
                <w:rFonts w:eastAsia="Times New Roman"/>
                <w:sz w:val="21"/>
                <w:szCs w:val="21"/>
              </w:rPr>
            </w:pPr>
            <w:r>
              <w:rPr>
                <w:rFonts w:eastAsia="Times New Roman"/>
                <w:sz w:val="21"/>
                <w:szCs w:val="21"/>
              </w:rPr>
              <w:t>Via Commissie Verzoekschriften · ontvankelijkheidstoets · doorverwijzing naar minister · schriftelijke uitleg binnen 6 weken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7F25D56" w14:textId="77777777" w:rsidR="006B5103" w:rsidRDefault="006B5103">
            <w:pPr>
              <w:spacing w:before="200" w:after="360"/>
              <w:rPr>
                <w:rFonts w:eastAsia="Times New Roman"/>
                <w:sz w:val="21"/>
                <w:szCs w:val="21"/>
              </w:rPr>
            </w:pPr>
            <w:r>
              <w:rPr>
                <w:rFonts w:eastAsia="Times New Roman"/>
                <w:sz w:val="21"/>
                <w:szCs w:val="21"/>
              </w:rPr>
              <w:t>Niet in behandeling · juridische weg moet openstaan of uitgeput zijn · brief aan Kamerlid leidt zelden tot actie</w:t>
            </w:r>
          </w:p>
        </w:tc>
      </w:tr>
      <w:tr w:rsidR="00000000" w14:paraId="3DF9B6F9"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E18000" w14:textId="77777777" w:rsidR="006B5103" w:rsidRDefault="006B5103">
            <w:pPr>
              <w:spacing w:before="200" w:after="360"/>
              <w:rPr>
                <w:rFonts w:eastAsia="Times New Roman"/>
                <w:sz w:val="21"/>
                <w:szCs w:val="21"/>
              </w:rPr>
            </w:pPr>
            <w:r>
              <w:rPr>
                <w:rStyle w:val="Zwaar"/>
                <w:rFonts w:eastAsia="Times New Roman"/>
                <w:sz w:val="21"/>
                <w:szCs w:val="21"/>
              </w:rPr>
              <w:t>Parlementair instrument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9F849E1" w14:textId="77777777" w:rsidR="006B5103" w:rsidRDefault="006B5103">
            <w:pPr>
              <w:spacing w:before="200" w:after="360"/>
              <w:rPr>
                <w:rFonts w:eastAsia="Times New Roman"/>
                <w:sz w:val="21"/>
                <w:szCs w:val="21"/>
              </w:rPr>
            </w:pPr>
            <w:r>
              <w:rPr>
                <w:rFonts w:eastAsia="Times New Roman"/>
                <w:sz w:val="21"/>
                <w:szCs w:val="21"/>
              </w:rPr>
              <w:t>Schriftelijke en mondelinge vragen · interpellaties · moties van aanbeveling · motie van wantrouwen · onderzoekscommissie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371A53" w14:textId="77777777" w:rsidR="006B5103" w:rsidRDefault="006B5103">
            <w:pPr>
              <w:spacing w:before="200" w:after="360"/>
              <w:rPr>
                <w:rFonts w:eastAsia="Times New Roman"/>
                <w:sz w:val="21"/>
                <w:szCs w:val="21"/>
              </w:rPr>
            </w:pPr>
            <w:r>
              <w:rPr>
                <w:rFonts w:eastAsia="Times New Roman"/>
                <w:sz w:val="21"/>
                <w:szCs w:val="21"/>
              </w:rPr>
              <w:t>Schriftelijke en mondelinge vragen · interpellaties · moties · dertigledendebat · parlementaire enquête</w:t>
            </w:r>
          </w:p>
        </w:tc>
      </w:tr>
      <w:tr w:rsidR="00000000" w14:paraId="46819D58"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ED399D" w14:textId="77777777" w:rsidR="006B5103" w:rsidRDefault="006B5103">
            <w:pPr>
              <w:spacing w:before="200" w:after="360"/>
              <w:rPr>
                <w:rFonts w:eastAsia="Times New Roman"/>
                <w:sz w:val="21"/>
                <w:szCs w:val="21"/>
              </w:rPr>
            </w:pPr>
            <w:r>
              <w:rPr>
                <w:rStyle w:val="Zwaar"/>
                <w:rFonts w:eastAsia="Times New Roman"/>
                <w:sz w:val="21"/>
                <w:szCs w:val="21"/>
              </w:rPr>
              <w:t>Zwaarste middel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AC7F6A1" w14:textId="77777777" w:rsidR="006B5103" w:rsidRDefault="006B5103">
            <w:pPr>
              <w:spacing w:before="200" w:after="360"/>
              <w:rPr>
                <w:rFonts w:eastAsia="Times New Roman"/>
                <w:sz w:val="21"/>
                <w:szCs w:val="21"/>
              </w:rPr>
            </w:pPr>
            <w:r>
              <w:rPr>
                <w:rFonts w:eastAsia="Times New Roman"/>
                <w:sz w:val="21"/>
                <w:szCs w:val="21"/>
              </w:rPr>
              <w:t>Parlementaire onderzoekscommissie · recht van onderzoek (art. 56 Grondwet)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44D59FA" w14:textId="77777777" w:rsidR="006B5103" w:rsidRDefault="006B5103">
            <w:pPr>
              <w:spacing w:before="200" w:after="360"/>
              <w:rPr>
                <w:rFonts w:eastAsia="Times New Roman"/>
                <w:sz w:val="21"/>
                <w:szCs w:val="21"/>
              </w:rPr>
            </w:pPr>
            <w:r>
              <w:rPr>
                <w:rFonts w:eastAsia="Times New Roman"/>
                <w:sz w:val="21"/>
                <w:szCs w:val="21"/>
              </w:rPr>
              <w:t>Parlementaire enquête · getuigen onder ede · wettelijke basis (Wet parlementaire enquête 2008)</w:t>
            </w:r>
          </w:p>
        </w:tc>
      </w:tr>
      <w:tr w:rsidR="00000000" w14:paraId="5BBBEA87"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7E046B" w14:textId="77777777" w:rsidR="006B5103" w:rsidRDefault="006B5103">
            <w:pPr>
              <w:spacing w:before="200" w:after="360"/>
              <w:rPr>
                <w:rFonts w:eastAsia="Times New Roman"/>
                <w:sz w:val="21"/>
                <w:szCs w:val="21"/>
              </w:rPr>
            </w:pPr>
            <w:r>
              <w:rPr>
                <w:rStyle w:val="Zwaar"/>
                <w:rFonts w:eastAsia="Times New Roman"/>
                <w:sz w:val="21"/>
                <w:szCs w:val="21"/>
              </w:rPr>
              <w:t>Praktijk in dit dossier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E7C79B3" w14:textId="77777777" w:rsidR="006B5103" w:rsidRDefault="006B5103">
            <w:pPr>
              <w:spacing w:before="200" w:after="360"/>
              <w:rPr>
                <w:rFonts w:eastAsia="Times New Roman"/>
                <w:sz w:val="21"/>
                <w:szCs w:val="21"/>
              </w:rPr>
            </w:pPr>
            <w:r>
              <w:rPr>
                <w:rFonts w:eastAsia="Times New Roman"/>
                <w:sz w:val="21"/>
                <w:szCs w:val="21"/>
              </w:rPr>
              <w:t>Verzoekschrift ontvankelijk verklaard, doorgestuurd, daarna stilte. Negen partijen aangeschreven, vijf reageerden niet, vier verwezen naar studiedienst of onbevoegd.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855B98C" w14:textId="77777777" w:rsidR="006B5103" w:rsidRDefault="006B5103">
            <w:pPr>
              <w:spacing w:before="200" w:after="360"/>
              <w:rPr>
                <w:rFonts w:eastAsia="Times New Roman"/>
                <w:sz w:val="21"/>
                <w:szCs w:val="21"/>
              </w:rPr>
            </w:pPr>
            <w:r>
              <w:rPr>
                <w:rFonts w:eastAsia="Times New Roman"/>
                <w:sz w:val="21"/>
                <w:szCs w:val="21"/>
              </w:rPr>
              <w:t>Brandbrief geregistreerd, geparkeerd voor commissiedebat, geen individuele actie. Partijen verwezen naar Ombudsman of studiedienst.</w:t>
            </w:r>
          </w:p>
        </w:tc>
      </w:tr>
      <w:tr w:rsidR="00000000" w14:paraId="3F414555" w14:textId="77777777">
        <w:trPr>
          <w:divId w:val="2114661829"/>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3211F7F" w14:textId="77777777" w:rsidR="006B5103" w:rsidRDefault="006B5103">
            <w:pPr>
              <w:spacing w:before="200" w:after="360"/>
              <w:rPr>
                <w:rFonts w:eastAsia="Times New Roman"/>
                <w:sz w:val="21"/>
                <w:szCs w:val="21"/>
              </w:rPr>
            </w:pPr>
            <w:r>
              <w:rPr>
                <w:rStyle w:val="Zwaar"/>
                <w:rFonts w:eastAsia="Times New Roman"/>
                <w:sz w:val="21"/>
                <w:szCs w:val="21"/>
              </w:rPr>
              <w:t>Doorlooptijd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8C23EE7" w14:textId="77777777" w:rsidR="006B5103" w:rsidRDefault="006B5103">
            <w:pPr>
              <w:spacing w:before="200" w:after="360"/>
              <w:rPr>
                <w:rFonts w:eastAsia="Times New Roman"/>
                <w:sz w:val="21"/>
                <w:szCs w:val="21"/>
              </w:rPr>
            </w:pPr>
            <w:r>
              <w:rPr>
                <w:rFonts w:eastAsia="Times New Roman"/>
                <w:sz w:val="21"/>
                <w:szCs w:val="21"/>
              </w:rPr>
              <w:t>Minister: 6 weken voor schriftelijke uitleg · daarna beslissing commissie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F3EFC0" w14:textId="77777777" w:rsidR="006B5103" w:rsidRDefault="006B5103">
            <w:pPr>
              <w:spacing w:before="200" w:after="360"/>
              <w:rPr>
                <w:rFonts w:eastAsia="Times New Roman"/>
                <w:sz w:val="21"/>
                <w:szCs w:val="21"/>
              </w:rPr>
            </w:pPr>
            <w:r>
              <w:rPr>
                <w:rFonts w:eastAsia="Times New Roman"/>
                <w:sz w:val="21"/>
                <w:szCs w:val="21"/>
              </w:rPr>
              <w:t>Geen termijn voor behandeling van individuele brieven · enquête: jaren</w:t>
            </w:r>
          </w:p>
        </w:tc>
      </w:tr>
    </w:tbl>
    <w:p w14:paraId="460DAAA4" w14:textId="77777777" w:rsidR="006B5103" w:rsidRDefault="006B5103">
      <w:pPr>
        <w:pStyle w:val="Kop3"/>
        <w:divId w:val="2114661829"/>
        <w:rPr>
          <w:rFonts w:eastAsia="Times New Roman"/>
          <w:lang w:val="nl-NL"/>
        </w:rPr>
      </w:pPr>
      <w:bookmarkStart w:id="137" w:name="_Toc242191314"/>
      <w:r>
        <w:rPr>
          <w:rFonts w:eastAsia="Times New Roman"/>
          <w:lang w:val="nl-NL"/>
        </w:rPr>
        <w:t>Deel F — De kracht van de framing</w:t>
      </w:r>
      <w:bookmarkEnd w:id="137"/>
    </w:p>
    <w:p w14:paraId="15582A7A" w14:textId="77777777" w:rsidR="006B5103" w:rsidRDefault="006B5103">
      <w:pPr>
        <w:pStyle w:val="Normaalweb"/>
        <w:divId w:val="2114661829"/>
        <w:rPr>
          <w:lang w:val="nl-NL"/>
        </w:rPr>
      </w:pPr>
      <w:r>
        <w:rPr>
          <w:lang w:val="nl-NL"/>
        </w:rPr>
        <w:t>Dit is het centrale inzicht. Dezelfde feiten kunnen op twee manieren worden gepresenteerd, en die twee presentaties leiden tot twee volstrekt verschillende reacties van de politiek.</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65761361"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2623613" w14:textId="77777777" w:rsidR="006B5103" w:rsidRDefault="006B5103">
            <w:pPr>
              <w:pStyle w:val="Normaalweb"/>
              <w:spacing w:before="120"/>
              <w:jc w:val="center"/>
              <w:rPr>
                <w:sz w:val="21"/>
                <w:szCs w:val="21"/>
              </w:rPr>
            </w:pPr>
            <w:r>
              <w:rPr>
                <w:noProof/>
                <w:sz w:val="21"/>
                <w:szCs w:val="21"/>
              </w:rPr>
              <w:drawing>
                <wp:inline distT="0" distB="0" distL="0" distR="0" wp14:anchorId="4E0C9248" wp14:editId="2BC8E4A3">
                  <wp:extent cx="5715000" cy="2952750"/>
                  <wp:effectExtent l="0" t="0" r="0" b="0"/>
                  <wp:docPr id="80"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link="rId86">
                            <a:extLst>
                              <a:ext uri="{28A0092B-C50C-407E-A947-70E740481C1C}">
                                <a14:useLocalDpi xmlns:a14="http://schemas.microsoft.com/office/drawing/2010/main" val="0"/>
                              </a:ext>
                            </a:extLst>
                          </a:blip>
                          <a:srcRect/>
                          <a:stretch>
                            <a:fillRect/>
                          </a:stretch>
                        </pic:blipFill>
                        <pic:spPr bwMode="auto">
                          <a:xfrm>
                            <a:off x="0" y="0"/>
                            <a:ext cx="5715000" cy="2952750"/>
                          </a:xfrm>
                          <a:prstGeom prst="rect">
                            <a:avLst/>
                          </a:prstGeom>
                          <a:noFill/>
                          <a:ln>
                            <a:noFill/>
                          </a:ln>
                        </pic:spPr>
                      </pic:pic>
                    </a:graphicData>
                  </a:graphic>
                </wp:inline>
              </w:drawing>
            </w:r>
          </w:p>
          <w:p w14:paraId="3CC17A1A" w14:textId="77777777" w:rsidR="006B5103" w:rsidRDefault="006B5103">
            <w:pPr>
              <w:pStyle w:val="caption"/>
              <w:spacing w:after="120" w:afterAutospacing="0"/>
            </w:pPr>
            <w:r>
              <w:rPr>
                <w:rStyle w:val="Zwaar"/>
              </w:rPr>
              <w:t>Figuur XVII.5 — Twee presentaties, twee reacties.</w:t>
            </w:r>
            <w:r>
              <w:t xml:space="preserve"> Dezelfde feiten, anders gepresenteerd. Als persoonlijke klacht: de politiek verklaart zich onbevoegd. Als institutionele audit: de politiek kan niet anders dan zich verhouden tot een systemisch probleem.</w:t>
            </w:r>
          </w:p>
        </w:tc>
      </w:tr>
    </w:tbl>
    <w:p w14:paraId="7DD26B91" w14:textId="77777777" w:rsidR="006B5103" w:rsidRDefault="006B5103">
      <w:pPr>
        <w:pStyle w:val="Kop3"/>
        <w:divId w:val="2114661829"/>
        <w:rPr>
          <w:rFonts w:eastAsia="Times New Roman"/>
          <w:lang w:val="nl-NL"/>
        </w:rPr>
      </w:pPr>
      <w:bookmarkStart w:id="138" w:name="_Toc242191315"/>
      <w:r>
        <w:rPr>
          <w:rFonts w:eastAsia="Times New Roman"/>
          <w:lang w:val="nl-NL"/>
        </w:rPr>
        <w:t>Deel G — Wat dit dossier doet</w:t>
      </w:r>
      <w:bookmarkEnd w:id="138"/>
    </w:p>
    <w:p w14:paraId="0C759922" w14:textId="77777777" w:rsidR="006B5103" w:rsidRDefault="006B5103">
      <w:pPr>
        <w:pStyle w:val="Normaalweb"/>
        <w:divId w:val="2114661829"/>
        <w:rPr>
          <w:lang w:val="nl-NL"/>
        </w:rPr>
      </w:pPr>
      <w:r>
        <w:rPr>
          <w:lang w:val="nl-NL"/>
        </w:rPr>
        <w:t>Dit dossier is geen klacht. Het is een audit. Dat is geen retorische keuze — het is een strategische keuze.</w:t>
      </w:r>
    </w:p>
    <w:p w14:paraId="16805FC8" w14:textId="77777777" w:rsidR="006B5103" w:rsidRDefault="006B5103">
      <w:pPr>
        <w:pStyle w:val="Normaalweb"/>
        <w:divId w:val="2114661829"/>
        <w:rPr>
          <w:lang w:val="nl-NL"/>
        </w:rPr>
      </w:pPr>
      <w:r>
        <w:rPr>
          <w:lang w:val="nl-NL"/>
        </w:rPr>
        <w:t>Een klacht wordt behandeld als een individueel probleem. Een audit wordt behandeld als een systemisch probleem. En alleen een systemisch probleem activeert de politieke instrumenten die tot echte verandering kunnen leiden.</w:t>
      </w:r>
    </w:p>
    <w:p w14:paraId="55E7387F" w14:textId="77777777" w:rsidR="006B5103" w:rsidRDefault="006B5103">
      <w:pPr>
        <w:pStyle w:val="Normaalweb"/>
        <w:divId w:val="2114661829"/>
        <w:rPr>
          <w:lang w:val="nl-NL"/>
        </w:rPr>
      </w:pPr>
      <w:r>
        <w:rPr>
          <w:lang w:val="nl-NL"/>
        </w:rPr>
        <w:t>De documenten in dit dossier zijn daarom opgebouwd als een audit:</w:t>
      </w:r>
    </w:p>
    <w:p w14:paraId="226F4CDC" w14:textId="77777777" w:rsidR="006B5103" w:rsidRDefault="006B5103">
      <w:pPr>
        <w:numPr>
          <w:ilvl w:val="0"/>
          <w:numId w:val="27"/>
        </w:numPr>
        <w:spacing w:before="100" w:beforeAutospacing="1" w:after="100" w:afterAutospacing="1"/>
        <w:divId w:val="2114661829"/>
        <w:rPr>
          <w:rFonts w:eastAsia="Times New Roman"/>
          <w:lang w:val="nl-NL"/>
        </w:rPr>
      </w:pPr>
      <w:r>
        <w:rPr>
          <w:rStyle w:val="Zwaar"/>
          <w:rFonts w:eastAsia="Times New Roman"/>
          <w:lang w:val="nl-NL"/>
        </w:rPr>
        <w:t>Document B</w:t>
      </w:r>
      <w:r>
        <w:rPr>
          <w:rFonts w:eastAsia="Times New Roman"/>
          <w:lang w:val="nl-NL"/>
        </w:rPr>
        <w:t xml:space="preserve"> is geen aaneenschakeling van klachten, maar een </w:t>
      </w:r>
      <w:r>
        <w:rPr>
          <w:rStyle w:val="Nadruk"/>
          <w:rFonts w:eastAsia="Times New Roman"/>
          <w:lang w:val="nl-NL"/>
        </w:rPr>
        <w:t>data-matrix</w:t>
      </w:r>
      <w:r>
        <w:rPr>
          <w:rFonts w:eastAsia="Times New Roman"/>
          <w:lang w:val="nl-NL"/>
        </w:rPr>
        <w:t>: een feitelijke vastlegging van datums, referentienummers en correspondentie.</w:t>
      </w:r>
    </w:p>
    <w:p w14:paraId="22E45CE7" w14:textId="77777777" w:rsidR="006B5103" w:rsidRDefault="006B5103">
      <w:pPr>
        <w:numPr>
          <w:ilvl w:val="0"/>
          <w:numId w:val="27"/>
        </w:numPr>
        <w:spacing w:before="100" w:beforeAutospacing="1" w:after="100" w:afterAutospacing="1"/>
        <w:divId w:val="2114661829"/>
        <w:rPr>
          <w:rFonts w:eastAsia="Times New Roman"/>
          <w:lang w:val="nl-NL"/>
        </w:rPr>
      </w:pPr>
      <w:r>
        <w:rPr>
          <w:rStyle w:val="Zwaar"/>
          <w:rFonts w:eastAsia="Times New Roman"/>
          <w:lang w:val="nl-NL"/>
        </w:rPr>
        <w:t>Document C</w:t>
      </w:r>
      <w:r>
        <w:rPr>
          <w:rFonts w:eastAsia="Times New Roman"/>
          <w:lang w:val="nl-NL"/>
        </w:rPr>
        <w:t xml:space="preserve"> is geen prentenboek, maar een </w:t>
      </w:r>
      <w:r>
        <w:rPr>
          <w:rStyle w:val="Nadruk"/>
          <w:rFonts w:eastAsia="Times New Roman"/>
          <w:lang w:val="nl-NL"/>
        </w:rPr>
        <w:t>visuele architectuur</w:t>
      </w:r>
      <w:r>
        <w:rPr>
          <w:rFonts w:eastAsia="Times New Roman"/>
          <w:lang w:val="nl-NL"/>
        </w:rPr>
        <w:t>: een structurele analyse van de institutionele lagen en de mechanismen die het falen veroorzaken.</w:t>
      </w:r>
    </w:p>
    <w:p w14:paraId="2DCCE09D" w14:textId="77777777" w:rsidR="006B5103" w:rsidRDefault="006B5103">
      <w:pPr>
        <w:numPr>
          <w:ilvl w:val="0"/>
          <w:numId w:val="27"/>
        </w:numPr>
        <w:spacing w:before="100" w:beforeAutospacing="1" w:after="100" w:afterAutospacing="1"/>
        <w:divId w:val="2114661829"/>
        <w:rPr>
          <w:rFonts w:eastAsia="Times New Roman"/>
          <w:lang w:val="nl-NL"/>
        </w:rPr>
      </w:pPr>
      <w:r>
        <w:rPr>
          <w:rStyle w:val="Zwaar"/>
          <w:rFonts w:eastAsia="Times New Roman"/>
          <w:lang w:val="nl-NL"/>
        </w:rPr>
        <w:t>Document D</w:t>
      </w:r>
      <w:r>
        <w:rPr>
          <w:rFonts w:eastAsia="Times New Roman"/>
          <w:lang w:val="nl-NL"/>
        </w:rPr>
        <w:t xml:space="preserve"> is geen samenvatting, maar een </w:t>
      </w:r>
      <w:r>
        <w:rPr>
          <w:rStyle w:val="Nadruk"/>
          <w:rFonts w:eastAsia="Times New Roman"/>
          <w:lang w:val="nl-NL"/>
        </w:rPr>
        <w:t>synthese</w:t>
      </w:r>
      <w:r>
        <w:rPr>
          <w:rFonts w:eastAsia="Times New Roman"/>
          <w:lang w:val="nl-NL"/>
        </w:rPr>
        <w:t>: de conclusies en de drie bouwstenen voor hervorming.</w:t>
      </w:r>
    </w:p>
    <w:p w14:paraId="27D1A095" w14:textId="77777777" w:rsidR="006B5103" w:rsidRDefault="006B5103">
      <w:pPr>
        <w:pStyle w:val="Normaalweb"/>
        <w:divId w:val="2114661829"/>
        <w:rPr>
          <w:lang w:val="nl-NL"/>
        </w:rPr>
      </w:pPr>
      <w:r>
        <w:rPr>
          <w:lang w:val="nl-NL"/>
        </w:rPr>
        <w:t>Het verschil is niet cosmetisch. Het bepaalt of de politiek het dossier kan wegschuiven — "wij gaan niet over individuele dossiers" — of dat ze zich ertoe moet verhouden.</w:t>
      </w:r>
    </w:p>
    <w:p w14:paraId="300A3ACA"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De feiten zijn gebaseerd op Document B. De constitutionele basis is artikel 33, 36, 37 en 40 van de Belgische Grondwet, en artikel 42 en 68 van de Nederlandse Grondwet. De parlementaire procedures zijn gebaseerd op de reglementen van de Kamer van Volksvertegenwoordigers en de Tweede Kamer. De informatie over de toeslagenaffaire is gebaseerd op openbare rapporten van de Nationale Ombudsman en de parlementaire enquêtecommissie. Dit hoofdstuk is geen juridisch advies.</w:t>
      </w:r>
    </w:p>
    <w:p w14:paraId="442753BA" w14:textId="77777777" w:rsidR="006B5103" w:rsidRDefault="006B5103">
      <w:pPr>
        <w:pStyle w:val="marker"/>
        <w:ind w:left="800" w:right="800"/>
        <w:divId w:val="2114661829"/>
        <w:rPr>
          <w:lang w:val="nl-NL"/>
        </w:rPr>
      </w:pPr>
      <w:r>
        <w:br w:type="page"/>
      </w:r>
    </w:p>
    <w:p w14:paraId="6719F895" w14:textId="77777777" w:rsidR="006B5103" w:rsidRDefault="006B5103">
      <w:pPr>
        <w:pStyle w:val="Kop2"/>
        <w:divId w:val="2114661829"/>
        <w:rPr>
          <w:rFonts w:eastAsia="Times New Roman"/>
          <w:lang w:val="nl-NL"/>
        </w:rPr>
      </w:pPr>
      <w:bookmarkStart w:id="139" w:name="_Toc242191316"/>
      <w:r>
        <w:rPr>
          <w:rFonts w:eastAsia="Times New Roman"/>
          <w:lang w:val="nl-NL"/>
        </w:rPr>
        <w:t>De adel</w:t>
      </w:r>
      <w:bookmarkEnd w:id="139"/>
    </w:p>
    <w:p w14:paraId="6A624D89" w14:textId="77777777" w:rsidR="006B5103" w:rsidRDefault="006B5103">
      <w:pPr>
        <w:pStyle w:val="lead"/>
        <w:divId w:val="2114661829"/>
        <w:rPr>
          <w:lang w:val="nl-NL"/>
        </w:rPr>
      </w:pPr>
      <w:r>
        <w:rPr>
          <w:lang w:val="nl-NL"/>
        </w:rPr>
        <w:t>De koning is in België en Nederland het symbolische hoofd van de staat. Formeel heeft hij geen zelfstandige macht: zijn handelingen zijn alleen geldig met de medeondertekening van een verantwoordelijke minister. Toch ontvangt hij jaarlijks duizenden verzoekschriften van burgers. Die verzoekschriften zijn geen juridische procedures. Ze zijn een informeel kanaal — en juist omdat ze informeel zijn, kunnen ze de politieke agenda bereiken op een manier die formele klachten niet lukt.</w:t>
      </w:r>
    </w:p>
    <w:p w14:paraId="58455FB4" w14:textId="77777777" w:rsidR="006B5103" w:rsidRDefault="006B5103">
      <w:pPr>
        <w:pStyle w:val="Kop3"/>
        <w:divId w:val="2114661829"/>
        <w:rPr>
          <w:rFonts w:eastAsia="Times New Roman"/>
          <w:lang w:val="nl-NL"/>
        </w:rPr>
      </w:pPr>
      <w:bookmarkStart w:id="140" w:name="_Toc242191317"/>
      <w:r>
        <w:rPr>
          <w:rFonts w:eastAsia="Times New Roman"/>
          <w:lang w:val="nl-NL"/>
        </w:rPr>
        <w:t>Deel A — De formele macht: wat de koning wel en niet kan</w:t>
      </w:r>
      <w:bookmarkEnd w:id="140"/>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D2B2E8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8755B8C" w14:textId="77777777" w:rsidR="006B5103" w:rsidRDefault="006B5103">
            <w:pPr>
              <w:pStyle w:val="Normaalweb"/>
              <w:spacing w:before="120"/>
              <w:jc w:val="center"/>
              <w:rPr>
                <w:sz w:val="21"/>
                <w:szCs w:val="21"/>
              </w:rPr>
            </w:pPr>
            <w:r>
              <w:rPr>
                <w:noProof/>
                <w:sz w:val="21"/>
                <w:szCs w:val="21"/>
              </w:rPr>
              <w:drawing>
                <wp:inline distT="0" distB="0" distL="0" distR="0" wp14:anchorId="741C705D" wp14:editId="54F812D0">
                  <wp:extent cx="5715000" cy="2286000"/>
                  <wp:effectExtent l="0" t="0" r="0" b="0"/>
                  <wp:docPr id="81"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link="rId87">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p w14:paraId="4945FDEC" w14:textId="77777777" w:rsidR="006B5103" w:rsidRDefault="006B5103">
            <w:pPr>
              <w:pStyle w:val="caption"/>
              <w:spacing w:after="120" w:afterAutospacing="0"/>
            </w:pPr>
            <w:r>
              <w:rPr>
                <w:rStyle w:val="Zwaar"/>
              </w:rPr>
              <w:t>Figuur XVIII.1 — De formele positie van de koning.</w:t>
            </w:r>
            <w:r>
              <w:t xml:space="preserve"> In België maakt de Koning deel uit van de wetgevende macht (art. 36) en berust de uitvoerende macht bij hem (art. 37), maar geen enkele akte is geldig zonder medeondertekening van een minister (art. 106). In Nederland is de Koning onschendbaar (art. 42) en beschikt hij niet over zelfstandige staatsrechtelijke bevoegdheden. In beide landen: de koning regeert, maar bestuurt niet.</w:t>
            </w:r>
          </w:p>
        </w:tc>
      </w:tr>
    </w:tbl>
    <w:p w14:paraId="1CA42106" w14:textId="77777777" w:rsidR="006B5103" w:rsidRDefault="006B5103">
      <w:pPr>
        <w:pStyle w:val="Kop3"/>
        <w:divId w:val="2114661829"/>
        <w:rPr>
          <w:rFonts w:eastAsia="Times New Roman"/>
          <w:lang w:val="nl-NL"/>
        </w:rPr>
      </w:pPr>
      <w:bookmarkStart w:id="141" w:name="_Toc242191318"/>
      <w:r>
        <w:rPr>
          <w:rFonts w:eastAsia="Times New Roman"/>
          <w:lang w:val="nl-NL"/>
        </w:rPr>
        <w:t>Deel B — Het petitierecht</w:t>
      </w:r>
      <w:bookmarkEnd w:id="141"/>
    </w:p>
    <w:p w14:paraId="5F9396F4" w14:textId="77777777" w:rsidR="006B5103" w:rsidRDefault="006B5103">
      <w:pPr>
        <w:pStyle w:val="Normaalweb"/>
        <w:divId w:val="2114661829"/>
        <w:rPr>
          <w:lang w:val="nl-NL"/>
        </w:rPr>
      </w:pPr>
      <w:r>
        <w:rPr>
          <w:lang w:val="nl-NL"/>
        </w:rPr>
        <w:t>In beide landen is het recht om een verzoekschrift in te dienen grondwettelijk verankerd.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1B6BADB2"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C12FC30" w14:textId="77777777" w:rsidR="006B5103" w:rsidRDefault="006B5103">
            <w:pPr>
              <w:pStyle w:val="Normaalweb"/>
              <w:spacing w:before="120"/>
              <w:jc w:val="center"/>
              <w:rPr>
                <w:sz w:val="21"/>
                <w:szCs w:val="21"/>
              </w:rPr>
            </w:pPr>
            <w:r>
              <w:rPr>
                <w:noProof/>
                <w:sz w:val="21"/>
                <w:szCs w:val="21"/>
              </w:rPr>
              <w:drawing>
                <wp:inline distT="0" distB="0" distL="0" distR="0" wp14:anchorId="2BFDE425" wp14:editId="4BF687FC">
                  <wp:extent cx="5715000" cy="2000250"/>
                  <wp:effectExtent l="0" t="0" r="0" b="0"/>
                  <wp:docPr id="82"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link="rId88">
                            <a:extLst>
                              <a:ext uri="{28A0092B-C50C-407E-A947-70E740481C1C}">
                                <a14:useLocalDpi xmlns:a14="http://schemas.microsoft.com/office/drawing/2010/main" val="0"/>
                              </a:ext>
                            </a:extLst>
                          </a:blip>
                          <a:srcRect/>
                          <a:stretch>
                            <a:fillRect/>
                          </a:stretch>
                        </pic:blipFill>
                        <pic:spPr bwMode="auto">
                          <a:xfrm>
                            <a:off x="0" y="0"/>
                            <a:ext cx="5715000" cy="2000250"/>
                          </a:xfrm>
                          <a:prstGeom prst="rect">
                            <a:avLst/>
                          </a:prstGeom>
                          <a:noFill/>
                          <a:ln>
                            <a:noFill/>
                          </a:ln>
                        </pic:spPr>
                      </pic:pic>
                    </a:graphicData>
                  </a:graphic>
                </wp:inline>
              </w:drawing>
            </w:r>
          </w:p>
          <w:p w14:paraId="3F618658" w14:textId="77777777" w:rsidR="006B5103" w:rsidRDefault="006B5103">
            <w:pPr>
              <w:pStyle w:val="caption"/>
              <w:spacing w:after="120" w:afterAutospacing="0"/>
            </w:pPr>
            <w:r>
              <w:rPr>
                <w:rStyle w:val="Zwaar"/>
              </w:rPr>
              <w:t>Figuur XVIII.2 — Het petitierecht.</w:t>
            </w:r>
            <w:r>
              <w:t xml:space="preserve"> </w:t>
            </w:r>
            <w:r>
              <w:t>In België is het petitierecht opgenomen in artikel 28 van de Grondwet, en artikel 57 geeft de Kamer van Volksvertegenwoordigers de bevoegdheid om verzoekschriften naar de ministers te verwijzen, die verplicht zijn uitleg te verschaffen. In Nederland is het petitierecht opgenomen in artikel 5 van de Grondwet, zonder specifieke parlementaire procedure. De Tweede Kamer heeft een eigen regeling voor de Commissie voor de Verzoekschriften en Burgerinitiatieven.</w:t>
            </w:r>
          </w:p>
        </w:tc>
      </w:tr>
    </w:tbl>
    <w:p w14:paraId="0CF34355" w14:textId="77777777" w:rsidR="006B5103" w:rsidRDefault="006B5103">
      <w:pPr>
        <w:pStyle w:val="Kop3"/>
        <w:divId w:val="2114661829"/>
        <w:rPr>
          <w:rFonts w:eastAsia="Times New Roman"/>
          <w:lang w:val="nl-NL"/>
        </w:rPr>
      </w:pPr>
      <w:bookmarkStart w:id="142" w:name="_Toc242191319"/>
      <w:r>
        <w:rPr>
          <w:rFonts w:eastAsia="Times New Roman"/>
          <w:lang w:val="nl-NL"/>
        </w:rPr>
        <w:t>Deel C — De praktijk: hoe petities worden behandeld</w:t>
      </w:r>
      <w:bookmarkEnd w:id="142"/>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4C814F5"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B6ADA29" w14:textId="77777777" w:rsidR="006B5103" w:rsidRDefault="006B5103">
            <w:pPr>
              <w:pStyle w:val="Normaalweb"/>
              <w:spacing w:before="120"/>
              <w:jc w:val="center"/>
              <w:rPr>
                <w:sz w:val="21"/>
                <w:szCs w:val="21"/>
              </w:rPr>
            </w:pPr>
            <w:r>
              <w:rPr>
                <w:noProof/>
                <w:sz w:val="21"/>
                <w:szCs w:val="21"/>
              </w:rPr>
              <w:drawing>
                <wp:inline distT="0" distB="0" distL="0" distR="0" wp14:anchorId="412EA1D3" wp14:editId="4BCBA0E5">
                  <wp:extent cx="5715000" cy="2476500"/>
                  <wp:effectExtent l="0" t="0" r="0"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link="rId89">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14:paraId="7D403F44" w14:textId="77777777" w:rsidR="006B5103" w:rsidRDefault="006B5103">
            <w:pPr>
              <w:pStyle w:val="caption"/>
              <w:spacing w:after="120" w:afterAutospacing="0"/>
            </w:pPr>
            <w:r>
              <w:rPr>
                <w:rStyle w:val="Zwaar"/>
              </w:rPr>
              <w:t>Figuur XVIII.3 — De weg van een verzoekschrift.</w:t>
            </w:r>
            <w:r>
              <w:t xml:space="preserve"> In België ontvangt de Dienst Verzoekschriften van het Paleis jaarlijks ongeveer tienduizend aanvragen. Elke aanvraag wordt onderzocht en ofwel van advies voorzien, ofwel doorverwezen naar de meest geschikte instantie. In Nederland ontvangt het Kabinet van de Koning jaarlijks drieduizend tot vijfduizend brieven. Het Kabinet analyseert en draagt over aan de verantwoordelijke minister. In beide gevallen: geen bindende doorwerking.</w:t>
            </w:r>
          </w:p>
        </w:tc>
      </w:tr>
    </w:tbl>
    <w:p w14:paraId="2AD8BB38" w14:textId="77777777" w:rsidR="006B5103" w:rsidRDefault="006B5103">
      <w:pPr>
        <w:pStyle w:val="Kop3"/>
        <w:divId w:val="2114661829"/>
        <w:rPr>
          <w:rFonts w:eastAsia="Times New Roman"/>
          <w:lang w:val="nl-NL"/>
        </w:rPr>
      </w:pPr>
      <w:bookmarkStart w:id="143" w:name="_Toc242191320"/>
      <w:r>
        <w:rPr>
          <w:rFonts w:eastAsia="Times New Roman"/>
          <w:lang w:val="nl-NL"/>
        </w:rPr>
        <w:t>Deel D — De paradox van het informele kanaal</w:t>
      </w:r>
      <w:bookmarkEnd w:id="143"/>
    </w:p>
    <w:p w14:paraId="5793205E" w14:textId="77777777" w:rsidR="006B5103" w:rsidRDefault="006B5103">
      <w:pPr>
        <w:pStyle w:val="Normaalweb"/>
        <w:divId w:val="2114661829"/>
        <w:rPr>
          <w:lang w:val="nl-NL"/>
        </w:rPr>
      </w:pPr>
      <w:r>
        <w:rPr>
          <w:lang w:val="nl-NL"/>
        </w:rPr>
        <w:t>De koning heeft formeel geen macht. De minister is verantwoordelijk. De politiek bepaalt. En toch: het verzoekschrift aan de koning bereikt een plek die een gewone klacht niet bereikt.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451D42D8"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24DABDC" w14:textId="77777777" w:rsidR="006B5103" w:rsidRDefault="006B5103">
            <w:pPr>
              <w:pStyle w:val="Normaalweb"/>
              <w:spacing w:before="120"/>
              <w:jc w:val="center"/>
              <w:rPr>
                <w:sz w:val="21"/>
                <w:szCs w:val="21"/>
              </w:rPr>
            </w:pPr>
            <w:r>
              <w:rPr>
                <w:noProof/>
                <w:sz w:val="21"/>
                <w:szCs w:val="21"/>
              </w:rPr>
              <w:drawing>
                <wp:inline distT="0" distB="0" distL="0" distR="0" wp14:anchorId="4F8A9DAF" wp14:editId="5DE83C91">
                  <wp:extent cx="5715000" cy="1809750"/>
                  <wp:effectExtent l="0" t="0" r="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link="rId90">
                            <a:extLst>
                              <a:ext uri="{28A0092B-C50C-407E-A947-70E740481C1C}">
                                <a14:useLocalDpi xmlns:a14="http://schemas.microsoft.com/office/drawing/2010/main" val="0"/>
                              </a:ext>
                            </a:extLst>
                          </a:blip>
                          <a:srcRect/>
                          <a:stretch>
                            <a:fillRect/>
                          </a:stretch>
                        </pic:blipFill>
                        <pic:spPr bwMode="auto">
                          <a:xfrm>
                            <a:off x="0" y="0"/>
                            <a:ext cx="5715000" cy="1809750"/>
                          </a:xfrm>
                          <a:prstGeom prst="rect">
                            <a:avLst/>
                          </a:prstGeom>
                          <a:noFill/>
                          <a:ln>
                            <a:noFill/>
                          </a:ln>
                        </pic:spPr>
                      </pic:pic>
                    </a:graphicData>
                  </a:graphic>
                </wp:inline>
              </w:drawing>
            </w:r>
          </w:p>
          <w:p w14:paraId="38C6FE79" w14:textId="77777777" w:rsidR="006B5103" w:rsidRDefault="006B5103">
            <w:pPr>
              <w:pStyle w:val="caption"/>
              <w:spacing w:after="120" w:afterAutospacing="0"/>
            </w:pPr>
            <w:r>
              <w:rPr>
                <w:rStyle w:val="Zwaar"/>
              </w:rPr>
              <w:t>Figuur XVIII.4 — De paradox van het informele kanaal.</w:t>
            </w:r>
            <w:r>
              <w:t xml:space="preserve"> Een gewone klacht blijft in de uitvoerende laag. Een verzoekschrift aan de koning bereikt de politieke laag, omdat het door het Kabinet wordt geanalyseerd en door een minister moet worden beantwoord. De koning heeft geen macht, maar zijn postbus wel.</w:t>
            </w:r>
          </w:p>
        </w:tc>
      </w:tr>
    </w:tbl>
    <w:p w14:paraId="0E9A3EF9" w14:textId="77777777" w:rsidR="006B5103" w:rsidRDefault="006B5103">
      <w:pPr>
        <w:pStyle w:val="Kop3"/>
        <w:divId w:val="2114661829"/>
        <w:rPr>
          <w:rFonts w:eastAsia="Times New Roman"/>
          <w:lang w:val="nl-NL"/>
        </w:rPr>
      </w:pPr>
      <w:bookmarkStart w:id="144" w:name="_Toc242191321"/>
      <w:r>
        <w:rPr>
          <w:rFonts w:eastAsia="Times New Roman"/>
          <w:lang w:val="nl-NL"/>
        </w:rPr>
        <w:t>Deel E — De praktijk in dit dossier</w:t>
      </w:r>
      <w:bookmarkEnd w:id="144"/>
    </w:p>
    <w:p w14:paraId="4E6E9C84" w14:textId="77777777" w:rsidR="006B5103" w:rsidRDefault="006B5103">
      <w:pPr>
        <w:pStyle w:val="Normaalweb"/>
        <w:divId w:val="2114661829"/>
        <w:rPr>
          <w:lang w:val="nl-NL"/>
        </w:rPr>
      </w:pPr>
      <w:r>
        <w:rPr>
          <w:lang w:val="nl-NL"/>
        </w:rPr>
        <w:t>In dit dossier is in beide landen een verzoekschrift ingediend bij het staatshoofd.</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003578E"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477476D" w14:textId="77777777" w:rsidR="006B5103" w:rsidRDefault="006B5103">
            <w:pPr>
              <w:pStyle w:val="Normaalweb"/>
              <w:spacing w:before="120"/>
              <w:jc w:val="center"/>
              <w:rPr>
                <w:sz w:val="21"/>
                <w:szCs w:val="21"/>
              </w:rPr>
            </w:pPr>
            <w:r>
              <w:rPr>
                <w:noProof/>
                <w:sz w:val="21"/>
                <w:szCs w:val="21"/>
              </w:rPr>
              <w:drawing>
                <wp:inline distT="0" distB="0" distL="0" distR="0" wp14:anchorId="32579AC0" wp14:editId="31687C8A">
                  <wp:extent cx="5715000" cy="2000250"/>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link="rId91">
                            <a:extLst>
                              <a:ext uri="{28A0092B-C50C-407E-A947-70E740481C1C}">
                                <a14:useLocalDpi xmlns:a14="http://schemas.microsoft.com/office/drawing/2010/main" val="0"/>
                              </a:ext>
                            </a:extLst>
                          </a:blip>
                          <a:srcRect/>
                          <a:stretch>
                            <a:fillRect/>
                          </a:stretch>
                        </pic:blipFill>
                        <pic:spPr bwMode="auto">
                          <a:xfrm>
                            <a:off x="0" y="0"/>
                            <a:ext cx="5715000" cy="2000250"/>
                          </a:xfrm>
                          <a:prstGeom prst="rect">
                            <a:avLst/>
                          </a:prstGeom>
                          <a:noFill/>
                          <a:ln>
                            <a:noFill/>
                          </a:ln>
                        </pic:spPr>
                      </pic:pic>
                    </a:graphicData>
                  </a:graphic>
                </wp:inline>
              </w:drawing>
            </w:r>
          </w:p>
          <w:p w14:paraId="6EFBE168" w14:textId="77777777" w:rsidR="006B5103" w:rsidRDefault="006B5103">
            <w:pPr>
              <w:pStyle w:val="caption"/>
              <w:spacing w:after="120" w:afterAutospacing="0"/>
            </w:pPr>
            <w:r>
              <w:rPr>
                <w:rStyle w:val="Zwaar"/>
              </w:rPr>
              <w:t>Figuur XVIII.5 — De twee verzoekschriften.</w:t>
            </w:r>
            <w:r>
              <w:t xml:space="preserve"> </w:t>
            </w:r>
            <w:r>
              <w:t>In beide landen is een verzoekschrift naar het staatshoofd gestuurd. In België werkte de digitale weg niet door een DNS-fout op de mailserver van het Paleis; alleen de fysieke brief bereikte het Paleis. In Nederland werkte de digitale weg wel. In beide gevallen: doorverwijzing naar de verantwoordelijke minister, zonder inhoudelijke tussenkomst van de koning.</w:t>
            </w:r>
          </w:p>
        </w:tc>
      </w:tr>
    </w:tbl>
    <w:p w14:paraId="2B42B755" w14:textId="77777777" w:rsidR="006B5103" w:rsidRDefault="006B5103">
      <w:pPr>
        <w:pStyle w:val="Kop3"/>
        <w:divId w:val="2114661829"/>
        <w:rPr>
          <w:rFonts w:eastAsia="Times New Roman"/>
          <w:lang w:val="nl-NL"/>
        </w:rPr>
      </w:pPr>
      <w:bookmarkStart w:id="145" w:name="_Toc242191322"/>
      <w:r>
        <w:rPr>
          <w:rFonts w:eastAsia="Times New Roman"/>
          <w:lang w:val="nl-NL"/>
        </w:rPr>
        <w:t>Deel F — Wat dit hoofdstuk vaststelt</w:t>
      </w:r>
      <w:bookmarkEnd w:id="145"/>
    </w:p>
    <w:p w14:paraId="397FFC10" w14:textId="77777777" w:rsidR="006B5103" w:rsidRDefault="006B5103">
      <w:pPr>
        <w:pStyle w:val="Normaalweb"/>
        <w:divId w:val="2114661829"/>
        <w:rPr>
          <w:lang w:val="nl-NL"/>
        </w:rPr>
      </w:pPr>
      <w:r>
        <w:rPr>
          <w:lang w:val="nl-NL"/>
        </w:rPr>
        <w:t>De adel — de koning en zijn kabinet — heeft in België en Nederland geen uitvoerende macht. De koning regeert, maar bestuurt niet. Hij is onschendbaar, maar zijn handelingen zijn alleen geldig met de medeondertekening van een verantwoordelijke minister.</w:t>
      </w:r>
    </w:p>
    <w:p w14:paraId="7DF5D6E3" w14:textId="77777777" w:rsidR="006B5103" w:rsidRDefault="006B5103">
      <w:pPr>
        <w:pStyle w:val="Normaalweb"/>
        <w:divId w:val="2114661829"/>
        <w:rPr>
          <w:lang w:val="nl-NL"/>
        </w:rPr>
      </w:pPr>
      <w:r>
        <w:rPr>
          <w:lang w:val="nl-NL"/>
        </w:rPr>
        <w:t>Toch is het verzoekschrift aan de koning een kanaal dat de politieke laag wél bereikt. Een gewone klacht blijft in de uitvoerende laag. Een verzoekschrift aan de koning wordt door het Kabinet geanalyseerd, door een minister beantwoord, en — belangrijker — de minister is er politiek verantwoordelijk voor. Daarmee bereikt het signaal een plek waar de uitvoerende laag het niet kan negeren.</w:t>
      </w:r>
    </w:p>
    <w:p w14:paraId="5B41C3F1" w14:textId="77777777" w:rsidR="006B5103" w:rsidRDefault="006B5103">
      <w:pPr>
        <w:pStyle w:val="Normaalweb"/>
        <w:divId w:val="2114661829"/>
        <w:rPr>
          <w:lang w:val="nl-NL"/>
        </w:rPr>
      </w:pPr>
      <w:r>
        <w:rPr>
          <w:lang w:val="nl-NL"/>
        </w:rPr>
        <w:t>De paradox is dat de koning geen macht heeft, maar zijn postbus wel. Het is een informeel kanaal. Geen juridische procedure. Geen recht op een beslissing. Maar een kanaal dat het signaal een laag hoger brengt. En in een dossier waarin de uitvoerende laag weigert te luisteren, is dat niet niets.</w:t>
      </w:r>
    </w:p>
    <w:p w14:paraId="0506C999"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De constitutionele basis is artikel 28, 33, 36, 37, 57 en 106 van de Belgische Grondwet, en artikel 5, 42 en 68 van de Nederlandse Grondwet. De procedure voor verzoekschriften is gebaseerd op de officiële communicatie van het Koninklijk Paleis en het Kabinet van de Koning. Dit hoofdstuk is geen juridisch advies.</w:t>
      </w:r>
    </w:p>
    <w:p w14:paraId="7D0C07BC" w14:textId="77777777" w:rsidR="006B5103" w:rsidRDefault="006B5103">
      <w:pPr>
        <w:pStyle w:val="marker"/>
        <w:ind w:left="800" w:right="800"/>
        <w:divId w:val="2114661829"/>
        <w:rPr>
          <w:lang w:val="nl-NL"/>
        </w:rPr>
      </w:pPr>
      <w:r>
        <w:br w:type="page"/>
      </w:r>
    </w:p>
    <w:p w14:paraId="2D8DF463" w14:textId="77777777" w:rsidR="006B5103" w:rsidRDefault="006B5103">
      <w:pPr>
        <w:pStyle w:val="Kop2"/>
        <w:divId w:val="2114661829"/>
        <w:rPr>
          <w:rFonts w:eastAsia="Times New Roman"/>
          <w:lang w:val="nl-NL"/>
        </w:rPr>
      </w:pPr>
      <w:bookmarkStart w:id="146" w:name="_Toc242191323"/>
      <w:r>
        <w:rPr>
          <w:rFonts w:eastAsia="Times New Roman"/>
          <w:lang w:val="nl-NL"/>
        </w:rPr>
        <w:t>De bondgenoten en de waakhond</w:t>
      </w:r>
      <w:bookmarkEnd w:id="146"/>
    </w:p>
    <w:p w14:paraId="39E556A7" w14:textId="77777777" w:rsidR="006B5103" w:rsidRDefault="006B5103">
      <w:pPr>
        <w:pStyle w:val="lead"/>
        <w:divId w:val="2114661829"/>
        <w:rPr>
          <w:lang w:val="nl-NL"/>
        </w:rPr>
      </w:pPr>
      <w:r>
        <w:rPr>
          <w:lang w:val="nl-NL"/>
        </w:rPr>
        <w:t>Naast de overheid en de private markt bestaan er organisaties die de burger zouden moeten bijstaan: vakbonden, gelijkekansencentra, mensenrechtenorganisaties, academici. In dit dossier komen vier van hen aan bod. Eén helpt daadwerkelijk, met een fiscale dienst die het verschil maakt. Eén verklaart zich onbevoegd op een technisch criterium. En de academische wereld opent zich pas wanneer het dossier onweerlegbaar is geworden — en dan gaat het snel.</w:t>
      </w:r>
    </w:p>
    <w:p w14:paraId="2E3A1298" w14:textId="77777777" w:rsidR="006B5103" w:rsidRDefault="006B5103">
      <w:pPr>
        <w:pStyle w:val="Kop3"/>
        <w:divId w:val="2114661829"/>
        <w:rPr>
          <w:rFonts w:eastAsia="Times New Roman"/>
          <w:lang w:val="nl-NL"/>
        </w:rPr>
      </w:pPr>
      <w:bookmarkStart w:id="147" w:name="_Toc242191324"/>
      <w:r>
        <w:rPr>
          <w:rFonts w:eastAsia="Times New Roman"/>
          <w:lang w:val="nl-NL"/>
        </w:rPr>
        <w:t>Deel A — ACV: de vakbond die helpt en stopt</w:t>
      </w:r>
      <w:bookmarkEnd w:id="147"/>
    </w:p>
    <w:p w14:paraId="04E82777" w14:textId="77777777" w:rsidR="006B5103" w:rsidRDefault="006B5103">
      <w:pPr>
        <w:pStyle w:val="Normaalweb"/>
        <w:divId w:val="2114661829"/>
        <w:rPr>
          <w:lang w:val="nl-NL"/>
        </w:rPr>
      </w:pPr>
      <w:r>
        <w:rPr>
          <w:lang w:val="nl-NL"/>
        </w:rPr>
        <w:t>Het Algemeen Christelijk Vakverbond is de grootste Belgische vakbond. Naast syndicale vertegenwoordiging biedt het juridische bijstand, fiscale dienstverlening, en uitbetalingsdiensten voor werkloosheidsuitkeringen. In dit dossier speelt de vakbond drie rollen.</w:t>
      </w:r>
    </w:p>
    <w:p w14:paraId="593EB654" w14:textId="77777777" w:rsidR="006B5103" w:rsidRDefault="006B5103">
      <w:pPr>
        <w:pStyle w:val="Kop4"/>
        <w:divId w:val="2114661829"/>
        <w:rPr>
          <w:rFonts w:eastAsia="Times New Roman"/>
          <w:lang w:val="nl-NL"/>
        </w:rPr>
      </w:pPr>
      <w:r>
        <w:rPr>
          <w:rFonts w:eastAsia="Times New Roman"/>
          <w:lang w:val="nl-NL"/>
        </w:rPr>
        <w:t>Wat werkt: de fiscale dienst</w:t>
      </w:r>
    </w:p>
    <w:p w14:paraId="55E593E6" w14:textId="77777777" w:rsidR="006B5103" w:rsidRDefault="006B5103">
      <w:pPr>
        <w:pStyle w:val="Normaalweb"/>
        <w:divId w:val="2114661829"/>
        <w:rPr>
          <w:lang w:val="nl-NL"/>
        </w:rPr>
      </w:pPr>
      <w:r>
        <w:rPr>
          <w:lang w:val="nl-NL"/>
        </w:rPr>
        <w:t>Via de fiscale dienst van het ACV Oost-Vlaanderen wordt de jaarlijkse Belgische belastingaangifte opgemaakt. De code invaliditeit wordt correct ingevuld. De attesten voor kinderopvang worden manueel toegevoegd. Het resultaat is een terugbetaling van € 2.669,97, definitief ingediend op 25 september 2026. Deze dienstverlening functioneert naar behoren.</w:t>
      </w:r>
    </w:p>
    <w:p w14:paraId="6367C129" w14:textId="77777777" w:rsidR="006B5103" w:rsidRDefault="006B5103">
      <w:pPr>
        <w:pStyle w:val="Kop4"/>
        <w:divId w:val="2114661829"/>
        <w:rPr>
          <w:rFonts w:eastAsia="Times New Roman"/>
          <w:lang w:val="nl-NL"/>
        </w:rPr>
      </w:pPr>
      <w:r>
        <w:rPr>
          <w:rFonts w:eastAsia="Times New Roman"/>
          <w:lang w:val="nl-NL"/>
        </w:rPr>
        <w:t>Wat niet werkt: de juridische bijstand bij de CM</w:t>
      </w:r>
    </w:p>
    <w:p w14:paraId="1E6A1D3C" w14:textId="77777777" w:rsidR="006B5103" w:rsidRDefault="006B5103">
      <w:pPr>
        <w:pStyle w:val="Normaalweb"/>
        <w:divId w:val="2114661829"/>
        <w:rPr>
          <w:lang w:val="nl-NL"/>
        </w:rPr>
      </w:pPr>
      <w:r>
        <w:rPr>
          <w:lang w:val="nl-NL"/>
        </w:rPr>
        <w:t>Wanneer de CM de ziekte-uitkering weigert en de samentellingsregels niet toepast, wordt de vakbond formeel geactiveerd. Het is niet de patiënt die lid is, maar zijn partner — zelf vakbondsafgevaardigde in het onderwijs. Via haar functie roept ze de hulp in van het Christelijk Onderwijzersverbond, de onderwijstak van dezelfde vakbond.</w:t>
      </w:r>
    </w:p>
    <w:p w14:paraId="67F04A61" w14:textId="77777777" w:rsidR="006B5103" w:rsidRDefault="006B5103">
      <w:pPr>
        <w:pStyle w:val="Normaalweb"/>
        <w:divId w:val="2114661829"/>
        <w:rPr>
          <w:lang w:val="nl-NL"/>
        </w:rPr>
      </w:pPr>
      <w:r>
        <w:rPr>
          <w:lang w:val="nl-NL"/>
        </w:rPr>
        <w:t>De juridische dienst erkent de systeemfout volmondig. De administratieve scheiding tussen invaliditeit en handicap wordt bevestigd. Toch weigert de vakbond juridische interventie tegen de CM, met een formeel argument: de patiënt zelf heeft geen lidnummer. Het betalende lid — de partner — ondervindt de financiële nevenschade, maar krijgt geen rechtsbijstand voor een dossier dat niet op haar naam staat.</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202E6A90"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862654D" w14:textId="77777777" w:rsidR="006B5103" w:rsidRDefault="006B5103">
            <w:pPr>
              <w:pStyle w:val="Normaalweb"/>
              <w:spacing w:before="120"/>
              <w:jc w:val="center"/>
              <w:rPr>
                <w:sz w:val="21"/>
                <w:szCs w:val="21"/>
              </w:rPr>
            </w:pPr>
            <w:r>
              <w:rPr>
                <w:noProof/>
                <w:sz w:val="21"/>
                <w:szCs w:val="21"/>
              </w:rPr>
              <w:drawing>
                <wp:inline distT="0" distB="0" distL="0" distR="0" wp14:anchorId="3D53C230" wp14:editId="107E8943">
                  <wp:extent cx="5715000" cy="2286000"/>
                  <wp:effectExtent l="0" t="0" r="0"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p w14:paraId="41D4EA54" w14:textId="77777777" w:rsidR="006B5103" w:rsidRDefault="006B5103">
            <w:pPr>
              <w:pStyle w:val="caption"/>
              <w:spacing w:after="120" w:afterAutospacing="0"/>
            </w:pPr>
            <w:r>
              <w:rPr>
                <w:rStyle w:val="Zwaar"/>
              </w:rPr>
              <w:t>Figuur XXI.1 — ACV: twee poorten, twee uitkomsten.</w:t>
            </w:r>
            <w:r>
              <w:t xml:space="preserve"> De fiscale dienst werkt. De juridische dienst stopt bij de individuele lidmaatschapsgrens: alleen het lid dat zelf een dossier heeft, krijgt bijstand.</w:t>
            </w:r>
          </w:p>
        </w:tc>
      </w:tr>
    </w:tbl>
    <w:p w14:paraId="2FBAEC2F" w14:textId="77777777" w:rsidR="006B5103" w:rsidRDefault="006B5103">
      <w:pPr>
        <w:pStyle w:val="Kop3"/>
        <w:divId w:val="2114661829"/>
        <w:rPr>
          <w:rFonts w:eastAsia="Times New Roman"/>
          <w:lang w:val="nl-NL"/>
        </w:rPr>
      </w:pPr>
      <w:bookmarkStart w:id="148" w:name="_Toc242191325"/>
      <w:r>
        <w:rPr>
          <w:rFonts w:eastAsia="Times New Roman"/>
          <w:lang w:val="nl-NL"/>
        </w:rPr>
        <w:t>Deel B — UNIA: de waakhond die niet mag bijten</w:t>
      </w:r>
      <w:bookmarkEnd w:id="148"/>
    </w:p>
    <w:p w14:paraId="310380B2" w14:textId="77777777" w:rsidR="006B5103" w:rsidRDefault="006B5103">
      <w:pPr>
        <w:pStyle w:val="Normaalweb"/>
        <w:divId w:val="2114661829"/>
        <w:rPr>
          <w:lang w:val="nl-NL"/>
        </w:rPr>
      </w:pPr>
      <w:r>
        <w:rPr>
          <w:lang w:val="nl-NL"/>
        </w:rPr>
        <w:t>UNIA is het Interfederaal Gelijkekansencentrum. Het is de Belgische onafhankelijke waakhond tegen discriminatie. Wanneer uitvoerende instanties weigeren een burger te erkennen op basis van zijn woonplaats in een buurland, rijst de vraag of dat discriminatie is.</w:t>
      </w:r>
    </w:p>
    <w:p w14:paraId="6E6CFA4A" w14:textId="77777777" w:rsidR="006B5103" w:rsidRDefault="006B5103">
      <w:pPr>
        <w:pStyle w:val="Normaalweb"/>
        <w:divId w:val="2114661829"/>
        <w:rPr>
          <w:lang w:val="nl-NL"/>
        </w:rPr>
      </w:pPr>
      <w:r>
        <w:rPr>
          <w:lang w:val="nl-NL"/>
        </w:rPr>
        <w:t>In april 2026 wordt UNIA formeel op de hoogte gesteld van de structurele uitsluiting van grensarbeiders. De melding betreft de weigering van medische erkenningen puur vanwege een Nederlands domicilie.</w:t>
      </w:r>
    </w:p>
    <w:p w14:paraId="65CAC99D" w14:textId="77777777" w:rsidR="006B5103" w:rsidRDefault="006B5103">
      <w:pPr>
        <w:pStyle w:val="Normaalweb"/>
        <w:divId w:val="2114661829"/>
        <w:rPr>
          <w:lang w:val="nl-NL"/>
        </w:rPr>
      </w:pPr>
      <w:r>
        <w:rPr>
          <w:lang w:val="nl-NL"/>
        </w:rPr>
        <w:t>De beoordeling door UNIA ontmaskert een tekort in de Belgische antidiscriminatiewetgeving. De waakhond verklaart zich formeel onbevoegd, om twee dodelijke redenen.</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371CDC3"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FA5790F" w14:textId="77777777" w:rsidR="006B5103" w:rsidRDefault="006B5103">
            <w:pPr>
              <w:pStyle w:val="Normaalweb"/>
              <w:spacing w:before="120"/>
              <w:jc w:val="center"/>
              <w:rPr>
                <w:sz w:val="21"/>
                <w:szCs w:val="21"/>
              </w:rPr>
            </w:pPr>
            <w:r>
              <w:rPr>
                <w:noProof/>
                <w:sz w:val="21"/>
                <w:szCs w:val="21"/>
              </w:rPr>
              <w:drawing>
                <wp:inline distT="0" distB="0" distL="0" distR="0" wp14:anchorId="24B71536" wp14:editId="61647B9F">
                  <wp:extent cx="5715000" cy="2190750"/>
                  <wp:effectExtent l="0" t="0" r="0" b="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link="rId93">
                            <a:extLst>
                              <a:ext uri="{28A0092B-C50C-407E-A947-70E740481C1C}">
                                <a14:useLocalDpi xmlns:a14="http://schemas.microsoft.com/office/drawing/2010/main" val="0"/>
                              </a:ext>
                            </a:extLst>
                          </a:blip>
                          <a:srcRect/>
                          <a:stretch>
                            <a:fillRect/>
                          </a:stretch>
                        </pic:blipFill>
                        <pic:spPr bwMode="auto">
                          <a:xfrm>
                            <a:off x="0" y="0"/>
                            <a:ext cx="5715000" cy="2190750"/>
                          </a:xfrm>
                          <a:prstGeom prst="rect">
                            <a:avLst/>
                          </a:prstGeom>
                          <a:noFill/>
                          <a:ln>
                            <a:noFill/>
                          </a:ln>
                        </pic:spPr>
                      </pic:pic>
                    </a:graphicData>
                  </a:graphic>
                </wp:inline>
              </w:drawing>
            </w:r>
          </w:p>
          <w:p w14:paraId="7A21F2F0" w14:textId="77777777" w:rsidR="006B5103" w:rsidRDefault="006B5103">
            <w:pPr>
              <w:pStyle w:val="caption"/>
              <w:spacing w:after="120" w:afterAutospacing="0"/>
            </w:pPr>
            <w:r>
              <w:rPr>
                <w:rStyle w:val="Zwaar"/>
              </w:rPr>
              <w:t>Figuur XXI.2 — De onbevoegdheid van UNIA.</w:t>
            </w:r>
            <w:r>
              <w:t xml:space="preserve"> UNIA verklaart zich onbevoegd om twee redenen: woonplaats is geen beschermd criterium in de antidiscriminatiewetgeving, en de uitsluiting vloeit voort uit de wet zelf.</w:t>
            </w:r>
          </w:p>
        </w:tc>
      </w:tr>
    </w:tbl>
    <w:p w14:paraId="3FEF6CF5" w14:textId="77777777" w:rsidR="006B5103" w:rsidRDefault="006B5103">
      <w:pPr>
        <w:pStyle w:val="Normaalweb"/>
        <w:divId w:val="2114661829"/>
        <w:rPr>
          <w:lang w:val="nl-NL"/>
        </w:rPr>
      </w:pPr>
      <w:r>
        <w:rPr>
          <w:lang w:val="nl-NL"/>
        </w:rPr>
        <w:t>UNIA sluit het dossier. En bevestigt daarmee ongewild dat de uitsluiting van grensarbeiders binnen het huidige systeem volkomen gelegaliseerd is.</w:t>
      </w:r>
    </w:p>
    <w:p w14:paraId="5F33D8E8" w14:textId="77777777" w:rsidR="006B5103" w:rsidRDefault="006B5103">
      <w:pPr>
        <w:pStyle w:val="Kop3"/>
        <w:divId w:val="2114661829"/>
        <w:rPr>
          <w:rFonts w:eastAsia="Times New Roman"/>
          <w:lang w:val="nl-NL"/>
        </w:rPr>
      </w:pPr>
      <w:bookmarkStart w:id="149" w:name="_Toc242191326"/>
      <w:r>
        <w:rPr>
          <w:rFonts w:eastAsia="Times New Roman"/>
          <w:lang w:val="nl-NL"/>
        </w:rPr>
        <w:t>Deel C — De academische observatielaag</w:t>
      </w:r>
      <w:bookmarkEnd w:id="149"/>
    </w:p>
    <w:p w14:paraId="63151751" w14:textId="77777777" w:rsidR="006B5103" w:rsidRDefault="006B5103">
      <w:pPr>
        <w:pStyle w:val="Normaalweb"/>
        <w:divId w:val="2114661829"/>
        <w:rPr>
          <w:lang w:val="nl-NL"/>
        </w:rPr>
      </w:pPr>
      <w:r>
        <w:rPr>
          <w:lang w:val="nl-NL"/>
        </w:rPr>
        <w:t>De academische wereld is de laatste laag die de burger zou kunnen bijstaan. Universiteiten en expertisecentra bestuderen systeemfalen, publiceren over institutionele uitsluiting, en beschikken over de analytische middelen om een dossier wetenschappelijk te wegen. Wat gebeurt er wanneer hen een levende casus wordt aangeboden?</w:t>
      </w:r>
    </w:p>
    <w:p w14:paraId="3B2C72DD" w14:textId="77777777" w:rsidR="006B5103" w:rsidRDefault="006B5103">
      <w:pPr>
        <w:pStyle w:val="Kop4"/>
        <w:divId w:val="2114661829"/>
        <w:rPr>
          <w:rFonts w:eastAsia="Times New Roman"/>
          <w:lang w:val="nl-NL"/>
        </w:rPr>
      </w:pPr>
      <w:r>
        <w:rPr>
          <w:rFonts w:eastAsia="Times New Roman"/>
          <w:lang w:val="nl-NL"/>
        </w:rPr>
        <w:t>Maanden van stilte</w:t>
      </w:r>
    </w:p>
    <w:p w14:paraId="333F6C77" w14:textId="77777777" w:rsidR="006B5103" w:rsidRDefault="006B5103">
      <w:pPr>
        <w:pStyle w:val="Normaalweb"/>
        <w:divId w:val="2114661829"/>
        <w:rPr>
          <w:lang w:val="nl-NL"/>
        </w:rPr>
      </w:pPr>
      <w:r>
        <w:rPr>
          <w:lang w:val="nl-NL"/>
        </w:rPr>
        <w:t>Tussen mei en september 2026 worden verschillende academici en instellingen aangeschreven. Het expertisecentrum ITEM van de Universiteit Maastricht, het Instituut voor Sociaal Recht van de KU Leuven, het Montaigne Centrum van de Universiteit Utrecht, transitie-instituut DRIFT van de Erasmus Universiteit, en Amsterdam UMC. De reacties zijn maandenlang stil. Er komt geen enkele inhoudelijke reactie op een dossier dat precies de thema's belichaamt waarover deze instellingen publiceren.</w:t>
      </w:r>
    </w:p>
    <w:p w14:paraId="2330E574" w14:textId="77777777" w:rsidR="006B5103" w:rsidRDefault="006B5103">
      <w:pPr>
        <w:pStyle w:val="Kop4"/>
        <w:divId w:val="2114661829"/>
        <w:rPr>
          <w:rFonts w:eastAsia="Times New Roman"/>
          <w:lang w:val="nl-NL"/>
        </w:rPr>
      </w:pPr>
      <w:r>
        <w:rPr>
          <w:rFonts w:eastAsia="Times New Roman"/>
          <w:lang w:val="nl-NL"/>
        </w:rPr>
        <w:t>De opening</w:t>
      </w:r>
    </w:p>
    <w:p w14:paraId="25DF4CEA" w14:textId="77777777" w:rsidR="006B5103" w:rsidRDefault="006B5103">
      <w:pPr>
        <w:pStyle w:val="Normaalweb"/>
        <w:divId w:val="2114661829"/>
        <w:rPr>
          <w:lang w:val="nl-NL"/>
        </w:rPr>
      </w:pPr>
      <w:r>
        <w:rPr>
          <w:lang w:val="nl-NL"/>
        </w:rPr>
        <w:t>Wanneer het volledige dossier in het najaar van 2026 de drempel van 250 pagina's onweerlegbaar empirisch materiaal overschrijdt, opent het expertisecentrum ITEM zich voor een inhoudelijke bestudering. Een hoogleraar bevestigt op 17 september 2026 de ontvangst van het dossier en zegt de stukken eerst te zullen lezen alvorens inhoudelijk te reageren.</w:t>
      </w:r>
    </w:p>
    <w:p w14:paraId="02966236" w14:textId="77777777" w:rsidR="006B5103" w:rsidRDefault="006B5103">
      <w:pPr>
        <w:pStyle w:val="Kop4"/>
        <w:divId w:val="2114661829"/>
        <w:rPr>
          <w:rFonts w:eastAsia="Times New Roman"/>
          <w:lang w:val="nl-NL"/>
        </w:rPr>
      </w:pPr>
      <w:r>
        <w:rPr>
          <w:rFonts w:eastAsia="Times New Roman"/>
          <w:lang w:val="nl-NL"/>
        </w:rPr>
        <w:t>Wat volgt</w:t>
      </w:r>
    </w:p>
    <w:p w14:paraId="5E4263BE" w14:textId="77777777" w:rsidR="006B5103" w:rsidRDefault="006B5103">
      <w:pPr>
        <w:pStyle w:val="Normaalweb"/>
        <w:divId w:val="2114661829"/>
        <w:rPr>
          <w:lang w:val="nl-NL"/>
        </w:rPr>
      </w:pPr>
      <w:r>
        <w:rPr>
          <w:lang w:val="nl-NL"/>
        </w:rPr>
        <w:t>In de week daarna wordt het dossier actief getoetst. Een onafhankelijk onderzoeker grensarbeid — werkzaam aan een academische instelling en niet bij het dossier betrokken — neemt het materiaal in behandeling en levert binnen enkele dagen een reeks van juridische analyses en alternatieve routes:</w:t>
      </w:r>
    </w:p>
    <w:p w14:paraId="33F95DB9" w14:textId="77777777" w:rsidR="006B5103" w:rsidRDefault="006B5103">
      <w:pPr>
        <w:numPr>
          <w:ilvl w:val="0"/>
          <w:numId w:val="28"/>
        </w:numPr>
        <w:spacing w:before="100" w:beforeAutospacing="1" w:after="100" w:afterAutospacing="1"/>
        <w:divId w:val="2114661829"/>
        <w:rPr>
          <w:rFonts w:eastAsia="Times New Roman"/>
          <w:lang w:val="nl-NL"/>
        </w:rPr>
      </w:pPr>
      <w:r>
        <w:rPr>
          <w:rFonts w:eastAsia="Times New Roman"/>
          <w:lang w:val="nl-NL"/>
        </w:rPr>
        <w:t>De Wajong-route en de beperkingen onder Bijlage X van Verordening 883/2004 (niet-exporteerbare uitkeringen).</w:t>
      </w:r>
    </w:p>
    <w:p w14:paraId="008D49B1" w14:textId="77777777" w:rsidR="006B5103" w:rsidRDefault="006B5103">
      <w:pPr>
        <w:numPr>
          <w:ilvl w:val="0"/>
          <w:numId w:val="28"/>
        </w:numPr>
        <w:spacing w:before="100" w:beforeAutospacing="1" w:after="100" w:afterAutospacing="1"/>
        <w:divId w:val="2114661829"/>
        <w:rPr>
          <w:rFonts w:eastAsia="Times New Roman"/>
          <w:lang w:val="nl-NL"/>
        </w:rPr>
      </w:pPr>
      <w:r>
        <w:rPr>
          <w:rFonts w:eastAsia="Times New Roman"/>
          <w:lang w:val="nl-NL"/>
        </w:rPr>
        <w:t>Het Schumacker-arrest (C-279/93) en de 90-procentnorm als grondslag voor fiscale gelijkstelling.</w:t>
      </w:r>
    </w:p>
    <w:p w14:paraId="4750C9B7" w14:textId="77777777" w:rsidR="006B5103" w:rsidRDefault="006B5103">
      <w:pPr>
        <w:numPr>
          <w:ilvl w:val="0"/>
          <w:numId w:val="28"/>
        </w:numPr>
        <w:spacing w:before="100" w:beforeAutospacing="1" w:after="100" w:afterAutospacing="1"/>
        <w:divId w:val="2114661829"/>
        <w:rPr>
          <w:rFonts w:eastAsia="Times New Roman"/>
          <w:lang w:val="nl-NL"/>
        </w:rPr>
      </w:pPr>
      <w:r>
        <w:rPr>
          <w:rFonts w:eastAsia="Times New Roman"/>
          <w:lang w:val="nl-NL"/>
        </w:rPr>
        <w:t>Het arrest-Dimitri Hendrix (C-385/17) over behoud van uitkering bij verhuizing.</w:t>
      </w:r>
    </w:p>
    <w:p w14:paraId="01575717" w14:textId="77777777" w:rsidR="006B5103" w:rsidRDefault="006B5103">
      <w:pPr>
        <w:numPr>
          <w:ilvl w:val="0"/>
          <w:numId w:val="28"/>
        </w:numPr>
        <w:spacing w:before="100" w:beforeAutospacing="1" w:after="100" w:afterAutospacing="1"/>
        <w:divId w:val="2114661829"/>
        <w:rPr>
          <w:rFonts w:eastAsia="Times New Roman"/>
          <w:lang w:val="nl-NL"/>
        </w:rPr>
      </w:pPr>
      <w:r>
        <w:rPr>
          <w:rFonts w:eastAsia="Times New Roman"/>
          <w:lang w:val="nl-NL"/>
        </w:rPr>
        <w:t>De koppeling tussen het Vester-arrest en de systeemtheorie van Frederic Vester.</w:t>
      </w:r>
    </w:p>
    <w:p w14:paraId="0EB4B1A0" w14:textId="77777777" w:rsidR="006B5103" w:rsidRDefault="006B5103">
      <w:pPr>
        <w:numPr>
          <w:ilvl w:val="0"/>
          <w:numId w:val="28"/>
        </w:numPr>
        <w:spacing w:before="100" w:beforeAutospacing="1" w:after="100" w:afterAutospacing="1"/>
        <w:divId w:val="2114661829"/>
        <w:rPr>
          <w:rFonts w:eastAsia="Times New Roman"/>
          <w:lang w:val="nl-NL"/>
        </w:rPr>
      </w:pPr>
      <w:r>
        <w:rPr>
          <w:rFonts w:eastAsia="Times New Roman"/>
          <w:lang w:val="nl-NL"/>
        </w:rPr>
        <w:t>De centrale rol van de tuchtklacht bij de Orde der Artsen als systeemknoop.</w:t>
      </w:r>
    </w:p>
    <w:p w14:paraId="450EF74E" w14:textId="77777777" w:rsidR="006B5103" w:rsidRDefault="006B5103">
      <w:pPr>
        <w:numPr>
          <w:ilvl w:val="0"/>
          <w:numId w:val="28"/>
        </w:numPr>
        <w:spacing w:before="100" w:beforeAutospacing="1" w:after="100" w:afterAutospacing="1"/>
        <w:divId w:val="2114661829"/>
        <w:rPr>
          <w:rFonts w:eastAsia="Times New Roman"/>
          <w:lang w:val="nl-NL"/>
        </w:rPr>
      </w:pPr>
      <w:r>
        <w:rPr>
          <w:rFonts w:eastAsia="Times New Roman"/>
          <w:lang w:val="nl-NL"/>
        </w:rPr>
        <w:t>De weigering van de Europese parkeerkaart door de gemeente Hulst.</w:t>
      </w:r>
    </w:p>
    <w:p w14:paraId="6A3248CF" w14:textId="77777777" w:rsidR="006B5103" w:rsidRDefault="006B5103">
      <w:pPr>
        <w:pStyle w:val="Normaalweb"/>
        <w:divId w:val="2114661829"/>
        <w:rPr>
          <w:lang w:val="nl-NL"/>
        </w:rPr>
      </w:pPr>
      <w:r>
        <w:rPr>
          <w:lang w:val="nl-NL"/>
        </w:rPr>
        <w:t>Daarnaast verkrijgt de onderzoeker een formele schriftelijke bevestiging van de FOD Financiën (Belasting Niet-Inwoners PG15 Ledeberg) dat het spontaan toevoegen van medische verklaringen bij de aangifte een geldige route is om de fiscale handicapstatus aan te tonen. Enkele dagen later levert hij een officieel schrijven van de Europese Commissie (DG EMPL, 25 september 2026) aan, waaruit blijkt dat de Commissie al sinds 2022 en 2023 drie inbreukklachten tegen België en Vlaanderen onderzoekt zonder tot een bes</w:t>
      </w:r>
      <w:r>
        <w:rPr>
          <w:lang w:val="nl-NL"/>
        </w:rPr>
        <w:t>luit te komen.</w:t>
      </w:r>
    </w:p>
    <w:p w14:paraId="26200AB6" w14:textId="77777777" w:rsidR="006B5103" w:rsidRDefault="006B5103">
      <w:pPr>
        <w:pStyle w:val="Normaalweb"/>
        <w:divId w:val="2114661829"/>
        <w:rPr>
          <w:lang w:val="nl-NL"/>
        </w:rPr>
      </w:pPr>
      <w:r>
        <w:rPr>
          <w:lang w:val="nl-NL"/>
        </w:rPr>
        <w:t>Wat maandenlang onmogelijk leek, gebeurt in vier dagen. Het academisch netwerk dat eerder zweeg, levert in één week een reeks van juridische doorbraken. De academische wereld werkt retrospectief, niet curatief — en wanneer zij eenmaal begint, werkt zij snel.</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012688BC"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647B5F8" w14:textId="77777777" w:rsidR="006B5103" w:rsidRDefault="006B5103">
            <w:pPr>
              <w:pStyle w:val="Normaalweb"/>
              <w:spacing w:before="120"/>
              <w:jc w:val="center"/>
              <w:rPr>
                <w:sz w:val="21"/>
                <w:szCs w:val="21"/>
              </w:rPr>
            </w:pPr>
            <w:r>
              <w:rPr>
                <w:noProof/>
                <w:sz w:val="21"/>
                <w:szCs w:val="21"/>
              </w:rPr>
              <w:drawing>
                <wp:inline distT="0" distB="0" distL="0" distR="0" wp14:anchorId="325996DF" wp14:editId="66E76A03">
                  <wp:extent cx="5715000" cy="2286000"/>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link="rId94">
                            <a:extLst>
                              <a:ext uri="{28A0092B-C50C-407E-A947-70E740481C1C}">
                                <a14:useLocalDpi xmlns:a14="http://schemas.microsoft.com/office/drawing/2010/main" val="0"/>
                              </a:ext>
                            </a:extLst>
                          </a:blip>
                          <a:srcRect/>
                          <a:stretch>
                            <a:fillRect/>
                          </a:stretch>
                        </pic:blipFill>
                        <pic:spPr bwMode="auto">
                          <a:xfrm>
                            <a:off x="0" y="0"/>
                            <a:ext cx="5715000" cy="2286000"/>
                          </a:xfrm>
                          <a:prstGeom prst="rect">
                            <a:avLst/>
                          </a:prstGeom>
                          <a:noFill/>
                          <a:ln>
                            <a:noFill/>
                          </a:ln>
                        </pic:spPr>
                      </pic:pic>
                    </a:graphicData>
                  </a:graphic>
                </wp:inline>
              </w:drawing>
            </w:r>
          </w:p>
          <w:p w14:paraId="781CBA5D" w14:textId="77777777" w:rsidR="006B5103" w:rsidRDefault="006B5103">
            <w:pPr>
              <w:pStyle w:val="caption"/>
              <w:spacing w:after="120" w:afterAutospacing="0"/>
            </w:pPr>
            <w:r>
              <w:rPr>
                <w:rStyle w:val="Zwaar"/>
              </w:rPr>
              <w:t>Figuur XXI.3 — Van stilte naar opening.</w:t>
            </w:r>
            <w:r>
              <w:t xml:space="preserve"> De academische wereld reageert maandenlang niet op het dossier. Pas wanneer het 250 pagina's onweerlegbaar materiaal bevat, opent het expertisecentrum ITEM zich voor een inhoudelijke bestudering. En dan gaat het snel: binnen vier dagen worden nieuwe juridische routes, arresten en systeemkoppelingen aangeleverd.</w:t>
            </w:r>
          </w:p>
        </w:tc>
      </w:tr>
    </w:tbl>
    <w:p w14:paraId="3E584D05" w14:textId="77777777" w:rsidR="006B5103" w:rsidRDefault="006B5103">
      <w:pPr>
        <w:pStyle w:val="Kop3"/>
        <w:divId w:val="2114661829"/>
        <w:rPr>
          <w:rFonts w:eastAsia="Times New Roman"/>
          <w:lang w:val="nl-NL"/>
        </w:rPr>
      </w:pPr>
      <w:bookmarkStart w:id="150" w:name="_Toc242191327"/>
      <w:r>
        <w:rPr>
          <w:rFonts w:eastAsia="Times New Roman"/>
          <w:lang w:val="nl-NL"/>
        </w:rPr>
        <w:t>Deel D — Wat dit hoofdstuk vaststelt</w:t>
      </w:r>
      <w:bookmarkEnd w:id="150"/>
    </w:p>
    <w:p w14:paraId="5C8F7F8C" w14:textId="77777777" w:rsidR="006B5103" w:rsidRDefault="006B5103">
      <w:pPr>
        <w:pStyle w:val="Normaalweb"/>
        <w:divId w:val="2114661829"/>
        <w:rPr>
          <w:lang w:val="nl-NL"/>
        </w:rPr>
      </w:pPr>
      <w:r>
        <w:rPr>
          <w:lang w:val="nl-NL"/>
        </w:rPr>
        <w:t>De vier bondgenoten die de burger zouden moeten bijstaan, werken alle vier binnen een eigen grens.</w:t>
      </w:r>
    </w:p>
    <w:p w14:paraId="081D1526" w14:textId="77777777" w:rsidR="006B5103" w:rsidRDefault="006B5103">
      <w:pPr>
        <w:pStyle w:val="Normaalweb"/>
        <w:divId w:val="2114661829"/>
        <w:rPr>
          <w:lang w:val="nl-NL"/>
        </w:rPr>
      </w:pPr>
      <w:r>
        <w:rPr>
          <w:lang w:val="nl-NL"/>
        </w:rPr>
        <w:t>De vakbond werkt voor de leden, maar alleen voor het dossier dat op hun naam staat.</w:t>
      </w:r>
    </w:p>
    <w:p w14:paraId="5EC10CDF" w14:textId="77777777" w:rsidR="006B5103" w:rsidRDefault="006B5103">
      <w:pPr>
        <w:pStyle w:val="Normaalweb"/>
        <w:divId w:val="2114661829"/>
        <w:rPr>
          <w:lang w:val="nl-NL"/>
        </w:rPr>
      </w:pPr>
      <w:r>
        <w:rPr>
          <w:lang w:val="nl-NL"/>
        </w:rPr>
        <w:t>UNIA werkt voor discriminatie, maar alleen voor discriminatie die niet uit de wet zelf voortvloeit.</w:t>
      </w:r>
    </w:p>
    <w:p w14:paraId="2F17BE73" w14:textId="77777777" w:rsidR="006B5103" w:rsidRDefault="006B5103">
      <w:pPr>
        <w:pStyle w:val="Normaalweb"/>
        <w:divId w:val="2114661829"/>
        <w:rPr>
          <w:lang w:val="nl-NL"/>
        </w:rPr>
      </w:pPr>
      <w:r>
        <w:rPr>
          <w:lang w:val="nl-NL"/>
        </w:rPr>
        <w:t>De academische wereld werkt voor de theorie, maar opent zich pas wanneer het dossier volledig en onweerlegbaar is geworden. Wat maandenlang stil bleef, wordt in enkele dagen actief. De inzet is dan niet meer het dossier, maar de wetenschappelijke validatie.</w:t>
      </w:r>
    </w:p>
    <w:p w14:paraId="3CF209C9" w14:textId="77777777" w:rsidR="006B5103" w:rsidRDefault="006B5103">
      <w:pPr>
        <w:pStyle w:val="Normaalweb"/>
        <w:divId w:val="2114661829"/>
        <w:rPr>
          <w:lang w:val="nl-NL"/>
        </w:rPr>
      </w:pPr>
      <w:r>
        <w:rPr>
          <w:lang w:val="nl-NL"/>
        </w:rPr>
        <w:t>En wat overblijft voor de burger, is dat de structurele uitsluiting van grensarbeiders niet alleen juridisch is gelegaliseerd, maar ook maatschappelijk is genormaliseerd. Wie het dossier opbouwt en volhoudt, krijgt uiteindelijk gehoor. Maar alleen wie het volhoudt.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2A195A8C" w14:textId="77777777">
        <w:trPr>
          <w:divId w:val="2114661829"/>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C6E2CDA" w14:textId="77777777" w:rsidR="006B5103" w:rsidRDefault="006B5103">
            <w:pPr>
              <w:spacing w:before="240" w:after="240"/>
              <w:rPr>
                <w:rFonts w:eastAsia="Times New Roman"/>
                <w:szCs w:val="22"/>
              </w:rPr>
            </w:pPr>
            <w:r>
              <w:rPr>
                <w:rStyle w:val="Zwaar"/>
                <w:rFonts w:eastAsia="Times New Roman"/>
                <w:szCs w:val="22"/>
              </w:rPr>
              <w:t>Voor wie in dezelfde situatie zit:</w:t>
            </w:r>
            <w:r>
              <w:rPr>
                <w:rFonts w:eastAsia="Times New Roman"/>
                <w:szCs w:val="22"/>
              </w:rPr>
              <w:t xml:space="preserve"> </w:t>
            </w:r>
          </w:p>
          <w:p w14:paraId="19BB6FF4" w14:textId="77777777" w:rsidR="006B5103" w:rsidRDefault="006B5103">
            <w:pPr>
              <w:numPr>
                <w:ilvl w:val="0"/>
                <w:numId w:val="29"/>
              </w:numPr>
              <w:spacing w:before="100" w:beforeAutospacing="1" w:after="100" w:afterAutospacing="1"/>
              <w:rPr>
                <w:rFonts w:eastAsia="Times New Roman"/>
                <w:szCs w:val="22"/>
              </w:rPr>
            </w:pPr>
            <w:r>
              <w:rPr>
                <w:rStyle w:val="Nadruk"/>
                <w:rFonts w:eastAsia="Times New Roman"/>
                <w:szCs w:val="22"/>
              </w:rPr>
              <w:t>Vakbond:</w:t>
            </w:r>
            <w:r>
              <w:rPr>
                <w:rFonts w:eastAsia="Times New Roman"/>
                <w:szCs w:val="22"/>
              </w:rPr>
              <w:t xml:space="preserve"> controleer op wiens naam de lidmaatschapsdossiers staan. Als het dossier niet op uw naam staat, kan de vakbond weigeren tussen te komen.</w:t>
            </w:r>
          </w:p>
          <w:p w14:paraId="46C2A56D" w14:textId="77777777" w:rsidR="006B5103" w:rsidRDefault="006B5103">
            <w:pPr>
              <w:numPr>
                <w:ilvl w:val="0"/>
                <w:numId w:val="29"/>
              </w:numPr>
              <w:spacing w:before="100" w:beforeAutospacing="1" w:after="100" w:afterAutospacing="1"/>
              <w:rPr>
                <w:rFonts w:eastAsia="Times New Roman"/>
                <w:szCs w:val="22"/>
              </w:rPr>
            </w:pPr>
            <w:r>
              <w:rPr>
                <w:rStyle w:val="Nadruk"/>
                <w:rFonts w:eastAsia="Times New Roman"/>
                <w:szCs w:val="22"/>
              </w:rPr>
              <w:t>UNIA:</w:t>
            </w:r>
            <w:r>
              <w:rPr>
                <w:rFonts w:eastAsia="Times New Roman"/>
                <w:szCs w:val="22"/>
              </w:rPr>
              <w:t xml:space="preserve"> als de uitsluiting uit een wet voortvloeit, kan UNIA niet tussenkomen. De enige weg is het Grondwettelijk Hof via een rechtszaak. Dat is lang en duur.</w:t>
            </w:r>
          </w:p>
          <w:p w14:paraId="345132DF" w14:textId="77777777" w:rsidR="006B5103" w:rsidRDefault="006B5103">
            <w:pPr>
              <w:numPr>
                <w:ilvl w:val="0"/>
                <w:numId w:val="29"/>
              </w:numPr>
              <w:spacing w:before="100" w:beforeAutospacing="1" w:after="100" w:afterAutospacing="1"/>
              <w:rPr>
                <w:rFonts w:eastAsia="Times New Roman"/>
                <w:szCs w:val="22"/>
              </w:rPr>
            </w:pPr>
            <w:r>
              <w:rPr>
                <w:rStyle w:val="Nadruk"/>
                <w:rFonts w:eastAsia="Times New Roman"/>
                <w:szCs w:val="22"/>
              </w:rPr>
              <w:t>Academie:</w:t>
            </w:r>
            <w:r>
              <w:rPr>
                <w:rFonts w:eastAsia="Times New Roman"/>
                <w:szCs w:val="22"/>
              </w:rPr>
              <w:t xml:space="preserve"> blijf het dossier aanbieden aan expertisecentra. Vaak pas wanneer een dossier compleet en onweerlegbaar is, opent een instituut zich. Het is een kwestie van volhouden en documenteren.</w:t>
            </w:r>
          </w:p>
        </w:tc>
      </w:tr>
    </w:tbl>
    <w:p w14:paraId="29B375EB"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De feiten zijn gebaseerd op Document B. De rol en het mandaat van UNIA zijn gebaseerd op de Belgische antidiscriminatiewetgeving (Wet van 10 mei 2007). De aangehaalde arresten zijn C-279/93 (Schumacker), C-134/18 (Vester), C-385/17 (Hendrix). Dit hoofdstuk is geen juridisch advies.</w:t>
      </w:r>
    </w:p>
    <w:p w14:paraId="5DE05F2E" w14:textId="77777777" w:rsidR="006B5103" w:rsidRDefault="006B5103">
      <w:pPr>
        <w:pStyle w:val="marker"/>
        <w:ind w:left="800" w:right="800"/>
        <w:divId w:val="2114661829"/>
        <w:rPr>
          <w:lang w:val="nl-NL"/>
        </w:rPr>
      </w:pPr>
      <w:r>
        <w:br w:type="page"/>
      </w:r>
    </w:p>
    <w:p w14:paraId="1F2BCEE9" w14:textId="77777777" w:rsidR="006B5103" w:rsidRDefault="006B5103">
      <w:pPr>
        <w:pStyle w:val="Kop1"/>
        <w:divId w:val="2114661829"/>
        <w:rPr>
          <w:rFonts w:eastAsia="Times New Roman"/>
          <w:lang w:val="nl-NL"/>
        </w:rPr>
      </w:pPr>
      <w:bookmarkStart w:id="151" w:name="_Toc242191328"/>
      <w:r>
        <w:rPr>
          <w:rFonts w:eastAsia="Times New Roman"/>
          <w:lang w:val="nl-NL"/>
        </w:rPr>
        <w:t>VII. Slot</w:t>
      </w:r>
      <w:bookmarkEnd w:id="151"/>
    </w:p>
    <w:p w14:paraId="6EAD87AD" w14:textId="77777777" w:rsidR="006B5103" w:rsidRDefault="006B5103">
      <w:pPr>
        <w:pStyle w:val="Kop2"/>
        <w:divId w:val="2114661829"/>
        <w:rPr>
          <w:rFonts w:eastAsia="Times New Roman"/>
          <w:lang w:val="nl-NL"/>
        </w:rPr>
      </w:pPr>
      <w:bookmarkStart w:id="152" w:name="_Toc242191329"/>
      <w:r>
        <w:rPr>
          <w:rFonts w:eastAsia="Times New Roman"/>
          <w:lang w:val="nl-NL"/>
        </w:rPr>
        <w:t>Slot — de volledige piramide</w:t>
      </w:r>
      <w:bookmarkEnd w:id="152"/>
    </w:p>
    <w:p w14:paraId="123AD92F" w14:textId="77777777" w:rsidR="006B5103" w:rsidRDefault="006B5103">
      <w:pPr>
        <w:pStyle w:val="lead"/>
        <w:divId w:val="2114661829"/>
        <w:rPr>
          <w:lang w:val="nl-NL"/>
        </w:rPr>
      </w:pPr>
      <w:r>
        <w:rPr>
          <w:lang w:val="nl-NL"/>
        </w:rPr>
        <w:t>Vijf lagen. Drieëntwintig hoofdstukken. Eén lichaam in het midden. Dit is het volledige speelbord van de Systeem-Audit, in één oogopslag.</w:t>
      </w:r>
    </w:p>
    <w:p w14:paraId="76AA91C0" w14:textId="77777777" w:rsidR="006B5103" w:rsidRDefault="006B5103">
      <w:pPr>
        <w:pStyle w:val="Kop3"/>
        <w:divId w:val="2114661829"/>
        <w:rPr>
          <w:rFonts w:eastAsia="Times New Roman"/>
          <w:lang w:val="nl-NL"/>
        </w:rPr>
      </w:pPr>
      <w:bookmarkStart w:id="153" w:name="_Toc242191330"/>
      <w:r>
        <w:rPr>
          <w:rFonts w:eastAsia="Times New Roman"/>
          <w:lang w:val="nl-NL"/>
        </w:rPr>
        <w:t>De piramide</w:t>
      </w:r>
      <w:bookmarkEnd w:id="153"/>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54DD803A"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8A65D01" w14:textId="77777777" w:rsidR="006B5103" w:rsidRDefault="006B5103">
            <w:pPr>
              <w:pStyle w:val="Normaalweb"/>
              <w:spacing w:before="120"/>
              <w:jc w:val="center"/>
              <w:rPr>
                <w:sz w:val="21"/>
                <w:szCs w:val="21"/>
              </w:rPr>
            </w:pPr>
            <w:r>
              <w:rPr>
                <w:noProof/>
                <w:sz w:val="21"/>
                <w:szCs w:val="21"/>
              </w:rPr>
              <w:drawing>
                <wp:inline distT="0" distB="0" distL="0" distR="0" wp14:anchorId="6FB8B066" wp14:editId="56DADA77">
                  <wp:extent cx="5715000" cy="3676650"/>
                  <wp:effectExtent l="0" t="0" r="0" b="0"/>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link="rId95">
                            <a:extLst>
                              <a:ext uri="{28A0092B-C50C-407E-A947-70E740481C1C}">
                                <a14:useLocalDpi xmlns:a14="http://schemas.microsoft.com/office/drawing/2010/main" val="0"/>
                              </a:ext>
                            </a:extLst>
                          </a:blip>
                          <a:srcRect/>
                          <a:stretch>
                            <a:fillRect/>
                          </a:stretch>
                        </pic:blipFill>
                        <pic:spPr bwMode="auto">
                          <a:xfrm>
                            <a:off x="0" y="0"/>
                            <a:ext cx="5715000" cy="3676650"/>
                          </a:xfrm>
                          <a:prstGeom prst="rect">
                            <a:avLst/>
                          </a:prstGeom>
                          <a:noFill/>
                          <a:ln>
                            <a:noFill/>
                          </a:ln>
                        </pic:spPr>
                      </pic:pic>
                    </a:graphicData>
                  </a:graphic>
                </wp:inline>
              </w:drawing>
            </w:r>
          </w:p>
          <w:p w14:paraId="714A925A" w14:textId="77777777" w:rsidR="006B5103" w:rsidRDefault="006B5103">
            <w:pPr>
              <w:pStyle w:val="caption"/>
              <w:spacing w:after="120" w:afterAutospacing="0"/>
            </w:pPr>
            <w:r>
              <w:rPr>
                <w:rStyle w:val="Zwaar"/>
              </w:rPr>
              <w:t>Figuur XXIII.1 — De volledige piramide.</w:t>
            </w:r>
            <w:r>
              <w:t xml:space="preserve"> Vijf lagen. Bovenaan Europa en internationaal, dan de symboliek, dan de politiek, dan het toezicht en de rechtspraak, en aan de basis de uitvoering en de private markt. Onderaan het lichaam, het gezin, waarvoor alles uiteindelijk gebeurt.</w:t>
            </w:r>
          </w:p>
        </w:tc>
      </w:tr>
    </w:tbl>
    <w:p w14:paraId="508D22E3" w14:textId="77777777" w:rsidR="006B5103" w:rsidRDefault="006B5103">
      <w:pPr>
        <w:pStyle w:val="Kop3"/>
        <w:divId w:val="2114661829"/>
        <w:rPr>
          <w:rFonts w:eastAsia="Times New Roman"/>
          <w:lang w:val="nl-NL"/>
        </w:rPr>
      </w:pPr>
      <w:bookmarkStart w:id="154" w:name="_Toc242191331"/>
      <w:r>
        <w:rPr>
          <w:rFonts w:eastAsia="Times New Roman"/>
          <w:lang w:val="nl-NL"/>
        </w:rPr>
        <w:t>Wat dit dossier heeft laten zien</w:t>
      </w:r>
      <w:bookmarkEnd w:id="154"/>
    </w:p>
    <w:p w14:paraId="518034EE" w14:textId="77777777" w:rsidR="006B5103" w:rsidRDefault="006B5103">
      <w:pPr>
        <w:pStyle w:val="Normaalweb"/>
        <w:divId w:val="2114661829"/>
        <w:rPr>
          <w:lang w:val="nl-NL"/>
        </w:rPr>
      </w:pPr>
      <w:r>
        <w:rPr>
          <w:lang w:val="nl-NL"/>
        </w:rPr>
        <w:t>Vijf lagen, elk met een eigen logica, elk met een eigen mandaat, elk met een eigen beperking. Wat het dossier heeft laten zien, is niet dat één laag faalt, maar dat de lagen samen falen op een manier die niemand kan repareren.</w:t>
      </w:r>
    </w:p>
    <w:p w14:paraId="3E7B7FD4" w14:textId="77777777" w:rsidR="006B5103" w:rsidRDefault="006B5103">
      <w:pPr>
        <w:numPr>
          <w:ilvl w:val="0"/>
          <w:numId w:val="30"/>
        </w:numPr>
        <w:spacing w:before="100" w:beforeAutospacing="1" w:after="100" w:afterAutospacing="1"/>
        <w:divId w:val="2114661829"/>
        <w:rPr>
          <w:rFonts w:eastAsia="Times New Roman"/>
          <w:lang w:val="nl-NL"/>
        </w:rPr>
      </w:pPr>
      <w:r>
        <w:rPr>
          <w:rStyle w:val="Zwaar"/>
          <w:rFonts w:eastAsia="Times New Roman"/>
          <w:lang w:val="nl-NL"/>
        </w:rPr>
        <w:t>De uitvoering</w:t>
      </w:r>
      <w:r>
        <w:rPr>
          <w:rFonts w:eastAsia="Times New Roman"/>
          <w:lang w:val="nl-NL"/>
        </w:rPr>
        <w:t xml:space="preserve"> past de regels toe, maar de regels zijn niet gebouwd voor wie in twee landen tegelijk bestaat.</w:t>
      </w:r>
    </w:p>
    <w:p w14:paraId="22E3BB0A" w14:textId="77777777" w:rsidR="006B5103" w:rsidRDefault="006B5103">
      <w:pPr>
        <w:numPr>
          <w:ilvl w:val="0"/>
          <w:numId w:val="30"/>
        </w:numPr>
        <w:spacing w:before="100" w:beforeAutospacing="1" w:after="100" w:afterAutospacing="1"/>
        <w:divId w:val="2114661829"/>
        <w:rPr>
          <w:rFonts w:eastAsia="Times New Roman"/>
          <w:lang w:val="nl-NL"/>
        </w:rPr>
      </w:pPr>
      <w:r>
        <w:rPr>
          <w:rStyle w:val="Zwaar"/>
          <w:rFonts w:eastAsia="Times New Roman"/>
          <w:lang w:val="nl-NL"/>
        </w:rPr>
        <w:t>Het toezicht</w:t>
      </w:r>
      <w:r>
        <w:rPr>
          <w:rFonts w:eastAsia="Times New Roman"/>
          <w:lang w:val="nl-NL"/>
        </w:rPr>
        <w:t xml:space="preserve"> </w:t>
      </w:r>
      <w:r>
        <w:rPr>
          <w:rFonts w:eastAsia="Times New Roman"/>
          <w:lang w:val="nl-NL"/>
        </w:rPr>
        <w:t>ziet de fout, maar verklaart zich onbevoegd of wacht op een andere instantie.</w:t>
      </w:r>
    </w:p>
    <w:p w14:paraId="158B2C01" w14:textId="77777777" w:rsidR="006B5103" w:rsidRDefault="006B5103">
      <w:pPr>
        <w:numPr>
          <w:ilvl w:val="0"/>
          <w:numId w:val="30"/>
        </w:numPr>
        <w:spacing w:before="100" w:beforeAutospacing="1" w:after="100" w:afterAutospacing="1"/>
        <w:divId w:val="2114661829"/>
        <w:rPr>
          <w:rFonts w:eastAsia="Times New Roman"/>
          <w:lang w:val="nl-NL"/>
        </w:rPr>
      </w:pPr>
      <w:r>
        <w:rPr>
          <w:rStyle w:val="Zwaar"/>
          <w:rFonts w:eastAsia="Times New Roman"/>
          <w:lang w:val="nl-NL"/>
        </w:rPr>
        <w:t>De rechtspraak</w:t>
      </w:r>
      <w:r>
        <w:rPr>
          <w:rFonts w:eastAsia="Times New Roman"/>
          <w:lang w:val="nl-NL"/>
        </w:rPr>
        <w:t xml:space="preserve"> kan dwingen, maar de toegang is beperkt door kosten en het peiljaar.</w:t>
      </w:r>
    </w:p>
    <w:p w14:paraId="1723CCC7" w14:textId="77777777" w:rsidR="006B5103" w:rsidRDefault="006B5103">
      <w:pPr>
        <w:numPr>
          <w:ilvl w:val="0"/>
          <w:numId w:val="30"/>
        </w:numPr>
        <w:spacing w:before="100" w:beforeAutospacing="1" w:after="100" w:afterAutospacing="1"/>
        <w:divId w:val="2114661829"/>
        <w:rPr>
          <w:rFonts w:eastAsia="Times New Roman"/>
          <w:lang w:val="nl-NL"/>
        </w:rPr>
      </w:pPr>
      <w:r>
        <w:rPr>
          <w:rStyle w:val="Zwaar"/>
          <w:rFonts w:eastAsia="Times New Roman"/>
          <w:lang w:val="nl-NL"/>
        </w:rPr>
        <w:t>De politiek</w:t>
      </w:r>
      <w:r>
        <w:rPr>
          <w:rFonts w:eastAsia="Times New Roman"/>
          <w:lang w:val="nl-NL"/>
        </w:rPr>
        <w:t xml:space="preserve"> kan de wet veranderen, maar reageert alleen op systeemfalen — niet op individuele klachten.</w:t>
      </w:r>
    </w:p>
    <w:p w14:paraId="53739A6D" w14:textId="77777777" w:rsidR="006B5103" w:rsidRDefault="006B5103">
      <w:pPr>
        <w:numPr>
          <w:ilvl w:val="0"/>
          <w:numId w:val="30"/>
        </w:numPr>
        <w:spacing w:before="100" w:beforeAutospacing="1" w:after="100" w:afterAutospacing="1"/>
        <w:divId w:val="2114661829"/>
        <w:rPr>
          <w:rFonts w:eastAsia="Times New Roman"/>
          <w:lang w:val="nl-NL"/>
        </w:rPr>
      </w:pPr>
      <w:r>
        <w:rPr>
          <w:rStyle w:val="Zwaar"/>
          <w:rFonts w:eastAsia="Times New Roman"/>
          <w:lang w:val="nl-NL"/>
        </w:rPr>
        <w:t>De symboliek</w:t>
      </w:r>
      <w:r>
        <w:rPr>
          <w:rFonts w:eastAsia="Times New Roman"/>
          <w:lang w:val="nl-NL"/>
        </w:rPr>
        <w:t xml:space="preserve"> heeft geen macht, maar wel een informeel kanaal dat de politieke laag kan bereiken.</w:t>
      </w:r>
    </w:p>
    <w:p w14:paraId="14F820EA" w14:textId="77777777" w:rsidR="006B5103" w:rsidRDefault="006B5103">
      <w:pPr>
        <w:numPr>
          <w:ilvl w:val="0"/>
          <w:numId w:val="30"/>
        </w:numPr>
        <w:spacing w:before="100" w:beforeAutospacing="1" w:after="100" w:afterAutospacing="1"/>
        <w:divId w:val="2114661829"/>
        <w:rPr>
          <w:rFonts w:eastAsia="Times New Roman"/>
          <w:lang w:val="nl-NL"/>
        </w:rPr>
      </w:pPr>
      <w:r>
        <w:rPr>
          <w:rStyle w:val="Zwaar"/>
          <w:rFonts w:eastAsia="Times New Roman"/>
          <w:lang w:val="nl-NL"/>
        </w:rPr>
        <w:t>Europa</w:t>
      </w:r>
      <w:r>
        <w:rPr>
          <w:rFonts w:eastAsia="Times New Roman"/>
          <w:lang w:val="nl-NL"/>
        </w:rPr>
        <w:t xml:space="preserve"> coördineert, maar harmoniseert niet. Elk land houdt zijn eigen stelsel.</w:t>
      </w:r>
    </w:p>
    <w:p w14:paraId="0E137845" w14:textId="77777777" w:rsidR="006B5103" w:rsidRDefault="006B5103">
      <w:pPr>
        <w:pStyle w:val="Normaalweb"/>
        <w:divId w:val="2114661829"/>
        <w:rPr>
          <w:lang w:val="nl-NL"/>
        </w:rPr>
      </w:pPr>
      <w:r>
        <w:rPr>
          <w:lang w:val="nl-NL"/>
        </w:rPr>
        <w:t>Wat overblijft is het lichaam. Een lichaam dat door alle lagen is gezien, beschreven en beoordeeld. En dat nergens volledig is erkend als één geheel. De mens draagt zelf de rol van data-hub, van dossierdrager, van verbindingskabel tussen twee systemen die elkaar niet lezen. En wanneer hij die rol niet meer kan dragen, valt het systeem stil.</w:t>
      </w:r>
    </w:p>
    <w:p w14:paraId="1BF99894" w14:textId="77777777" w:rsidR="006B5103" w:rsidRDefault="006B5103">
      <w:pPr>
        <w:pStyle w:val="Kop3"/>
        <w:divId w:val="2114661829"/>
        <w:rPr>
          <w:rFonts w:eastAsia="Times New Roman"/>
          <w:lang w:val="nl-NL"/>
        </w:rPr>
      </w:pPr>
      <w:bookmarkStart w:id="155" w:name="_Toc242191332"/>
      <w:r>
        <w:rPr>
          <w:rFonts w:eastAsia="Times New Roman"/>
          <w:lang w:val="nl-NL"/>
        </w:rPr>
        <w:t>De brug naar Document D</w:t>
      </w:r>
      <w:bookmarkEnd w:id="155"/>
    </w:p>
    <w:p w14:paraId="515F315E" w14:textId="77777777" w:rsidR="006B5103" w:rsidRDefault="006B5103">
      <w:pPr>
        <w:pStyle w:val="Normaalweb"/>
        <w:divId w:val="2114661829"/>
        <w:rPr>
          <w:lang w:val="nl-NL"/>
        </w:rPr>
      </w:pPr>
      <w:r>
        <w:rPr>
          <w:lang w:val="nl-NL"/>
        </w:rPr>
        <w:t>Document C heeft het speelbord en de mechanismen getoond. Document D trekt de conclusies. Drie bouwstenen voor hervorming, gebaseerd op het inzicht dat de fout niet bij de individuele ambtenaar zit, maar in de architectuur van de coördinatie zelf.</w:t>
      </w:r>
    </w:p>
    <w:p w14:paraId="4BF5C78D" w14:textId="77777777" w:rsidR="006B5103" w:rsidRDefault="006B5103">
      <w:pPr>
        <w:pStyle w:val="Normaalweb"/>
        <w:divId w:val="2114661829"/>
        <w:rPr>
          <w:lang w:val="nl-NL"/>
        </w:rPr>
      </w:pPr>
      <w:r>
        <w:rPr>
          <w:lang w:val="nl-NL"/>
        </w:rPr>
        <w:t>Wat in Document C zichtbaar is geworden, is de structuur van het vacuüm. Wat in Document D wordt uitgewerkt, is de structuur van de oplossing. Niet omdat één maatregel alles oplost, maar omdat de architectuur kan worden aangepast op drie punten waar het nu stilvalt.</w:t>
      </w:r>
    </w:p>
    <w:p w14:paraId="2EF55559" w14:textId="77777777" w:rsidR="006B5103" w:rsidRDefault="006B5103">
      <w:pPr>
        <w:pStyle w:val="noot"/>
        <w:spacing w:after="120" w:afterAutospacing="0"/>
        <w:divId w:val="2114661829"/>
        <w:rPr>
          <w:lang w:val="nl-NL"/>
        </w:rPr>
      </w:pPr>
      <w:r>
        <w:rPr>
          <w:lang w:val="nl-NL"/>
        </w:rPr>
        <w:t>Dit is het slot van Document C. Alle organisaties in dit document zijn rechtspersonen. Natuurlijke personen worden aangeduid met hun functie of hun symbool (</w:t>
      </w:r>
      <w:r>
        <w:rPr>
          <w:rFonts w:ascii="Segoe UI Symbol" w:hAnsi="Segoe UI Symbol" w:cs="Segoe UI Symbol"/>
          <w:lang w:val="nl-NL"/>
        </w:rPr>
        <w:t>♂</w:t>
      </w:r>
      <w:r>
        <w:rPr>
          <w:lang w:val="nl-NL"/>
        </w:rPr>
        <w:t xml:space="preserve">, </w:t>
      </w:r>
      <w:r>
        <w:rPr>
          <w:rFonts w:ascii="Segoe UI Symbol" w:hAnsi="Segoe UI Symbol" w:cs="Segoe UI Symbol"/>
          <w:lang w:val="nl-NL"/>
        </w:rPr>
        <w:t>♀</w:t>
      </w:r>
      <w:r>
        <w:rPr>
          <w:lang w:val="nl-NL"/>
        </w:rPr>
        <w:t>). Document C is de visuele tegenhanger van Document B (data-matrix) en Document A (narratieve audit). De conclusies en bouwstenen staan in Document D (synthese).</w:t>
      </w:r>
    </w:p>
    <w:p w14:paraId="1DA41AD1" w14:textId="77777777" w:rsidR="006B5103" w:rsidRDefault="006B5103">
      <w:pPr>
        <w:pStyle w:val="marker"/>
        <w:ind w:left="800" w:right="800"/>
        <w:divId w:val="2114661829"/>
        <w:rPr>
          <w:lang w:val="nl-NL"/>
        </w:rPr>
      </w:pPr>
      <w:r>
        <w:br w:type="page"/>
      </w:r>
    </w:p>
    <w:p w14:paraId="3F2EC122" w14:textId="77777777" w:rsidR="006B5103" w:rsidRDefault="006B5103">
      <w:pPr>
        <w:pStyle w:val="Kop2"/>
        <w:divId w:val="2114661829"/>
        <w:rPr>
          <w:rFonts w:eastAsia="Times New Roman"/>
          <w:lang w:val="nl-NL"/>
        </w:rPr>
      </w:pPr>
      <w:bookmarkStart w:id="156" w:name="_Toc242191333"/>
      <w:r>
        <w:rPr>
          <w:rFonts w:eastAsia="Times New Roman"/>
          <w:lang w:val="nl-NL"/>
        </w:rPr>
        <w:t>Het volledige netwerk</w:t>
      </w:r>
      <w:bookmarkEnd w:id="156"/>
    </w:p>
    <w:p w14:paraId="7FB40346" w14:textId="77777777" w:rsidR="006B5103" w:rsidRDefault="006B5103">
      <w:pPr>
        <w:pStyle w:val="lead"/>
        <w:divId w:val="2114661829"/>
        <w:rPr>
          <w:lang w:val="nl-NL"/>
        </w:rPr>
      </w:pPr>
      <w:r>
        <w:rPr>
          <w:lang w:val="nl-NL"/>
        </w:rPr>
        <w:t>Alle vorige hoofdstukken toonden elk één mechanisme, één instantie, of één patroon. Dit hoofdstuk toont alles tegelijk. Dezelfde knooppunten, dezelfde kanalen, dezelfde kleuren — maar nu in één beeld, zonder ordening, zoals het gezin het ervaart.</w:t>
      </w:r>
    </w:p>
    <w:p w14:paraId="37EE9109" w14:textId="77777777" w:rsidR="006B5103" w:rsidRDefault="006B5103">
      <w:pPr>
        <w:pStyle w:val="Kop3"/>
        <w:divId w:val="2114661829"/>
        <w:rPr>
          <w:rFonts w:eastAsia="Times New Roman"/>
          <w:lang w:val="nl-NL"/>
        </w:rPr>
      </w:pPr>
      <w:bookmarkStart w:id="157" w:name="_Toc242191334"/>
      <w:r>
        <w:rPr>
          <w:rFonts w:eastAsia="Times New Roman"/>
          <w:lang w:val="nl-NL"/>
        </w:rPr>
        <w:t>Wat het gezin ziet</w:t>
      </w:r>
      <w:bookmarkEnd w:id="157"/>
    </w:p>
    <w:p w14:paraId="563EE2CE" w14:textId="77777777" w:rsidR="006B5103" w:rsidRDefault="006B5103">
      <w:pPr>
        <w:pStyle w:val="Normaalweb"/>
        <w:divId w:val="2114661829"/>
        <w:rPr>
          <w:lang w:val="nl-NL"/>
        </w:rPr>
      </w:pPr>
      <w:r>
        <w:rPr>
          <w:lang w:val="nl-NL"/>
        </w:rPr>
        <w:t>De lezer die tot hier is gekomen, heeft elk onderdeel afzonderlijk leren kennen. Elke instantie had een eigen hoofdstuk. Elk mechanisme had een eigen schema. Elke kleur had een eigen betekenis. Maar het gezin dat in deze situatie zit, heeft die orde niet. Het gezin ziet alleen het geheel. En dat geheel is een wirwar.</w:t>
      </w:r>
    </w:p>
    <w:p w14:paraId="458FDF30" w14:textId="77777777" w:rsidR="006B5103" w:rsidRDefault="006B5103">
      <w:pPr>
        <w:pStyle w:val="Normaalweb"/>
        <w:divId w:val="2114661829"/>
        <w:rPr>
          <w:lang w:val="nl-NL"/>
        </w:rPr>
      </w:pPr>
      <w:r>
        <w:rPr>
          <w:lang w:val="nl-NL"/>
        </w:rPr>
        <w:t>Dit is dat geheel.</w:t>
      </w:r>
    </w:p>
    <w:tbl>
      <w:tblPr>
        <w:tblW w:w="5000" w:type="pct"/>
        <w:tblCellMar>
          <w:top w:w="15" w:type="dxa"/>
          <w:left w:w="15" w:type="dxa"/>
          <w:bottom w:w="15" w:type="dxa"/>
          <w:right w:w="15" w:type="dxa"/>
        </w:tblCellMar>
        <w:tblLook w:val="04A0" w:firstRow="1" w:lastRow="0" w:firstColumn="1" w:lastColumn="0" w:noHBand="0" w:noVBand="1"/>
      </w:tblPr>
      <w:tblGrid>
        <w:gridCol w:w="9400"/>
      </w:tblGrid>
      <w:tr w:rsidR="00000000" w14:paraId="75F2D2D7" w14:textId="77777777">
        <w:trPr>
          <w:divId w:val="2114661829"/>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B7212EC" w14:textId="77777777" w:rsidR="006B5103" w:rsidRDefault="006B5103">
            <w:pPr>
              <w:pStyle w:val="Normaalweb"/>
              <w:spacing w:before="120"/>
              <w:jc w:val="center"/>
              <w:rPr>
                <w:sz w:val="21"/>
                <w:szCs w:val="21"/>
              </w:rPr>
            </w:pPr>
            <w:r>
              <w:rPr>
                <w:noProof/>
                <w:sz w:val="21"/>
                <w:szCs w:val="21"/>
              </w:rPr>
              <w:drawing>
                <wp:inline distT="0" distB="0" distL="0" distR="0" wp14:anchorId="06F20413" wp14:editId="24FBFE38">
                  <wp:extent cx="5715000" cy="4762500"/>
                  <wp:effectExtent l="0" t="0" r="0" b="0"/>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link="rId96">
                            <a:extLst>
                              <a:ext uri="{28A0092B-C50C-407E-A947-70E740481C1C}">
                                <a14:useLocalDpi xmlns:a14="http://schemas.microsoft.com/office/drawing/2010/main" val="0"/>
                              </a:ext>
                            </a:extLst>
                          </a:blip>
                          <a:srcRect/>
                          <a:stretch>
                            <a:fillRect/>
                          </a:stretch>
                        </pic:blipFill>
                        <pic:spPr bwMode="auto">
                          <a:xfrm>
                            <a:off x="0" y="0"/>
                            <a:ext cx="5715000" cy="4762500"/>
                          </a:xfrm>
                          <a:prstGeom prst="rect">
                            <a:avLst/>
                          </a:prstGeom>
                          <a:noFill/>
                          <a:ln>
                            <a:noFill/>
                          </a:ln>
                        </pic:spPr>
                      </pic:pic>
                    </a:graphicData>
                  </a:graphic>
                </wp:inline>
              </w:drawing>
            </w:r>
          </w:p>
          <w:p w14:paraId="224CC373" w14:textId="77777777" w:rsidR="006B5103" w:rsidRDefault="006B5103">
            <w:pPr>
              <w:pStyle w:val="caption"/>
              <w:spacing w:after="120" w:afterAutospacing="0"/>
            </w:pPr>
            <w:r>
              <w:rPr>
                <w:rStyle w:val="Zwaar"/>
              </w:rPr>
              <w:t>Figuur XXIV.1 — Het volledige netwerk.</w:t>
            </w:r>
            <w:r>
              <w:t xml:space="preserve"> Wat het gezin ziet wanneer het probeert te navigeren. Twee werelden, elk met een eigen set organisaties. Eén gezin in het midden. En 127 verbindingen, waarvan het grootste deel geblokkeerd. In de vorige hoofdstukken was elk onderdeel afzonderlijk te volgen. Hier is het geheel — zonder ordening, zonder hiërarchie, zonder rust.</w:t>
            </w:r>
          </w:p>
        </w:tc>
      </w:tr>
    </w:tbl>
    <w:p w14:paraId="7F8F678E" w14:textId="77777777" w:rsidR="006B5103" w:rsidRDefault="006B5103">
      <w:pPr>
        <w:pStyle w:val="Kop3"/>
        <w:divId w:val="2114661829"/>
        <w:rPr>
          <w:rFonts w:eastAsia="Times New Roman"/>
          <w:lang w:val="nl-NL"/>
        </w:rPr>
      </w:pPr>
      <w:bookmarkStart w:id="158" w:name="_Toc242191335"/>
      <w:r>
        <w:rPr>
          <w:rFonts w:eastAsia="Times New Roman"/>
          <w:lang w:val="nl-NL"/>
        </w:rPr>
        <w:t>Wat dit schema doet</w:t>
      </w:r>
      <w:bookmarkEnd w:id="158"/>
    </w:p>
    <w:p w14:paraId="3B84B0B1" w14:textId="77777777" w:rsidR="006B5103" w:rsidRDefault="006B5103">
      <w:pPr>
        <w:pStyle w:val="Normaalweb"/>
        <w:divId w:val="2114661829"/>
        <w:rPr>
          <w:lang w:val="nl-NL"/>
        </w:rPr>
      </w:pPr>
      <w:r>
        <w:rPr>
          <w:lang w:val="nl-NL"/>
        </w:rPr>
        <w:t>Alle vorige hoofdstukken waren geordend. Elk had een titel, een kader, een afgebakend onderwerp. Wie die hoofdstukken leest, krijgt de indruk dat het systeem te begrijpen is, dat elk onderdeel een eigen functie heeft en dat de chaos slechts schijn is.</w:t>
      </w:r>
    </w:p>
    <w:p w14:paraId="6C7B44C0" w14:textId="77777777" w:rsidR="006B5103" w:rsidRDefault="006B5103">
      <w:pPr>
        <w:pStyle w:val="Normaalweb"/>
        <w:divId w:val="2114661829"/>
        <w:rPr>
          <w:lang w:val="nl-NL"/>
        </w:rPr>
      </w:pPr>
      <w:r>
        <w:rPr>
          <w:lang w:val="nl-NL"/>
        </w:rPr>
        <w:t>Dit schema ontkracht die indruk. Hier is geen ordening. Hier is geen titel per knooppunt. Hier is alleen het geheel: 54 organisaties, één gezin, 127 verbindingen waarvan 96 geblokkeerd. En in het midden een lichaam dat zich moet staande houden.</w:t>
      </w:r>
    </w:p>
    <w:p w14:paraId="50095A68" w14:textId="77777777" w:rsidR="006B5103" w:rsidRDefault="006B5103">
      <w:pPr>
        <w:pStyle w:val="Normaalweb"/>
        <w:divId w:val="2114661829"/>
        <w:rPr>
          <w:lang w:val="nl-NL"/>
        </w:rPr>
      </w:pPr>
      <w:r>
        <w:rPr>
          <w:lang w:val="nl-NL"/>
        </w:rPr>
        <w:t>De lezer die de vorige 23 hoofdstukken heeft doorlopen, wist waar hij moest kijken. Hij kon de knooppunten volgen, de kanalen herkennen, de kleuren lezen. Maar het gezin dat in deze situatie zit, heeft die ordening niet. Het ziet niet dat Vitaz in de zorgsector valt en CM in de financiële sector. Het ziet niet dat CZ een verdragspolis uitvoert en CAK het register beheert. Het ziet alleen: er zijn mensen die mijn dossier moeten behandelen, en ze doen het niet.</w:t>
      </w:r>
    </w:p>
    <w:p w14:paraId="11DE2DE9" w14:textId="77777777" w:rsidR="006B5103" w:rsidRDefault="006B5103">
      <w:pPr>
        <w:pStyle w:val="Normaalweb"/>
        <w:divId w:val="2114661829"/>
        <w:rPr>
          <w:lang w:val="nl-NL"/>
        </w:rPr>
      </w:pPr>
      <w:r>
        <w:rPr>
          <w:lang w:val="nl-NL"/>
        </w:rPr>
        <w:t>Dat is wat dit schema toont. Niet het falen van één instantie. Niet het falen van één mechanisme. Maar het falen van het geheel — een netwerk zo complex dat het voor een simpele mens onmogelijk is om er zijn weg in te vinden, en zo star dat het voor een simpele mens onmogelijk is om er iets in te veranderen.</w:t>
      </w:r>
    </w:p>
    <w:p w14:paraId="13940D3A" w14:textId="77777777" w:rsidR="006B5103" w:rsidRDefault="006B5103">
      <w:pPr>
        <w:pStyle w:val="Kop3"/>
        <w:divId w:val="2114661829"/>
        <w:rPr>
          <w:rFonts w:eastAsia="Times New Roman"/>
          <w:lang w:val="nl-NL"/>
        </w:rPr>
      </w:pPr>
      <w:bookmarkStart w:id="159" w:name="_Toc242191336"/>
      <w:r>
        <w:rPr>
          <w:rFonts w:eastAsia="Times New Roman"/>
          <w:lang w:val="nl-NL"/>
        </w:rPr>
        <w:t>Wat er niet in staat</w:t>
      </w:r>
      <w:bookmarkEnd w:id="159"/>
    </w:p>
    <w:p w14:paraId="31CC2BC9" w14:textId="77777777" w:rsidR="006B5103" w:rsidRDefault="006B5103">
      <w:pPr>
        <w:pStyle w:val="Normaalweb"/>
        <w:divId w:val="2114661829"/>
        <w:rPr>
          <w:lang w:val="nl-NL"/>
        </w:rPr>
      </w:pPr>
      <w:r>
        <w:rPr>
          <w:lang w:val="nl-NL"/>
        </w:rPr>
        <w:t>De 127 verbindingen die in dit schema zijn getekend, zijn de belangrijkste. In werkelijkheid zijn er meer. Elke brief die naar een instantie gaat, elke keer dat een ambtenaar in een systeem kijkt, elk telefoontje dat wordt gepleegd — dat zijn allemaal verbindingen die niet in dit schema staan.</w:t>
      </w:r>
    </w:p>
    <w:p w14:paraId="00B87CF7" w14:textId="77777777" w:rsidR="006B5103" w:rsidRDefault="006B5103">
      <w:pPr>
        <w:pStyle w:val="Normaalweb"/>
        <w:divId w:val="2114661829"/>
        <w:rPr>
          <w:lang w:val="nl-NL"/>
        </w:rPr>
      </w:pPr>
      <w:r>
        <w:rPr>
          <w:lang w:val="nl-NL"/>
        </w:rPr>
        <w:t>En de 96 geblokkeerde verbindingen die hier zichtbaar zijn, zijn alleen de geblokkeerde verbindingen tussen het gezin en de organisaties. In werkelijkheid zijn er ook geblokkeerde verbindingen tussen de organisaties onderling. Tussen CM en UWV. Tussen CZ en CAK. Tussen FOD SZ en FOD Financiën. Elke geblokkeerde verbinding tussen organisaties is een extra laag die het gezin moet navigeren.</w:t>
      </w:r>
    </w:p>
    <w:p w14:paraId="409EB306" w14:textId="77777777" w:rsidR="006B5103" w:rsidRDefault="006B5103">
      <w:pPr>
        <w:pStyle w:val="Normaalweb"/>
        <w:divId w:val="2114661829"/>
        <w:rPr>
          <w:lang w:val="nl-NL"/>
        </w:rPr>
      </w:pPr>
      <w:r>
        <w:rPr>
          <w:lang w:val="nl-NL"/>
        </w:rPr>
        <w:t>Wat dit schema toont, is niet het volledige netwerk. Het is een representatie van het volledige netwerk. Als alle verbindingen zouden worden getekend, zou het schema onleesbaar worden. En dat is precies het punt.</w:t>
      </w:r>
    </w:p>
    <w:p w14:paraId="2346B5DD" w14:textId="77777777" w:rsidR="006B5103" w:rsidRDefault="006B5103">
      <w:pPr>
        <w:pStyle w:val="noot"/>
        <w:spacing w:after="120" w:afterAutospacing="0"/>
        <w:divId w:val="2114661829"/>
        <w:rPr>
          <w:lang w:val="nl-NL"/>
        </w:rPr>
      </w:pPr>
      <w:r>
        <w:rPr>
          <w:lang w:val="nl-NL"/>
        </w:rPr>
        <w:t>Alle organisaties in dit hoofdstuk zijn rechtspersonen. Natuurlijke personen worden aangeduid met hun functie of hun symbool. De organisaties zijn gebaseerd op Document B. De verbindingen zijn gebaseerd op de feitelijke correspondentie in Document B, waar relevant samengevat. De aantallen (54 organisaties, 127 verbindingen) zijn indicatief; het werkelijke aantal is hoger. Dit hoofdstuk is geen juridisch advies.</w:t>
      </w:r>
    </w:p>
    <w:sectPr w:rsidR="00000000" w:rsidSect="006B5103">
      <w:headerReference w:type="even" r:id="rId97"/>
      <w:headerReference w:type="default" r:id="rId98"/>
      <w:footerReference w:type="even" r:id="rId99"/>
      <w:footerReference w:type="default" r:id="rId100"/>
      <w:headerReference w:type="first" r:id="rId101"/>
      <w:footerReference w:type="first" r:id="rId10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2AC0A" w14:textId="77777777" w:rsidR="006B5103" w:rsidRDefault="006B5103" w:rsidP="006B5103">
      <w:pPr>
        <w:spacing w:after="0"/>
      </w:pPr>
      <w:r>
        <w:separator/>
      </w:r>
    </w:p>
  </w:endnote>
  <w:endnote w:type="continuationSeparator" w:id="0">
    <w:p w14:paraId="61D2F973" w14:textId="77777777" w:rsidR="006B5103" w:rsidRDefault="006B5103" w:rsidP="006B51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F502" w14:textId="77777777" w:rsidR="006B5103" w:rsidRDefault="006B51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580D" w14:textId="0B172382" w:rsidR="006B5103" w:rsidRPr="006B5103" w:rsidRDefault="006B5103" w:rsidP="006B5103">
    <w:pPr>
      <w:pStyle w:val="Voettekst"/>
      <w:pBdr>
        <w:top w:val="single" w:sz="4" w:space="0" w:color="C0C0C0"/>
      </w:pBdr>
      <w:jc w:val="center"/>
      <w:rPr>
        <w:color w:val="808080"/>
        <w:sz w:val="18"/>
      </w:rPr>
    </w:pPr>
    <w:r w:rsidRPr="006B5103">
      <w:rPr>
        <w:color w:val="808080"/>
        <w:sz w:val="18"/>
      </w:rPr>
      <w:t xml:space="preserve">Pagina </w:t>
    </w:r>
    <w:r w:rsidRPr="006B5103">
      <w:rPr>
        <w:color w:val="808080"/>
        <w:sz w:val="18"/>
      </w:rPr>
      <w:fldChar w:fldCharType="begin"/>
    </w:r>
    <w:r w:rsidRPr="006B5103">
      <w:rPr>
        <w:color w:val="808080"/>
        <w:sz w:val="18"/>
      </w:rPr>
      <w:instrText xml:space="preserve"> PAGE  \* MERGEFORMAT </w:instrText>
    </w:r>
    <w:r w:rsidRPr="006B5103">
      <w:rPr>
        <w:color w:val="808080"/>
        <w:sz w:val="18"/>
      </w:rPr>
      <w:fldChar w:fldCharType="separate"/>
    </w:r>
    <w:r w:rsidRPr="006B5103">
      <w:rPr>
        <w:noProof/>
        <w:color w:val="808080"/>
        <w:sz w:val="18"/>
      </w:rPr>
      <w:t>1</w:t>
    </w:r>
    <w:r w:rsidRPr="006B5103">
      <w:rPr>
        <w:color w:val="808080"/>
        <w:sz w:val="18"/>
      </w:rPr>
      <w:fldChar w:fldCharType="end"/>
    </w:r>
    <w:r w:rsidRPr="006B5103">
      <w:rPr>
        <w:color w:val="808080"/>
        <w:sz w:val="18"/>
      </w:rPr>
      <w:t xml:space="preserve"> van </w:t>
    </w:r>
    <w:r w:rsidRPr="006B5103">
      <w:rPr>
        <w:color w:val="808080"/>
        <w:sz w:val="18"/>
      </w:rPr>
      <w:fldChar w:fldCharType="begin"/>
    </w:r>
    <w:r w:rsidRPr="006B5103">
      <w:rPr>
        <w:color w:val="808080"/>
        <w:sz w:val="18"/>
      </w:rPr>
      <w:instrText xml:space="preserve"> NUMPAGES  \* MERGEFORMAT </w:instrText>
    </w:r>
    <w:r w:rsidRPr="006B5103">
      <w:rPr>
        <w:color w:val="808080"/>
        <w:sz w:val="18"/>
      </w:rPr>
      <w:fldChar w:fldCharType="separate"/>
    </w:r>
    <w:r w:rsidRPr="006B5103">
      <w:rPr>
        <w:noProof/>
        <w:color w:val="808080"/>
        <w:sz w:val="18"/>
      </w:rPr>
      <w:t>3</w:t>
    </w:r>
    <w:r w:rsidRPr="006B5103">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87ABE" w14:textId="77777777" w:rsidR="006B5103" w:rsidRDefault="006B51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AF186" w14:textId="77777777" w:rsidR="006B5103" w:rsidRDefault="006B5103" w:rsidP="006B5103">
      <w:pPr>
        <w:spacing w:after="0"/>
      </w:pPr>
      <w:r>
        <w:separator/>
      </w:r>
    </w:p>
  </w:footnote>
  <w:footnote w:type="continuationSeparator" w:id="0">
    <w:p w14:paraId="475C65D3" w14:textId="77777777" w:rsidR="006B5103" w:rsidRDefault="006B5103" w:rsidP="006B51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41855" w14:textId="77777777" w:rsidR="006B5103" w:rsidRDefault="006B51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F06F" w14:textId="38C9B3B3" w:rsidR="006B5103" w:rsidRPr="006B5103" w:rsidRDefault="006B5103" w:rsidP="006B5103">
    <w:pPr>
      <w:pStyle w:val="Koptekst"/>
      <w:pBdr>
        <w:bottom w:val="single" w:sz="4" w:space="0" w:color="C0C0C0"/>
      </w:pBdr>
      <w:rPr>
        <w:color w:val="808080"/>
        <w:sz w:val="18"/>
      </w:rPr>
    </w:pPr>
    <w:r w:rsidRPr="006B5103">
      <w:rPr>
        <w:color w:val="808080"/>
        <w:sz w:val="18"/>
      </w:rPr>
      <w:t>Eric Messa - Systeem-Audit</w:t>
    </w:r>
    <w:r w:rsidRPr="006B5103">
      <w:rPr>
        <w:color w:val="808080"/>
        <w:sz w:val="18"/>
      </w:rPr>
      <w:tab/>
      <w:t>Document C — De visuele architectuur</w:t>
    </w:r>
    <w:r w:rsidRPr="006B5103">
      <w:rPr>
        <w:color w:val="808080"/>
        <w:sz w:val="18"/>
      </w:rPr>
      <w:tab/>
      <w:t>Laatst gewijzigd: 6 oktober 2026, 14:20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625F7" w14:textId="77777777" w:rsidR="006B5103" w:rsidRDefault="006B51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2504A"/>
    <w:multiLevelType w:val="multilevel"/>
    <w:tmpl w:val="F23C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135BA"/>
    <w:multiLevelType w:val="multilevel"/>
    <w:tmpl w:val="B08C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C77DA"/>
    <w:multiLevelType w:val="multilevel"/>
    <w:tmpl w:val="619C1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DF3361"/>
    <w:multiLevelType w:val="multilevel"/>
    <w:tmpl w:val="7F40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C023B"/>
    <w:multiLevelType w:val="multilevel"/>
    <w:tmpl w:val="794C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D3774"/>
    <w:multiLevelType w:val="multilevel"/>
    <w:tmpl w:val="3E3C1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022E17"/>
    <w:multiLevelType w:val="multilevel"/>
    <w:tmpl w:val="A3AE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BA1FB8"/>
    <w:multiLevelType w:val="multilevel"/>
    <w:tmpl w:val="013E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BF6963"/>
    <w:multiLevelType w:val="multilevel"/>
    <w:tmpl w:val="B39CE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D133EC"/>
    <w:multiLevelType w:val="multilevel"/>
    <w:tmpl w:val="42A04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C232D"/>
    <w:multiLevelType w:val="multilevel"/>
    <w:tmpl w:val="7F6AA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6C23A5"/>
    <w:multiLevelType w:val="multilevel"/>
    <w:tmpl w:val="6584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714DB"/>
    <w:multiLevelType w:val="multilevel"/>
    <w:tmpl w:val="9606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515997"/>
    <w:multiLevelType w:val="multilevel"/>
    <w:tmpl w:val="84FE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0004A4"/>
    <w:multiLevelType w:val="multilevel"/>
    <w:tmpl w:val="70A83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331F28"/>
    <w:multiLevelType w:val="multilevel"/>
    <w:tmpl w:val="0692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7014B8"/>
    <w:multiLevelType w:val="multilevel"/>
    <w:tmpl w:val="F5544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222DC"/>
    <w:multiLevelType w:val="multilevel"/>
    <w:tmpl w:val="F7A66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2E79E0"/>
    <w:multiLevelType w:val="multilevel"/>
    <w:tmpl w:val="8BE68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42272DA"/>
    <w:multiLevelType w:val="multilevel"/>
    <w:tmpl w:val="E57EC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F4488A"/>
    <w:multiLevelType w:val="multilevel"/>
    <w:tmpl w:val="2C02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8645EA"/>
    <w:multiLevelType w:val="multilevel"/>
    <w:tmpl w:val="C02A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5F1D01"/>
    <w:multiLevelType w:val="multilevel"/>
    <w:tmpl w:val="C916D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E34171"/>
    <w:multiLevelType w:val="multilevel"/>
    <w:tmpl w:val="7BC6F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8E0429"/>
    <w:multiLevelType w:val="multilevel"/>
    <w:tmpl w:val="75247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5B0328"/>
    <w:multiLevelType w:val="multilevel"/>
    <w:tmpl w:val="97540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282D77"/>
    <w:multiLevelType w:val="multilevel"/>
    <w:tmpl w:val="F1C49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F042B2"/>
    <w:multiLevelType w:val="multilevel"/>
    <w:tmpl w:val="B60A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875F98"/>
    <w:multiLevelType w:val="multilevel"/>
    <w:tmpl w:val="5028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F16AA"/>
    <w:multiLevelType w:val="multilevel"/>
    <w:tmpl w:val="42C2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498639">
    <w:abstractNumId w:val="3"/>
  </w:num>
  <w:num w:numId="2" w16cid:durableId="1671129883">
    <w:abstractNumId w:val="10"/>
  </w:num>
  <w:num w:numId="3" w16cid:durableId="1752199201">
    <w:abstractNumId w:val="17"/>
  </w:num>
  <w:num w:numId="4" w16cid:durableId="1743604614">
    <w:abstractNumId w:val="27"/>
  </w:num>
  <w:num w:numId="5" w16cid:durableId="1722559843">
    <w:abstractNumId w:val="6"/>
  </w:num>
  <w:num w:numId="6" w16cid:durableId="1899392145">
    <w:abstractNumId w:val="25"/>
  </w:num>
  <w:num w:numId="7" w16cid:durableId="803078886">
    <w:abstractNumId w:val="4"/>
  </w:num>
  <w:num w:numId="8" w16cid:durableId="2133742293">
    <w:abstractNumId w:val="15"/>
  </w:num>
  <w:num w:numId="9" w16cid:durableId="487553051">
    <w:abstractNumId w:val="1"/>
  </w:num>
  <w:num w:numId="10" w16cid:durableId="1125928007">
    <w:abstractNumId w:val="12"/>
  </w:num>
  <w:num w:numId="11" w16cid:durableId="207186225">
    <w:abstractNumId w:val="20"/>
  </w:num>
  <w:num w:numId="12" w16cid:durableId="1922638158">
    <w:abstractNumId w:val="8"/>
  </w:num>
  <w:num w:numId="13" w16cid:durableId="1886795950">
    <w:abstractNumId w:val="2"/>
  </w:num>
  <w:num w:numId="14" w16cid:durableId="972367420">
    <w:abstractNumId w:val="9"/>
  </w:num>
  <w:num w:numId="15" w16cid:durableId="1695574266">
    <w:abstractNumId w:val="22"/>
  </w:num>
  <w:num w:numId="16" w16cid:durableId="1141968260">
    <w:abstractNumId w:val="11"/>
  </w:num>
  <w:num w:numId="17" w16cid:durableId="150223191">
    <w:abstractNumId w:val="19"/>
  </w:num>
  <w:num w:numId="18" w16cid:durableId="172768871">
    <w:abstractNumId w:val="0"/>
  </w:num>
  <w:num w:numId="19" w16cid:durableId="43452059">
    <w:abstractNumId w:val="21"/>
  </w:num>
  <w:num w:numId="20" w16cid:durableId="1258365666">
    <w:abstractNumId w:val="18"/>
  </w:num>
  <w:num w:numId="21" w16cid:durableId="1668512996">
    <w:abstractNumId w:val="23"/>
  </w:num>
  <w:num w:numId="22" w16cid:durableId="34232578">
    <w:abstractNumId w:val="16"/>
  </w:num>
  <w:num w:numId="23" w16cid:durableId="1283223701">
    <w:abstractNumId w:val="5"/>
  </w:num>
  <w:num w:numId="24" w16cid:durableId="486435602">
    <w:abstractNumId w:val="26"/>
  </w:num>
  <w:num w:numId="25" w16cid:durableId="1567959903">
    <w:abstractNumId w:val="29"/>
  </w:num>
  <w:num w:numId="26" w16cid:durableId="1976568443">
    <w:abstractNumId w:val="24"/>
  </w:num>
  <w:num w:numId="27" w16cid:durableId="1081948992">
    <w:abstractNumId w:val="28"/>
  </w:num>
  <w:num w:numId="28" w16cid:durableId="1987469406">
    <w:abstractNumId w:val="7"/>
  </w:num>
  <w:num w:numId="29" w16cid:durableId="75710248">
    <w:abstractNumId w:val="14"/>
  </w:num>
  <w:num w:numId="30" w16cid:durableId="4383374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B5103"/>
    <w:rsid w:val="006B5103"/>
    <w:rsid w:val="00C146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930CD0"/>
  <w15:chartTrackingRefBased/>
  <w15:docId w15:val="{B04C2564-834A-49B6-A733-A8503923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4A3B6B"/>
      </w:pBdr>
      <w:outlineLvl w:val="0"/>
    </w:pPr>
    <w:rPr>
      <w:rFonts w:ascii="Aptos Display" w:hAnsi="Aptos Display"/>
      <w:b/>
      <w:bCs/>
      <w:color w:val="4A3B6B"/>
      <w:kern w:val="36"/>
      <w:sz w:val="56"/>
      <w:szCs w:val="56"/>
    </w:rPr>
  </w:style>
  <w:style w:type="paragraph" w:styleId="Kop2">
    <w:name w:val="heading 2"/>
    <w:basedOn w:val="Standaard"/>
    <w:link w:val="Kop2Char"/>
    <w:uiPriority w:val="9"/>
    <w:qFormat/>
    <w:pPr>
      <w:pBdr>
        <w:bottom w:val="single" w:sz="12" w:space="4" w:color="4A3B6B"/>
      </w:pBdr>
      <w:spacing w:after="100"/>
      <w:outlineLvl w:val="1"/>
    </w:pPr>
    <w:rPr>
      <w:rFonts w:ascii="Aptos Display" w:hAnsi="Aptos Display"/>
      <w:b/>
      <w:bCs/>
      <w:color w:val="4A3B6B"/>
      <w:sz w:val="40"/>
      <w:szCs w:val="40"/>
    </w:rPr>
  </w:style>
  <w:style w:type="paragraph" w:styleId="Kop3">
    <w:name w:val="heading 3"/>
    <w:basedOn w:val="Standaard"/>
    <w:link w:val="Kop3Char"/>
    <w:uiPriority w:val="9"/>
    <w:qFormat/>
    <w:pPr>
      <w:pBdr>
        <w:bottom w:val="single" w:sz="6" w:space="3" w:color="4A3B6B"/>
      </w:pBdr>
      <w:spacing w:after="80"/>
      <w:outlineLvl w:val="2"/>
    </w:pPr>
    <w:rPr>
      <w:rFonts w:ascii="Aptos Display" w:hAnsi="Aptos Display"/>
      <w:b/>
      <w:bCs/>
      <w:color w:val="4A3B6B"/>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4A3B6B"/>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style>
  <w:style w:type="paragraph" w:styleId="Normaalweb">
    <w:name w:val="Normal (Web)"/>
    <w:basedOn w:val="Standaard"/>
    <w:uiPriority w:val="99"/>
    <w:semiHidden/>
    <w:unhideWhenUsed/>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4A3B6B"/>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4A3B6B"/>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4A3B6B"/>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4A3B6B"/>
      </w:pBdr>
      <w:shd w:val="clear" w:color="auto" w:fill="FFFFFF"/>
      <w:spacing w:before="600" w:after="100" w:afterAutospacing="1"/>
    </w:pPr>
  </w:style>
  <w:style w:type="paragraph" w:customStyle="1" w:styleId="recht-kop">
    <w:name w:val="recht-kop"/>
    <w:basedOn w:val="Standaard"/>
    <w:pPr>
      <w:spacing w:before="100" w:beforeAutospacing="1" w:after="80"/>
    </w:pPr>
  </w:style>
  <w:style w:type="paragraph" w:customStyle="1" w:styleId="recht-status">
    <w:name w:val="recht-status"/>
    <w:basedOn w:val="Standaard"/>
    <w:pPr>
      <w:spacing w:before="100" w:beforeAutospacing="1" w:after="100" w:afterAutospacing="1"/>
    </w:pPr>
    <w:rPr>
      <w:b/>
      <w:bCs/>
      <w:caps/>
      <w:color w:val="FFFFFF"/>
      <w:spacing w:val="8"/>
      <w:sz w:val="18"/>
      <w:szCs w:val="18"/>
    </w:rPr>
  </w:style>
  <w:style w:type="paragraph" w:customStyle="1" w:styleId="recht-kop-wrapper">
    <w:name w:val="recht-kop-wrapper"/>
    <w:basedOn w:val="Standaard"/>
    <w:pPr>
      <w:pBdr>
        <w:bottom w:val="single" w:sz="12" w:space="6" w:color="4A3B6B"/>
      </w:pBdr>
      <w:spacing w:before="100" w:beforeAutospacing="1" w:after="240"/>
    </w:pPr>
  </w:style>
  <w:style w:type="paragraph" w:customStyle="1" w:styleId="sector-titel">
    <w:name w:val="sector-titel"/>
    <w:basedOn w:val="Standaard"/>
    <w:pPr>
      <w:spacing w:before="400" w:after="160"/>
    </w:pPr>
    <w:rPr>
      <w:rFonts w:ascii="Aptos Display" w:hAnsi="Aptos Display"/>
      <w:color w:val="4A3B6B"/>
      <w:sz w:val="32"/>
      <w:szCs w:val="32"/>
    </w:rPr>
  </w:style>
  <w:style w:type="paragraph" w:customStyle="1" w:styleId="intro-rechten">
    <w:name w:val="intro-rechten"/>
    <w:basedOn w:val="Standaard"/>
    <w:pPr>
      <w:pBdr>
        <w:left w:val="single" w:sz="24" w:space="14" w:color="4A3B6B"/>
      </w:pBdr>
      <w:shd w:val="clear" w:color="auto" w:fill="F7F5F1"/>
      <w:spacing w:before="100" w:beforeAutospacing="1" w:after="480"/>
    </w:pPr>
    <w:rPr>
      <w:i/>
      <w:iCs/>
      <w:color w:val="444444"/>
    </w:r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4A3B6B"/>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4A3B6B"/>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style>
  <w:style w:type="character" w:customStyle="1" w:styleId="badge-be1">
    <w:name w:val="badge-be1"/>
    <w:basedOn w:val="Standaardalinea-lettertype"/>
    <w:rPr>
      <w:b/>
      <w:bCs/>
      <w:color w:val="8B1E1E"/>
    </w:rPr>
  </w:style>
  <w:style w:type="character" w:customStyle="1" w:styleId="badge-nl1">
    <w:name w:val="badge-nl1"/>
    <w:basedOn w:val="Standaardalinea-lettertype"/>
    <w:rPr>
      <w:b/>
      <w:bCs/>
      <w:color w:val="1A3C6E"/>
    </w:rPr>
  </w:style>
  <w:style w:type="character" w:customStyle="1" w:styleId="badge-mem1">
    <w:name w:val="badge-mem1"/>
    <w:basedOn w:val="Standaardalinea-lettertype"/>
    <w:rPr>
      <w:b/>
      <w:bCs/>
      <w:color w:val="C1440E"/>
    </w:rPr>
  </w:style>
  <w:style w:type="character" w:customStyle="1" w:styleId="badge-eu1">
    <w:name w:val="badge-eu1"/>
    <w:basedOn w:val="Standaardalinea-lettertype"/>
    <w:rPr>
      <w:b/>
      <w:bCs/>
      <w:color w:val="0D7377"/>
    </w:rPr>
  </w:style>
  <w:style w:type="character" w:customStyle="1" w:styleId="actor-naam1">
    <w:name w:val="actor-naam1"/>
    <w:basedOn w:val="Standaardalinea-lettertype"/>
    <w:rPr>
      <w:b/>
      <w:bCs/>
      <w:color w:val="1F2421"/>
    </w:rPr>
  </w:style>
  <w:style w:type="character" w:customStyle="1" w:styleId="actor-rol1">
    <w:name w:val="actor-rol1"/>
    <w:basedOn w:val="Standaardalinea-lettertype"/>
    <w:rPr>
      <w:b/>
      <w:bCs/>
      <w:color w:val="4A3B6B"/>
    </w:rPr>
  </w:style>
  <w:style w:type="character" w:customStyle="1" w:styleId="status-r1">
    <w:name w:val="status-r1"/>
    <w:basedOn w:val="Standaardalinea-lettertype"/>
    <w:rPr>
      <w:b/>
      <w:bCs/>
      <w:color w:val="C62828"/>
    </w:rPr>
  </w:style>
  <w:style w:type="character" w:customStyle="1" w:styleId="status-g1">
    <w:name w:val="status-g1"/>
    <w:basedOn w:val="Standaardalinea-lettertype"/>
    <w:rPr>
      <w:b/>
      <w:bCs/>
      <w:color w:val="2E7D32"/>
    </w:rPr>
  </w:style>
  <w:style w:type="character" w:customStyle="1" w:styleId="status-o1">
    <w:name w:val="status-o1"/>
    <w:basedOn w:val="Standaardalinea-lettertype"/>
    <w:rPr>
      <w:b/>
      <w:bCs/>
      <w:color w:val="E65100"/>
    </w:rPr>
  </w:style>
  <w:style w:type="character" w:styleId="Nadruk">
    <w:name w:val="Emphasis"/>
    <w:basedOn w:val="Standaardalinea-lettertype"/>
    <w:uiPriority w:val="20"/>
    <w:qFormat/>
    <w:rPr>
      <w:i/>
      <w:iCs/>
    </w:rPr>
  </w:style>
  <w:style w:type="paragraph" w:styleId="Koptekst">
    <w:name w:val="header"/>
    <w:basedOn w:val="Standaard"/>
    <w:link w:val="KoptekstChar"/>
    <w:uiPriority w:val="99"/>
    <w:unhideWhenUsed/>
    <w:rsid w:val="006B5103"/>
    <w:pPr>
      <w:tabs>
        <w:tab w:val="center" w:pos="4536"/>
        <w:tab w:val="right" w:pos="9072"/>
      </w:tabs>
    </w:pPr>
  </w:style>
  <w:style w:type="character" w:customStyle="1" w:styleId="KoptekstChar">
    <w:name w:val="Koptekst Char"/>
    <w:basedOn w:val="Standaardalinea-lettertype"/>
    <w:link w:val="Koptekst"/>
    <w:uiPriority w:val="99"/>
    <w:rsid w:val="006B5103"/>
    <w:rPr>
      <w:rFonts w:eastAsiaTheme="minorEastAsia"/>
      <w:sz w:val="24"/>
      <w:szCs w:val="24"/>
    </w:rPr>
  </w:style>
  <w:style w:type="paragraph" w:styleId="Voettekst">
    <w:name w:val="footer"/>
    <w:basedOn w:val="Standaard"/>
    <w:link w:val="VoettekstChar"/>
    <w:uiPriority w:val="99"/>
    <w:unhideWhenUsed/>
    <w:rsid w:val="006B5103"/>
    <w:pPr>
      <w:tabs>
        <w:tab w:val="center" w:pos="4536"/>
        <w:tab w:val="right" w:pos="9072"/>
      </w:tabs>
    </w:pPr>
  </w:style>
  <w:style w:type="character" w:customStyle="1" w:styleId="VoettekstChar">
    <w:name w:val="Voettekst Char"/>
    <w:basedOn w:val="Standaardalinea-lettertype"/>
    <w:link w:val="Voettekst"/>
    <w:uiPriority w:val="99"/>
    <w:rsid w:val="006B5103"/>
    <w:rPr>
      <w:rFonts w:eastAsiaTheme="minorEastAsia"/>
      <w:sz w:val="24"/>
      <w:szCs w:val="24"/>
    </w:rPr>
  </w:style>
  <w:style w:type="paragraph" w:styleId="Inhopg2">
    <w:name w:val="toc 2"/>
    <w:basedOn w:val="Standaard"/>
    <w:next w:val="Standaard"/>
    <w:autoRedefine/>
    <w:uiPriority w:val="39"/>
    <w:unhideWhenUsed/>
    <w:rsid w:val="006B5103"/>
    <w:pPr>
      <w:spacing w:after="100"/>
      <w:ind w:left="220"/>
    </w:pPr>
  </w:style>
  <w:style w:type="paragraph" w:styleId="Inhopg1">
    <w:name w:val="toc 1"/>
    <w:basedOn w:val="Standaard"/>
    <w:next w:val="Standaard"/>
    <w:autoRedefine/>
    <w:uiPriority w:val="39"/>
    <w:unhideWhenUsed/>
    <w:rsid w:val="006B5103"/>
    <w:pPr>
      <w:spacing w:after="100"/>
    </w:pPr>
  </w:style>
  <w:style w:type="paragraph" w:styleId="Inhopg3">
    <w:name w:val="toc 3"/>
    <w:basedOn w:val="Standaard"/>
    <w:next w:val="Standaard"/>
    <w:autoRedefine/>
    <w:uiPriority w:val="39"/>
    <w:unhideWhenUsed/>
    <w:rsid w:val="006B510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661829">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992900044">
          <w:marLeft w:val="0"/>
          <w:marRight w:val="0"/>
          <w:marTop w:val="4000"/>
          <w:marBottom w:val="0"/>
          <w:divBdr>
            <w:top w:val="none" w:sz="0" w:space="0" w:color="auto"/>
            <w:left w:val="none" w:sz="0" w:space="0" w:color="auto"/>
            <w:bottom w:val="none" w:sz="0" w:space="0" w:color="auto"/>
            <w:right w:val="none" w:sz="0" w:space="0" w:color="auto"/>
          </w:divBdr>
        </w:div>
        <w:div w:id="1156414812">
          <w:marLeft w:val="0"/>
          <w:marRight w:val="0"/>
          <w:marTop w:val="0"/>
          <w:marBottom w:val="0"/>
          <w:divBdr>
            <w:top w:val="none" w:sz="0" w:space="0" w:color="auto"/>
            <w:left w:val="none" w:sz="0" w:space="0" w:color="auto"/>
            <w:bottom w:val="none" w:sz="0" w:space="0" w:color="auto"/>
            <w:right w:val="none" w:sz="0" w:space="0" w:color="auto"/>
          </w:divBdr>
        </w:div>
        <w:div w:id="993292133">
          <w:marLeft w:val="0"/>
          <w:marRight w:val="0"/>
          <w:marTop w:val="0"/>
          <w:marBottom w:val="240"/>
          <w:divBdr>
            <w:top w:val="none" w:sz="0" w:space="0" w:color="auto"/>
            <w:left w:val="none" w:sz="0" w:space="0" w:color="auto"/>
            <w:bottom w:val="single" w:sz="6" w:space="10" w:color="E8E4DC"/>
            <w:right w:val="none" w:sz="0" w:space="0" w:color="auto"/>
          </w:divBdr>
        </w:div>
        <w:div w:id="465634130">
          <w:marLeft w:val="0"/>
          <w:marRight w:val="0"/>
          <w:marTop w:val="0"/>
          <w:marBottom w:val="240"/>
          <w:divBdr>
            <w:top w:val="none" w:sz="0" w:space="0" w:color="auto"/>
            <w:left w:val="none" w:sz="0" w:space="0" w:color="auto"/>
            <w:bottom w:val="single" w:sz="6" w:space="10" w:color="E8E4DC"/>
            <w:right w:val="none" w:sz="0" w:space="0" w:color="auto"/>
          </w:divBdr>
        </w:div>
        <w:div w:id="1515194388">
          <w:marLeft w:val="0"/>
          <w:marRight w:val="0"/>
          <w:marTop w:val="0"/>
          <w:marBottom w:val="240"/>
          <w:divBdr>
            <w:top w:val="none" w:sz="0" w:space="0" w:color="auto"/>
            <w:left w:val="none" w:sz="0" w:space="0" w:color="auto"/>
            <w:bottom w:val="single" w:sz="6" w:space="10" w:color="E8E4DC"/>
            <w:right w:val="none" w:sz="0" w:space="0" w:color="auto"/>
          </w:divBdr>
        </w:div>
        <w:div w:id="1972517126">
          <w:marLeft w:val="0"/>
          <w:marRight w:val="0"/>
          <w:marTop w:val="0"/>
          <w:marBottom w:val="240"/>
          <w:divBdr>
            <w:top w:val="none" w:sz="0" w:space="0" w:color="auto"/>
            <w:left w:val="none" w:sz="0" w:space="0" w:color="auto"/>
            <w:bottom w:val="single" w:sz="6" w:space="10" w:color="E8E4DC"/>
            <w:right w:val="none" w:sz="0" w:space="0" w:color="auto"/>
          </w:divBdr>
        </w:div>
        <w:div w:id="806314077">
          <w:marLeft w:val="0"/>
          <w:marRight w:val="0"/>
          <w:marTop w:val="0"/>
          <w:marBottom w:val="240"/>
          <w:divBdr>
            <w:top w:val="none" w:sz="0" w:space="0" w:color="auto"/>
            <w:left w:val="none" w:sz="0" w:space="0" w:color="auto"/>
            <w:bottom w:val="single" w:sz="6" w:space="10" w:color="E8E4DC"/>
            <w:right w:val="none" w:sz="0" w:space="0" w:color="auto"/>
          </w:divBdr>
        </w:div>
        <w:div w:id="1922249364">
          <w:marLeft w:val="0"/>
          <w:marRight w:val="0"/>
          <w:marTop w:val="0"/>
          <w:marBottom w:val="240"/>
          <w:divBdr>
            <w:top w:val="none" w:sz="0" w:space="0" w:color="auto"/>
            <w:left w:val="none" w:sz="0" w:space="0" w:color="auto"/>
            <w:bottom w:val="single" w:sz="6" w:space="10" w:color="E8E4DC"/>
            <w:right w:val="none" w:sz="0" w:space="0" w:color="auto"/>
          </w:divBdr>
        </w:div>
        <w:div w:id="1894585969">
          <w:marLeft w:val="0"/>
          <w:marRight w:val="0"/>
          <w:marTop w:val="0"/>
          <w:marBottom w:val="240"/>
          <w:divBdr>
            <w:top w:val="none" w:sz="0" w:space="0" w:color="auto"/>
            <w:left w:val="none" w:sz="0" w:space="0" w:color="auto"/>
            <w:bottom w:val="single" w:sz="6" w:space="10" w:color="E8E4DC"/>
            <w:right w:val="none" w:sz="0" w:space="0" w:color="auto"/>
          </w:divBdr>
        </w:div>
        <w:div w:id="2146312379">
          <w:marLeft w:val="0"/>
          <w:marRight w:val="0"/>
          <w:marTop w:val="0"/>
          <w:marBottom w:val="240"/>
          <w:divBdr>
            <w:top w:val="none" w:sz="0" w:space="0" w:color="auto"/>
            <w:left w:val="none" w:sz="0" w:space="0" w:color="auto"/>
            <w:bottom w:val="single" w:sz="6" w:space="10" w:color="E8E4DC"/>
            <w:right w:val="none" w:sz="0" w:space="0" w:color="auto"/>
          </w:divBdr>
        </w:div>
        <w:div w:id="682056681">
          <w:marLeft w:val="0"/>
          <w:marRight w:val="0"/>
          <w:marTop w:val="0"/>
          <w:marBottom w:val="240"/>
          <w:divBdr>
            <w:top w:val="none" w:sz="0" w:space="0" w:color="auto"/>
            <w:left w:val="none" w:sz="0" w:space="0" w:color="auto"/>
            <w:bottom w:val="single" w:sz="6" w:space="10" w:color="E8E4DC"/>
            <w:right w:val="none" w:sz="0" w:space="0" w:color="auto"/>
          </w:divBdr>
        </w:div>
        <w:div w:id="720133691">
          <w:marLeft w:val="0"/>
          <w:marRight w:val="0"/>
          <w:marTop w:val="0"/>
          <w:marBottom w:val="240"/>
          <w:divBdr>
            <w:top w:val="none" w:sz="0" w:space="0" w:color="auto"/>
            <w:left w:val="none" w:sz="0" w:space="0" w:color="auto"/>
            <w:bottom w:val="single" w:sz="6" w:space="10" w:color="E8E4DC"/>
            <w:right w:val="none" w:sz="0" w:space="0" w:color="auto"/>
          </w:divBdr>
        </w:div>
        <w:div w:id="317344620">
          <w:marLeft w:val="0"/>
          <w:marRight w:val="0"/>
          <w:marTop w:val="0"/>
          <w:marBottom w:val="240"/>
          <w:divBdr>
            <w:top w:val="none" w:sz="0" w:space="0" w:color="auto"/>
            <w:left w:val="none" w:sz="0" w:space="0" w:color="auto"/>
            <w:bottom w:val="single" w:sz="6" w:space="10" w:color="E8E4DC"/>
            <w:right w:val="none" w:sz="0" w:space="0" w:color="auto"/>
          </w:divBdr>
        </w:div>
        <w:div w:id="426731315">
          <w:marLeft w:val="0"/>
          <w:marRight w:val="0"/>
          <w:marTop w:val="0"/>
          <w:marBottom w:val="240"/>
          <w:divBdr>
            <w:top w:val="none" w:sz="0" w:space="0" w:color="auto"/>
            <w:left w:val="none" w:sz="0" w:space="0" w:color="auto"/>
            <w:bottom w:val="single" w:sz="6" w:space="10" w:color="E8E4DC"/>
            <w:right w:val="none" w:sz="0" w:space="0" w:color="auto"/>
          </w:divBdr>
        </w:div>
        <w:div w:id="1139882107">
          <w:marLeft w:val="0"/>
          <w:marRight w:val="0"/>
          <w:marTop w:val="0"/>
          <w:marBottom w:val="240"/>
          <w:divBdr>
            <w:top w:val="none" w:sz="0" w:space="0" w:color="auto"/>
            <w:left w:val="none" w:sz="0" w:space="0" w:color="auto"/>
            <w:bottom w:val="single" w:sz="6" w:space="10" w:color="E8E4DC"/>
            <w:right w:val="none" w:sz="0" w:space="0" w:color="auto"/>
          </w:divBdr>
        </w:div>
        <w:div w:id="1566406172">
          <w:marLeft w:val="0"/>
          <w:marRight w:val="0"/>
          <w:marTop w:val="0"/>
          <w:marBottom w:val="240"/>
          <w:divBdr>
            <w:top w:val="none" w:sz="0" w:space="0" w:color="auto"/>
            <w:left w:val="none" w:sz="0" w:space="0" w:color="auto"/>
            <w:bottom w:val="single" w:sz="6" w:space="10" w:color="E8E4DC"/>
            <w:right w:val="none" w:sz="0" w:space="0" w:color="auto"/>
          </w:divBdr>
        </w:div>
        <w:div w:id="860047591">
          <w:marLeft w:val="0"/>
          <w:marRight w:val="0"/>
          <w:marTop w:val="0"/>
          <w:marBottom w:val="240"/>
          <w:divBdr>
            <w:top w:val="none" w:sz="0" w:space="0" w:color="auto"/>
            <w:left w:val="none" w:sz="0" w:space="0" w:color="auto"/>
            <w:bottom w:val="single" w:sz="6" w:space="10" w:color="E8E4DC"/>
            <w:right w:val="none" w:sz="0" w:space="0" w:color="auto"/>
          </w:divBdr>
        </w:div>
        <w:div w:id="1454399670">
          <w:marLeft w:val="0"/>
          <w:marRight w:val="0"/>
          <w:marTop w:val="0"/>
          <w:marBottom w:val="240"/>
          <w:divBdr>
            <w:top w:val="none" w:sz="0" w:space="0" w:color="auto"/>
            <w:left w:val="none" w:sz="0" w:space="0" w:color="auto"/>
            <w:bottom w:val="single" w:sz="6" w:space="10" w:color="E8E4DC"/>
            <w:right w:val="none" w:sz="0" w:space="0" w:color="auto"/>
          </w:divBdr>
        </w:div>
        <w:div w:id="1267274181">
          <w:marLeft w:val="0"/>
          <w:marRight w:val="0"/>
          <w:marTop w:val="0"/>
          <w:marBottom w:val="240"/>
          <w:divBdr>
            <w:top w:val="none" w:sz="0" w:space="0" w:color="auto"/>
            <w:left w:val="none" w:sz="0" w:space="0" w:color="auto"/>
            <w:bottom w:val="single" w:sz="6" w:space="10" w:color="E8E4DC"/>
            <w:right w:val="none" w:sz="0" w:space="0" w:color="auto"/>
          </w:divBdr>
        </w:div>
        <w:div w:id="1327249399">
          <w:marLeft w:val="0"/>
          <w:marRight w:val="0"/>
          <w:marTop w:val="0"/>
          <w:marBottom w:val="240"/>
          <w:divBdr>
            <w:top w:val="none" w:sz="0" w:space="0" w:color="auto"/>
            <w:left w:val="none" w:sz="0" w:space="0" w:color="auto"/>
            <w:bottom w:val="single" w:sz="6" w:space="10" w:color="E8E4DC"/>
            <w:right w:val="none" w:sz="0" w:space="0" w:color="auto"/>
          </w:divBdr>
        </w:div>
        <w:div w:id="367998569">
          <w:marLeft w:val="0"/>
          <w:marRight w:val="0"/>
          <w:marTop w:val="0"/>
          <w:marBottom w:val="240"/>
          <w:divBdr>
            <w:top w:val="none" w:sz="0" w:space="0" w:color="auto"/>
            <w:left w:val="none" w:sz="0" w:space="0" w:color="auto"/>
            <w:bottom w:val="single" w:sz="6" w:space="10" w:color="E8E4DC"/>
            <w:right w:val="none" w:sz="0" w:space="0" w:color="auto"/>
          </w:divBdr>
        </w:div>
        <w:div w:id="1788892106">
          <w:marLeft w:val="0"/>
          <w:marRight w:val="0"/>
          <w:marTop w:val="0"/>
          <w:marBottom w:val="240"/>
          <w:divBdr>
            <w:top w:val="none" w:sz="0" w:space="0" w:color="auto"/>
            <w:left w:val="none" w:sz="0" w:space="0" w:color="auto"/>
            <w:bottom w:val="single" w:sz="6" w:space="10" w:color="E8E4DC"/>
            <w:right w:val="none" w:sz="0" w:space="0" w:color="auto"/>
          </w:divBdr>
        </w:div>
        <w:div w:id="159515045">
          <w:marLeft w:val="0"/>
          <w:marRight w:val="0"/>
          <w:marTop w:val="0"/>
          <w:marBottom w:val="240"/>
          <w:divBdr>
            <w:top w:val="none" w:sz="0" w:space="0" w:color="auto"/>
            <w:left w:val="none" w:sz="0" w:space="0" w:color="auto"/>
            <w:bottom w:val="single" w:sz="6" w:space="10" w:color="E8E4DC"/>
            <w:right w:val="none" w:sz="0" w:space="0" w:color="auto"/>
          </w:divBdr>
        </w:div>
        <w:div w:id="683093602">
          <w:marLeft w:val="0"/>
          <w:marRight w:val="0"/>
          <w:marTop w:val="0"/>
          <w:marBottom w:val="240"/>
          <w:divBdr>
            <w:top w:val="none" w:sz="0" w:space="0" w:color="auto"/>
            <w:left w:val="none" w:sz="0" w:space="0" w:color="auto"/>
            <w:bottom w:val="single" w:sz="6" w:space="10" w:color="E8E4DC"/>
            <w:right w:val="none" w:sz="0" w:space="0" w:color="auto"/>
          </w:divBdr>
        </w:div>
        <w:div w:id="1893693319">
          <w:marLeft w:val="0"/>
          <w:marRight w:val="0"/>
          <w:marTop w:val="0"/>
          <w:marBottom w:val="240"/>
          <w:divBdr>
            <w:top w:val="none" w:sz="0" w:space="0" w:color="auto"/>
            <w:left w:val="none" w:sz="0" w:space="0" w:color="auto"/>
            <w:bottom w:val="single" w:sz="6" w:space="10" w:color="E8E4DC"/>
            <w:right w:val="none" w:sz="0" w:space="0" w:color="auto"/>
          </w:divBdr>
        </w:div>
        <w:div w:id="538081226">
          <w:marLeft w:val="0"/>
          <w:marRight w:val="0"/>
          <w:marTop w:val="0"/>
          <w:marBottom w:val="240"/>
          <w:divBdr>
            <w:top w:val="none" w:sz="0" w:space="0" w:color="auto"/>
            <w:left w:val="none" w:sz="0" w:space="0" w:color="auto"/>
            <w:bottom w:val="single" w:sz="6" w:space="10" w:color="E8E4DC"/>
            <w:right w:val="none" w:sz="0" w:space="0" w:color="auto"/>
          </w:divBdr>
        </w:div>
        <w:div w:id="471561411">
          <w:marLeft w:val="0"/>
          <w:marRight w:val="0"/>
          <w:marTop w:val="0"/>
          <w:marBottom w:val="240"/>
          <w:divBdr>
            <w:top w:val="none" w:sz="0" w:space="0" w:color="auto"/>
            <w:left w:val="none" w:sz="0" w:space="0" w:color="auto"/>
            <w:bottom w:val="single" w:sz="6" w:space="10" w:color="E8E4DC"/>
            <w:right w:val="none" w:sz="0" w:space="0" w:color="auto"/>
          </w:divBdr>
        </w:div>
        <w:div w:id="3366720">
          <w:marLeft w:val="0"/>
          <w:marRight w:val="0"/>
          <w:marTop w:val="0"/>
          <w:marBottom w:val="240"/>
          <w:divBdr>
            <w:top w:val="none" w:sz="0" w:space="0" w:color="auto"/>
            <w:left w:val="none" w:sz="0" w:space="0" w:color="auto"/>
            <w:bottom w:val="single" w:sz="6" w:space="10" w:color="E8E4DC"/>
            <w:right w:val="none" w:sz="0" w:space="0" w:color="auto"/>
          </w:divBdr>
        </w:div>
        <w:div w:id="972369585">
          <w:marLeft w:val="0"/>
          <w:marRight w:val="0"/>
          <w:marTop w:val="0"/>
          <w:marBottom w:val="240"/>
          <w:divBdr>
            <w:top w:val="none" w:sz="0" w:space="0" w:color="auto"/>
            <w:left w:val="none" w:sz="0" w:space="0" w:color="auto"/>
            <w:bottom w:val="single" w:sz="6" w:space="10" w:color="E8E4DC"/>
            <w:right w:val="none" w:sz="0" w:space="0" w:color="auto"/>
          </w:divBdr>
        </w:div>
        <w:div w:id="1545485949">
          <w:marLeft w:val="0"/>
          <w:marRight w:val="0"/>
          <w:marTop w:val="0"/>
          <w:marBottom w:val="240"/>
          <w:divBdr>
            <w:top w:val="none" w:sz="0" w:space="0" w:color="auto"/>
            <w:left w:val="none" w:sz="0" w:space="0" w:color="auto"/>
            <w:bottom w:val="single" w:sz="6" w:space="10" w:color="E8E4DC"/>
            <w:right w:val="none" w:sz="0" w:space="0" w:color="auto"/>
          </w:divBdr>
        </w:div>
        <w:div w:id="1377318961">
          <w:marLeft w:val="0"/>
          <w:marRight w:val="0"/>
          <w:marTop w:val="0"/>
          <w:marBottom w:val="240"/>
          <w:divBdr>
            <w:top w:val="none" w:sz="0" w:space="0" w:color="auto"/>
            <w:left w:val="none" w:sz="0" w:space="0" w:color="auto"/>
            <w:bottom w:val="single" w:sz="6" w:space="10" w:color="E8E4DC"/>
            <w:right w:val="none" w:sz="0" w:space="0" w:color="auto"/>
          </w:divBdr>
        </w:div>
        <w:div w:id="1192034553">
          <w:marLeft w:val="0"/>
          <w:marRight w:val="0"/>
          <w:marTop w:val="0"/>
          <w:marBottom w:val="240"/>
          <w:divBdr>
            <w:top w:val="none" w:sz="0" w:space="0" w:color="auto"/>
            <w:left w:val="none" w:sz="0" w:space="0" w:color="auto"/>
            <w:bottom w:val="single" w:sz="6" w:space="10" w:color="E8E4DC"/>
            <w:right w:val="none" w:sz="0" w:space="0" w:color="auto"/>
          </w:divBdr>
        </w:div>
        <w:div w:id="1206911852">
          <w:marLeft w:val="0"/>
          <w:marRight w:val="0"/>
          <w:marTop w:val="0"/>
          <w:marBottom w:val="240"/>
          <w:divBdr>
            <w:top w:val="none" w:sz="0" w:space="0" w:color="auto"/>
            <w:left w:val="none" w:sz="0" w:space="0" w:color="auto"/>
            <w:bottom w:val="single" w:sz="6" w:space="10" w:color="E8E4DC"/>
            <w:right w:val="none" w:sz="0" w:space="0" w:color="auto"/>
          </w:divBdr>
        </w:div>
        <w:div w:id="1267495650">
          <w:marLeft w:val="0"/>
          <w:marRight w:val="0"/>
          <w:marTop w:val="0"/>
          <w:marBottom w:val="240"/>
          <w:divBdr>
            <w:top w:val="none" w:sz="0" w:space="0" w:color="auto"/>
            <w:left w:val="none" w:sz="0" w:space="0" w:color="auto"/>
            <w:bottom w:val="single" w:sz="6" w:space="10" w:color="E8E4DC"/>
            <w:right w:val="none" w:sz="0" w:space="0" w:color="auto"/>
          </w:divBdr>
        </w:div>
        <w:div w:id="2099909286">
          <w:marLeft w:val="0"/>
          <w:marRight w:val="0"/>
          <w:marTop w:val="0"/>
          <w:marBottom w:val="240"/>
          <w:divBdr>
            <w:top w:val="none" w:sz="0" w:space="0" w:color="auto"/>
            <w:left w:val="none" w:sz="0" w:space="0" w:color="auto"/>
            <w:bottom w:val="single" w:sz="6" w:space="10" w:color="E8E4DC"/>
            <w:right w:val="none" w:sz="0" w:space="0" w:color="auto"/>
          </w:divBdr>
        </w:div>
        <w:div w:id="1710062108">
          <w:marLeft w:val="0"/>
          <w:marRight w:val="0"/>
          <w:marTop w:val="0"/>
          <w:marBottom w:val="240"/>
          <w:divBdr>
            <w:top w:val="none" w:sz="0" w:space="0" w:color="auto"/>
            <w:left w:val="none" w:sz="0" w:space="0" w:color="auto"/>
            <w:bottom w:val="single" w:sz="6" w:space="10" w:color="E8E4DC"/>
            <w:right w:val="none" w:sz="0" w:space="0" w:color="auto"/>
          </w:divBdr>
        </w:div>
        <w:div w:id="577441607">
          <w:marLeft w:val="0"/>
          <w:marRight w:val="0"/>
          <w:marTop w:val="0"/>
          <w:marBottom w:val="240"/>
          <w:divBdr>
            <w:top w:val="none" w:sz="0" w:space="0" w:color="auto"/>
            <w:left w:val="none" w:sz="0" w:space="0" w:color="auto"/>
            <w:bottom w:val="single" w:sz="6" w:space="10" w:color="E8E4DC"/>
            <w:right w:val="none" w:sz="0" w:space="0" w:color="auto"/>
          </w:divBdr>
        </w:div>
        <w:div w:id="654841295">
          <w:marLeft w:val="0"/>
          <w:marRight w:val="0"/>
          <w:marTop w:val="0"/>
          <w:marBottom w:val="240"/>
          <w:divBdr>
            <w:top w:val="none" w:sz="0" w:space="0" w:color="auto"/>
            <w:left w:val="none" w:sz="0" w:space="0" w:color="auto"/>
            <w:bottom w:val="single" w:sz="6" w:space="10" w:color="E8E4DC"/>
            <w:right w:val="none" w:sz="0" w:space="0" w:color="auto"/>
          </w:divBdr>
        </w:div>
        <w:div w:id="930506136">
          <w:marLeft w:val="0"/>
          <w:marRight w:val="0"/>
          <w:marTop w:val="0"/>
          <w:marBottom w:val="240"/>
          <w:divBdr>
            <w:top w:val="none" w:sz="0" w:space="0" w:color="auto"/>
            <w:left w:val="none" w:sz="0" w:space="0" w:color="auto"/>
            <w:bottom w:val="single" w:sz="6" w:space="10" w:color="E8E4DC"/>
            <w:right w:val="none" w:sz="0" w:space="0" w:color="auto"/>
          </w:divBdr>
        </w:div>
        <w:div w:id="395393310">
          <w:marLeft w:val="0"/>
          <w:marRight w:val="0"/>
          <w:marTop w:val="0"/>
          <w:marBottom w:val="240"/>
          <w:divBdr>
            <w:top w:val="none" w:sz="0" w:space="0" w:color="auto"/>
            <w:left w:val="none" w:sz="0" w:space="0" w:color="auto"/>
            <w:bottom w:val="single" w:sz="6" w:space="10" w:color="E8E4DC"/>
            <w:right w:val="none" w:sz="0" w:space="0" w:color="auto"/>
          </w:divBdr>
        </w:div>
        <w:div w:id="1334524777">
          <w:marLeft w:val="0"/>
          <w:marRight w:val="0"/>
          <w:marTop w:val="0"/>
          <w:marBottom w:val="240"/>
          <w:divBdr>
            <w:top w:val="none" w:sz="0" w:space="0" w:color="auto"/>
            <w:left w:val="none" w:sz="0" w:space="0" w:color="auto"/>
            <w:bottom w:val="single" w:sz="6" w:space="10" w:color="E8E4DC"/>
            <w:right w:val="none" w:sz="0" w:space="0" w:color="auto"/>
          </w:divBdr>
        </w:div>
        <w:div w:id="1350065637">
          <w:marLeft w:val="0"/>
          <w:marRight w:val="0"/>
          <w:marTop w:val="0"/>
          <w:marBottom w:val="240"/>
          <w:divBdr>
            <w:top w:val="none" w:sz="0" w:space="0" w:color="auto"/>
            <w:left w:val="none" w:sz="0" w:space="0" w:color="auto"/>
            <w:bottom w:val="single" w:sz="6" w:space="10" w:color="E8E4DC"/>
            <w:right w:val="none" w:sz="0" w:space="0" w:color="auto"/>
          </w:divBdr>
        </w:div>
        <w:div w:id="1301496668">
          <w:marLeft w:val="0"/>
          <w:marRight w:val="0"/>
          <w:marTop w:val="0"/>
          <w:marBottom w:val="240"/>
          <w:divBdr>
            <w:top w:val="none" w:sz="0" w:space="0" w:color="auto"/>
            <w:left w:val="none" w:sz="0" w:space="0" w:color="auto"/>
            <w:bottom w:val="single" w:sz="6" w:space="10" w:color="E8E4DC"/>
            <w:right w:val="none" w:sz="0" w:space="0" w:color="auto"/>
          </w:divBdr>
        </w:div>
        <w:div w:id="1137799871">
          <w:marLeft w:val="0"/>
          <w:marRight w:val="0"/>
          <w:marTop w:val="0"/>
          <w:marBottom w:val="240"/>
          <w:divBdr>
            <w:top w:val="none" w:sz="0" w:space="0" w:color="auto"/>
            <w:left w:val="none" w:sz="0" w:space="0" w:color="auto"/>
            <w:bottom w:val="single" w:sz="6" w:space="10" w:color="E8E4DC"/>
            <w:right w:val="none" w:sz="0" w:space="0" w:color="auto"/>
          </w:divBdr>
        </w:div>
        <w:div w:id="87780162">
          <w:marLeft w:val="0"/>
          <w:marRight w:val="0"/>
          <w:marTop w:val="0"/>
          <w:marBottom w:val="240"/>
          <w:divBdr>
            <w:top w:val="none" w:sz="0" w:space="0" w:color="auto"/>
            <w:left w:val="none" w:sz="0" w:space="0" w:color="auto"/>
            <w:bottom w:val="single" w:sz="6" w:space="10" w:color="E8E4DC"/>
            <w:right w:val="none" w:sz="0" w:space="0" w:color="auto"/>
          </w:divBdr>
        </w:div>
        <w:div w:id="1512065960">
          <w:marLeft w:val="0"/>
          <w:marRight w:val="0"/>
          <w:marTop w:val="0"/>
          <w:marBottom w:val="240"/>
          <w:divBdr>
            <w:top w:val="none" w:sz="0" w:space="0" w:color="auto"/>
            <w:left w:val="none" w:sz="0" w:space="0" w:color="auto"/>
            <w:bottom w:val="single" w:sz="6" w:space="10" w:color="E8E4DC"/>
            <w:right w:val="none" w:sz="0" w:space="0" w:color="auto"/>
          </w:divBdr>
        </w:div>
        <w:div w:id="336882261">
          <w:marLeft w:val="0"/>
          <w:marRight w:val="0"/>
          <w:marTop w:val="0"/>
          <w:marBottom w:val="240"/>
          <w:divBdr>
            <w:top w:val="none" w:sz="0" w:space="0" w:color="auto"/>
            <w:left w:val="none" w:sz="0" w:space="0" w:color="auto"/>
            <w:bottom w:val="single" w:sz="6" w:space="10" w:color="E8E4DC"/>
            <w:right w:val="none" w:sz="0" w:space="0" w:color="auto"/>
          </w:divBdr>
        </w:div>
        <w:div w:id="1869639589">
          <w:marLeft w:val="0"/>
          <w:marRight w:val="0"/>
          <w:marTop w:val="0"/>
          <w:marBottom w:val="240"/>
          <w:divBdr>
            <w:top w:val="none" w:sz="0" w:space="0" w:color="auto"/>
            <w:left w:val="none" w:sz="0" w:space="0" w:color="auto"/>
            <w:bottom w:val="single" w:sz="6" w:space="10" w:color="E8E4DC"/>
            <w:right w:val="none" w:sz="0" w:space="0" w:color="auto"/>
          </w:divBdr>
        </w:div>
        <w:div w:id="894505286">
          <w:marLeft w:val="0"/>
          <w:marRight w:val="0"/>
          <w:marTop w:val="0"/>
          <w:marBottom w:val="240"/>
          <w:divBdr>
            <w:top w:val="none" w:sz="0" w:space="0" w:color="auto"/>
            <w:left w:val="none" w:sz="0" w:space="0" w:color="auto"/>
            <w:bottom w:val="single" w:sz="6" w:space="10" w:color="E8E4DC"/>
            <w:right w:val="none" w:sz="0" w:space="0" w:color="auto"/>
          </w:divBdr>
        </w:div>
        <w:div w:id="967709583">
          <w:marLeft w:val="0"/>
          <w:marRight w:val="0"/>
          <w:marTop w:val="0"/>
          <w:marBottom w:val="240"/>
          <w:divBdr>
            <w:top w:val="none" w:sz="0" w:space="0" w:color="auto"/>
            <w:left w:val="none" w:sz="0" w:space="0" w:color="auto"/>
            <w:bottom w:val="single" w:sz="6" w:space="10" w:color="E8E4DC"/>
            <w:right w:val="none" w:sz="0" w:space="0" w:color="auto"/>
          </w:divBdr>
        </w:div>
        <w:div w:id="1909076860">
          <w:marLeft w:val="0"/>
          <w:marRight w:val="0"/>
          <w:marTop w:val="0"/>
          <w:marBottom w:val="240"/>
          <w:divBdr>
            <w:top w:val="none" w:sz="0" w:space="0" w:color="auto"/>
            <w:left w:val="none" w:sz="0" w:space="0" w:color="auto"/>
            <w:bottom w:val="single" w:sz="6" w:space="10" w:color="E8E4DC"/>
            <w:right w:val="none" w:sz="0" w:space="0" w:color="auto"/>
          </w:divBdr>
        </w:div>
        <w:div w:id="976036619">
          <w:marLeft w:val="0"/>
          <w:marRight w:val="0"/>
          <w:marTop w:val="0"/>
          <w:marBottom w:val="240"/>
          <w:divBdr>
            <w:top w:val="none" w:sz="0" w:space="0" w:color="auto"/>
            <w:left w:val="none" w:sz="0" w:space="0" w:color="auto"/>
            <w:bottom w:val="single" w:sz="6" w:space="10" w:color="E8E4DC"/>
            <w:right w:val="none" w:sz="0" w:space="0" w:color="auto"/>
          </w:divBdr>
        </w:div>
        <w:div w:id="1869221093">
          <w:marLeft w:val="0"/>
          <w:marRight w:val="0"/>
          <w:marTop w:val="0"/>
          <w:marBottom w:val="240"/>
          <w:divBdr>
            <w:top w:val="none" w:sz="0" w:space="0" w:color="auto"/>
            <w:left w:val="none" w:sz="0" w:space="0" w:color="auto"/>
            <w:bottom w:val="single" w:sz="6" w:space="10" w:color="E8E4DC"/>
            <w:right w:val="none" w:sz="0" w:space="0" w:color="auto"/>
          </w:divBdr>
        </w:div>
        <w:div w:id="1114135508">
          <w:marLeft w:val="0"/>
          <w:marRight w:val="0"/>
          <w:marTop w:val="0"/>
          <w:marBottom w:val="240"/>
          <w:divBdr>
            <w:top w:val="none" w:sz="0" w:space="0" w:color="auto"/>
            <w:left w:val="none" w:sz="0" w:space="0" w:color="auto"/>
            <w:bottom w:val="single" w:sz="6" w:space="10" w:color="E8E4DC"/>
            <w:right w:val="none" w:sz="0" w:space="0" w:color="auto"/>
          </w:divBdr>
        </w:div>
        <w:div w:id="1892644509">
          <w:marLeft w:val="0"/>
          <w:marRight w:val="0"/>
          <w:marTop w:val="0"/>
          <w:marBottom w:val="240"/>
          <w:divBdr>
            <w:top w:val="none" w:sz="0" w:space="0" w:color="auto"/>
            <w:left w:val="none" w:sz="0" w:space="0" w:color="auto"/>
            <w:bottom w:val="single" w:sz="6" w:space="10" w:color="E8E4DC"/>
            <w:right w:val="none" w:sz="0" w:space="0" w:color="auto"/>
          </w:divBdr>
        </w:div>
        <w:div w:id="543905888">
          <w:marLeft w:val="0"/>
          <w:marRight w:val="0"/>
          <w:marTop w:val="0"/>
          <w:marBottom w:val="240"/>
          <w:divBdr>
            <w:top w:val="none" w:sz="0" w:space="0" w:color="auto"/>
            <w:left w:val="none" w:sz="0" w:space="0" w:color="auto"/>
            <w:bottom w:val="single" w:sz="6" w:space="10" w:color="E8E4DC"/>
            <w:right w:val="none" w:sz="0" w:space="0" w:color="auto"/>
          </w:divBdr>
        </w:div>
        <w:div w:id="2061897202">
          <w:marLeft w:val="0"/>
          <w:marRight w:val="0"/>
          <w:marTop w:val="0"/>
          <w:marBottom w:val="240"/>
          <w:divBdr>
            <w:top w:val="none" w:sz="0" w:space="0" w:color="auto"/>
            <w:left w:val="none" w:sz="0" w:space="0" w:color="auto"/>
            <w:bottom w:val="single" w:sz="6" w:space="10" w:color="E8E4DC"/>
            <w:right w:val="none" w:sz="0" w:space="0" w:color="auto"/>
          </w:divBdr>
        </w:div>
        <w:div w:id="2025593646">
          <w:marLeft w:val="0"/>
          <w:marRight w:val="0"/>
          <w:marTop w:val="0"/>
          <w:marBottom w:val="240"/>
          <w:divBdr>
            <w:top w:val="none" w:sz="0" w:space="0" w:color="auto"/>
            <w:left w:val="none" w:sz="0" w:space="0" w:color="auto"/>
            <w:bottom w:val="single" w:sz="6" w:space="10" w:color="E8E4DC"/>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C://Users/iam/Mijn%20Drive/Documents/_KAFKA/_AUDIT/RAW/DOC_C/_svg_cache/figuur_bcf034f0c2e0e793.png" TargetMode="External"/><Relationship Id="rId21" Type="http://schemas.openxmlformats.org/officeDocument/2006/relationships/image" Target="C://Users/iam/Mijn%20Drive/Documents/_KAFKA/_AUDIT/RAW/DOC_C/_svg_cache/figuur_5cb43d393212ac5a.png" TargetMode="External"/><Relationship Id="rId42" Type="http://schemas.openxmlformats.org/officeDocument/2006/relationships/image" Target="C://Users/iam/Mijn%20Drive/Documents/_KAFKA/_AUDIT/RAW/DOC_C/_svg_cache/figuur_3a387350ed86bd6e.png" TargetMode="External"/><Relationship Id="rId47" Type="http://schemas.openxmlformats.org/officeDocument/2006/relationships/image" Target="C://Users/iam/Mijn%20Drive/Documents/_KAFKA/_AUDIT/RAW/DOC_C/_svg_cache/figuur_d65bf51aec6aec90.png" TargetMode="External"/><Relationship Id="rId63" Type="http://schemas.openxmlformats.org/officeDocument/2006/relationships/image" Target="C://Users/iam/Mijn%20Drive/Documents/_KAFKA/_AUDIT/RAW/DOC_C/_svg_cache/figuur_d962d5689298eaa5.png" TargetMode="External"/><Relationship Id="rId68" Type="http://schemas.openxmlformats.org/officeDocument/2006/relationships/image" Target="C://Users/iam/Mijn%20Drive/Documents/_KAFKA/_AUDIT/RAW/DOC_C/_svg_cache/figuur_a94c277487c80719.png" TargetMode="External"/><Relationship Id="rId84" Type="http://schemas.openxmlformats.org/officeDocument/2006/relationships/image" Target="C://Users/iam/Mijn%20Drive/Documents/_KAFKA/_AUDIT/RAW/DOC_C/_svg_cache/figuur_db20510f883b5ab0.png" TargetMode="External"/><Relationship Id="rId89" Type="http://schemas.openxmlformats.org/officeDocument/2006/relationships/image" Target="C://Users/iam/Mijn%20Drive/Documents/_KAFKA/_AUDIT/RAW/DOC_C/_svg_cache/figuur_8377315ca1e9862f.png" TargetMode="External"/><Relationship Id="rId16" Type="http://schemas.openxmlformats.org/officeDocument/2006/relationships/image" Target="C://Users/iam/Mijn%20Drive/Documents/_KAFKA/_AUDIT/RAW/DOC_C/_svg_cache/figuur_b2a05eb6488edab9.png" TargetMode="External"/><Relationship Id="rId11" Type="http://schemas.openxmlformats.org/officeDocument/2006/relationships/image" Target="C://Users/iam/Mijn%20Drive/Documents/_KAFKA/_AUDIT/RAW/DOC_C/_svg_cache/figuur_c4c68014a5f5a0c8.png" TargetMode="External"/><Relationship Id="rId32" Type="http://schemas.openxmlformats.org/officeDocument/2006/relationships/image" Target="C://Users/iam/Mijn%20Drive/Documents/_KAFKA/_AUDIT/RAW/DOC_C/_svg_cache/figuur_f72ea83ede7ca9c6.png" TargetMode="External"/><Relationship Id="rId37" Type="http://schemas.openxmlformats.org/officeDocument/2006/relationships/image" Target="C://Users/iam/Mijn%20Drive/Documents/_KAFKA/_AUDIT/RAW/DOC_C/_svg_cache/figuur_f7d78caa5aa9ae2a.png" TargetMode="External"/><Relationship Id="rId53" Type="http://schemas.openxmlformats.org/officeDocument/2006/relationships/image" Target="C://Users/iam/Mijn%20Drive/Documents/_KAFKA/_AUDIT/RAW/DOC_C/_svg_cache/figuur_4bb8ea17bae9bde3.png" TargetMode="External"/><Relationship Id="rId58" Type="http://schemas.openxmlformats.org/officeDocument/2006/relationships/image" Target="C://Users/iam/Mijn%20Drive/Documents/_KAFKA/_AUDIT/RAW/DOC_C/_svg_cache/figuur_2719234c5e2bf24e.png" TargetMode="External"/><Relationship Id="rId74" Type="http://schemas.openxmlformats.org/officeDocument/2006/relationships/image" Target="C://Users/iam/Mijn%20Drive/Documents/_KAFKA/_AUDIT/RAW/DOC_C/_svg_cache/figuur_63357c2df32aafb7.png" TargetMode="External"/><Relationship Id="rId79" Type="http://schemas.openxmlformats.org/officeDocument/2006/relationships/image" Target="C://Users/iam/Mijn%20Drive/Documents/_KAFKA/_AUDIT/RAW/DOC_C/_svg_cache/figuur_11fa7aa8eaaa66e8.png" TargetMode="External"/><Relationship Id="rId102" Type="http://schemas.openxmlformats.org/officeDocument/2006/relationships/footer" Target="footer3.xml"/><Relationship Id="rId5" Type="http://schemas.openxmlformats.org/officeDocument/2006/relationships/footnotes" Target="footnotes.xml"/><Relationship Id="rId90" Type="http://schemas.openxmlformats.org/officeDocument/2006/relationships/image" Target="C://Users/iam/Mijn%20Drive/Documents/_KAFKA/_AUDIT/RAW/DOC_C/_svg_cache/figuur_17db46e656b18748.png" TargetMode="External"/><Relationship Id="rId95" Type="http://schemas.openxmlformats.org/officeDocument/2006/relationships/image" Target="C://Users/iam/Mijn%20Drive/Documents/_KAFKA/_AUDIT/RAW/DOC_C/_svg_cache/figuur_146445c778afcaf6.png" TargetMode="External"/><Relationship Id="rId22" Type="http://schemas.openxmlformats.org/officeDocument/2006/relationships/image" Target="C://Users/iam/Mijn%20Drive/Documents/_KAFKA/_AUDIT/RAW/DOC_C/_svg_cache/figuur_47910e485a5fb628.png" TargetMode="External"/><Relationship Id="rId27" Type="http://schemas.openxmlformats.org/officeDocument/2006/relationships/image" Target="C://Users/iam/Mijn%20Drive/Documents/_KAFKA/_AUDIT/RAW/DOC_C/_svg_cache/figuur_35099af3b6b21b9e.png" TargetMode="External"/><Relationship Id="rId43" Type="http://schemas.openxmlformats.org/officeDocument/2006/relationships/image" Target="C://Users/iam/Mijn%20Drive/Documents/_KAFKA/_AUDIT/RAW/DOC_C/_svg_cache/figuur_0b9e93bc61f32caf.png" TargetMode="External"/><Relationship Id="rId48" Type="http://schemas.openxmlformats.org/officeDocument/2006/relationships/image" Target="C://Users/iam/Mijn%20Drive/Documents/_KAFKA/_AUDIT/RAW/DOC_C/_svg_cache/figuur_51761fc91803ff21.png" TargetMode="External"/><Relationship Id="rId64" Type="http://schemas.openxmlformats.org/officeDocument/2006/relationships/image" Target="C://Users/iam/Mijn%20Drive/Documents/_KAFKA/_AUDIT/RAW/DOC_C/_svg_cache/figuur_d6ad51df3078d976.png" TargetMode="External"/><Relationship Id="rId69" Type="http://schemas.openxmlformats.org/officeDocument/2006/relationships/image" Target="C://Users/iam/Mijn%20Drive/Documents/_KAFKA/_AUDIT/RAW/DOC_C/_svg_cache/figuur_5ab0a533d8c34500.png" TargetMode="External"/><Relationship Id="rId80" Type="http://schemas.openxmlformats.org/officeDocument/2006/relationships/image" Target="C://Users/iam/Mijn%20Drive/Documents/_KAFKA/_AUDIT/RAW/DOC_C/_svg_cache/figuur_f0db8f5a50b412e1.png" TargetMode="External"/><Relationship Id="rId85" Type="http://schemas.openxmlformats.org/officeDocument/2006/relationships/image" Target="C://Users/iam/Mijn%20Drive/Documents/_KAFKA/_AUDIT/RAW/DOC_C/_svg_cache/figuur_8ba5fe9a6b05b8c6.png" TargetMode="External"/><Relationship Id="rId12" Type="http://schemas.openxmlformats.org/officeDocument/2006/relationships/image" Target="C://Users/iam/Mijn%20Drive/Documents/_KAFKA/_AUDIT/RAW/DOC_C/_svg_cache/figuur_11dda7f28a8f5416.png" TargetMode="External"/><Relationship Id="rId17" Type="http://schemas.openxmlformats.org/officeDocument/2006/relationships/image" Target="C://Users/iam/Mijn%20Drive/Documents/_KAFKA/_AUDIT/RAW/DOC_C/_svg_cache/figuur_04c56875f445f9a5.png" TargetMode="External"/><Relationship Id="rId25" Type="http://schemas.openxmlformats.org/officeDocument/2006/relationships/image" Target="C://Users/iam/Mijn%20Drive/Documents/_KAFKA/_AUDIT/RAW/DOC_C/_svg_cache/figuur_41240d91cf2f1d1a.png" TargetMode="External"/><Relationship Id="rId33" Type="http://schemas.openxmlformats.org/officeDocument/2006/relationships/image" Target="C://Users/iam/Mijn%20Drive/Documents/_KAFKA/_AUDIT/RAW/DOC_C/_svg_cache/figuur_b5fd8ccc61900b0a.png" TargetMode="External"/><Relationship Id="rId38" Type="http://schemas.openxmlformats.org/officeDocument/2006/relationships/image" Target="C://Users/iam/Mijn%20Drive/Documents/_KAFKA/_AUDIT/RAW/DOC_C/_svg_cache/figuur_7ce1cce608566a67.png" TargetMode="External"/><Relationship Id="rId46" Type="http://schemas.openxmlformats.org/officeDocument/2006/relationships/image" Target="C://Users/iam/Mijn%20Drive/Documents/_KAFKA/_AUDIT/RAW/DOC_C/_svg_cache/figuur_4daf73b50dc26894.png" TargetMode="External"/><Relationship Id="rId59" Type="http://schemas.openxmlformats.org/officeDocument/2006/relationships/image" Target="C://Users/iam/Mijn%20Drive/Documents/_KAFKA/_AUDIT/RAW/DOC_C/_svg_cache/figuur_1ebc356282e6a2d0.png" TargetMode="External"/><Relationship Id="rId67" Type="http://schemas.openxmlformats.org/officeDocument/2006/relationships/image" Target="C://Users/iam/Mijn%20Drive/Documents/_KAFKA/_AUDIT/RAW/DOC_C/_svg_cache/figuur_08628a86dc51c2af.png" TargetMode="External"/><Relationship Id="rId103" Type="http://schemas.openxmlformats.org/officeDocument/2006/relationships/fontTable" Target="fontTable.xml"/><Relationship Id="rId20" Type="http://schemas.openxmlformats.org/officeDocument/2006/relationships/image" Target="C://Users/iam/Mijn%20Drive/Documents/_KAFKA/_AUDIT/RAW/DOC_C/_svg_cache/figuur_44b60312d348c444.png" TargetMode="External"/><Relationship Id="rId41" Type="http://schemas.openxmlformats.org/officeDocument/2006/relationships/image" Target="C://Users/iam/Mijn%20Drive/Documents/_KAFKA/_AUDIT/RAW/DOC_C/_svg_cache/figuur_55251b5efca9d349.png" TargetMode="External"/><Relationship Id="rId54" Type="http://schemas.openxmlformats.org/officeDocument/2006/relationships/image" Target="C://Users/iam/Mijn%20Drive/Documents/_KAFKA/_AUDIT/RAW/DOC_C/_svg_cache/figuur_521652f806a5d9b3.png" TargetMode="External"/><Relationship Id="rId62" Type="http://schemas.openxmlformats.org/officeDocument/2006/relationships/image" Target="C://Users/iam/Mijn%20Drive/Documents/_KAFKA/_AUDIT/RAW/DOC_C/_svg_cache/figuur_089a2ac643ed47ba.png" TargetMode="External"/><Relationship Id="rId70" Type="http://schemas.openxmlformats.org/officeDocument/2006/relationships/image" Target="C://Users/iam/Mijn%20Drive/Documents/_KAFKA/_AUDIT/RAW/DOC_C/_svg_cache/figuur_0ff48acd80034493.png" TargetMode="External"/><Relationship Id="rId75" Type="http://schemas.openxmlformats.org/officeDocument/2006/relationships/image" Target="C://Users/iam/Mijn%20Drive/Documents/_KAFKA/_AUDIT/RAW/DOC_C/_svg_cache/figuur_5defd49582bde7cd.png" TargetMode="External"/><Relationship Id="rId83" Type="http://schemas.openxmlformats.org/officeDocument/2006/relationships/image" Target="C://Users/iam/Mijn%20Drive/Documents/_KAFKA/_AUDIT/RAW/DOC_C/_svg_cache/figuur_febff3f24c5ad1d5.png" TargetMode="External"/><Relationship Id="rId88" Type="http://schemas.openxmlformats.org/officeDocument/2006/relationships/image" Target="C://Users/iam/Mijn%20Drive/Documents/_KAFKA/_AUDIT/RAW/DOC_C/_svg_cache/figuur_429a15282f5463bb.png" TargetMode="External"/><Relationship Id="rId91" Type="http://schemas.openxmlformats.org/officeDocument/2006/relationships/image" Target="C://Users/iam/Mijn%20Drive/Documents/_KAFKA/_AUDIT/RAW/DOC_C/_svg_cache/figuur_5d8bad751720f83a.png" TargetMode="External"/><Relationship Id="rId96" Type="http://schemas.openxmlformats.org/officeDocument/2006/relationships/image" Target="C://Users/iam/Mijn%20Drive/Documents/_KAFKA/_AUDIT/RAW/DOC_C/_svg_cache/figuur_fd864343f3838422.pn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C://Users/iam/Mijn%20Drive/Documents/_KAFKA/_AUDIT/RAW/DOC_C/_svg_cache/figuur_51805d5597f12052.png" TargetMode="External"/><Relationship Id="rId23" Type="http://schemas.openxmlformats.org/officeDocument/2006/relationships/image" Target="C://Users/iam/Mijn%20Drive/Documents/_KAFKA/_AUDIT/RAW/DOC_C/_svg_cache/figuur_245458532e9f10cd.png" TargetMode="External"/><Relationship Id="rId28" Type="http://schemas.openxmlformats.org/officeDocument/2006/relationships/image" Target="C://Users/iam/Mijn%20Drive/Documents/_KAFKA/_AUDIT/RAW/DOC_C/_svg_cache/figuur_d9f917dfbf777a5d.png" TargetMode="External"/><Relationship Id="rId36" Type="http://schemas.openxmlformats.org/officeDocument/2006/relationships/image" Target="C://Users/iam/Mijn%20Drive/Documents/_KAFKA/_AUDIT/RAW/DOC_C/_svg_cache/figuur_3e8babb5a6279a60.png" TargetMode="External"/><Relationship Id="rId49" Type="http://schemas.openxmlformats.org/officeDocument/2006/relationships/image" Target="C://Users/iam/Mijn%20Drive/Documents/_KAFKA/_AUDIT/RAW/DOC_C/_svg_cache/figuur_e55259eb05feaabd.png" TargetMode="External"/><Relationship Id="rId57" Type="http://schemas.openxmlformats.org/officeDocument/2006/relationships/image" Target="C://Users/iam/Mijn%20Drive/Documents/_KAFKA/_AUDIT/RAW/DOC_C/_svg_cache/figuur_3123063d31043677.png" TargetMode="External"/><Relationship Id="rId10" Type="http://schemas.openxmlformats.org/officeDocument/2006/relationships/image" Target="C://Users/iam/Mijn%20Drive/Documents/_KAFKA/_AUDIT/RAW/DOC_C/_svg_cache/figuur_71d3e9ca70aad277.png" TargetMode="External"/><Relationship Id="rId31" Type="http://schemas.openxmlformats.org/officeDocument/2006/relationships/image" Target="C://Users/iam/Mijn%20Drive/Documents/_KAFKA/_AUDIT/RAW/DOC_C/_svg_cache/figuur_e5f40310a41200d8.png" TargetMode="External"/><Relationship Id="rId44" Type="http://schemas.openxmlformats.org/officeDocument/2006/relationships/image" Target="C://Users/iam/Mijn%20Drive/Documents/_KAFKA/_AUDIT/RAW/DOC_C/_svg_cache/figuur_fe11f25127255e30.png" TargetMode="External"/><Relationship Id="rId52" Type="http://schemas.openxmlformats.org/officeDocument/2006/relationships/image" Target="C://Users/iam/Mijn%20Drive/Documents/_KAFKA/_AUDIT/RAW/DOC_C/_svg_cache/figuur_0bfc263b569868f4.png" TargetMode="External"/><Relationship Id="rId60" Type="http://schemas.openxmlformats.org/officeDocument/2006/relationships/image" Target="C://Users/iam/Mijn%20Drive/Documents/_KAFKA/_AUDIT/RAW/DOC_C/_svg_cache/figuur_787e5a5f85c22ff0.png" TargetMode="External"/><Relationship Id="rId65" Type="http://schemas.openxmlformats.org/officeDocument/2006/relationships/image" Target="C://Users/iam/Mijn%20Drive/Documents/_KAFKA/_AUDIT/RAW/DOC_C/_svg_cache/figuur_c9ac78cd3d83dfef.png" TargetMode="External"/><Relationship Id="rId73" Type="http://schemas.openxmlformats.org/officeDocument/2006/relationships/image" Target="C://Users/iam/Mijn%20Drive/Documents/_KAFKA/_AUDIT/RAW/DOC_C/_svg_cache/figuur_ef3bfbbbaf0ab791.png" TargetMode="External"/><Relationship Id="rId78" Type="http://schemas.openxmlformats.org/officeDocument/2006/relationships/image" Target="C://Users/iam/Mijn%20Drive/Documents/_KAFKA/_AUDIT/RAW/DOC_C/_svg_cache/figuur_9b1b6d1b5db94726.png" TargetMode="External"/><Relationship Id="rId81" Type="http://schemas.openxmlformats.org/officeDocument/2006/relationships/image" Target="C://Users/iam/Mijn%20Drive/Documents/_KAFKA/_AUDIT/RAW/DOC_C/_svg_cache/figuur_e7a7c1ec82b00e34.png" TargetMode="External"/><Relationship Id="rId86" Type="http://schemas.openxmlformats.org/officeDocument/2006/relationships/image" Target="C://Users/iam/Mijn%20Drive/Documents/_KAFKA/_AUDIT/RAW/DOC_C/_svg_cache/figuur_bc77a34ac87493bb.png" TargetMode="External"/><Relationship Id="rId94" Type="http://schemas.openxmlformats.org/officeDocument/2006/relationships/image" Target="C://Users/iam/Mijn%20Drive/Documents/_KAFKA/_AUDIT/RAW/DOC_C/_svg_cache/figuur_ea365890eaa43e32.png" TargetMode="External"/><Relationship Id="rId99" Type="http://schemas.openxmlformats.org/officeDocument/2006/relationships/footer" Target="footer1.xml"/><Relationship Id="rId10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C://Users/iam/Mijn%20Drive/Documents/_KAFKA/_AUDIT/RAW/DOC_C/_svg_cache/figuur_f099a59ae40b9f7f.png" TargetMode="External"/><Relationship Id="rId13" Type="http://schemas.openxmlformats.org/officeDocument/2006/relationships/image" Target="C://Users/iam/Mijn%20Drive/Documents/_KAFKA/_AUDIT/RAW/DOC_C/_svg_cache/figuur_e4a0c0c879e4772d.png" TargetMode="External"/><Relationship Id="rId18" Type="http://schemas.openxmlformats.org/officeDocument/2006/relationships/image" Target="C://Users/iam/Mijn%20Drive/Documents/_KAFKA/_AUDIT/RAW/DOC_C/_svg_cache/figuur_3c1c445a7c92c196.png" TargetMode="External"/><Relationship Id="rId39" Type="http://schemas.openxmlformats.org/officeDocument/2006/relationships/image" Target="C://Users/iam/Mijn%20Drive/Documents/_KAFKA/_AUDIT/RAW/DOC_C/_svg_cache/figuur_4441a1965922f1c8.png" TargetMode="External"/><Relationship Id="rId34" Type="http://schemas.openxmlformats.org/officeDocument/2006/relationships/image" Target="C://Users/iam/Mijn%20Drive/Documents/_KAFKA/_AUDIT/RAW/DOC_C/_svg_cache/figuur_a1747138ae50b42f.png" TargetMode="External"/><Relationship Id="rId50" Type="http://schemas.openxmlformats.org/officeDocument/2006/relationships/image" Target="C://Users/iam/Mijn%20Drive/Documents/_KAFKA/_AUDIT/RAW/DOC_C/_svg_cache/figuur_ac5b77f012204bed.png" TargetMode="External"/><Relationship Id="rId55" Type="http://schemas.openxmlformats.org/officeDocument/2006/relationships/image" Target="C://Users/iam/Mijn%20Drive/Documents/_KAFKA/_AUDIT/RAW/DOC_C/_svg_cache/figuur_8828fff5da919808.png" TargetMode="External"/><Relationship Id="rId76" Type="http://schemas.openxmlformats.org/officeDocument/2006/relationships/image" Target="C://Users/iam/Mijn%20Drive/Documents/_KAFKA/_AUDIT/RAW/DOC_C/_svg_cache/figuur_12911a1ca7b50e59.png" TargetMode="External"/><Relationship Id="rId97" Type="http://schemas.openxmlformats.org/officeDocument/2006/relationships/header" Target="header1.xml"/><Relationship Id="rId104" Type="http://schemas.openxmlformats.org/officeDocument/2006/relationships/theme" Target="theme/theme1.xml"/><Relationship Id="rId7" Type="http://schemas.openxmlformats.org/officeDocument/2006/relationships/image" Target="C://Users/iam/Mijn%20Drive/Documents/_KAFKA/_AUDIT/RAW/DOC_C/_svg_cache/figuur_2072bc0bdee0b463.png" TargetMode="External"/><Relationship Id="rId71" Type="http://schemas.openxmlformats.org/officeDocument/2006/relationships/image" Target="C://Users/iam/Mijn%20Drive/Documents/_KAFKA/_AUDIT/RAW/DOC_C/_svg_cache/figuur_35e7ab323cfd7b1f.png" TargetMode="External"/><Relationship Id="rId92" Type="http://schemas.openxmlformats.org/officeDocument/2006/relationships/image" Target="C://Users/iam/Mijn%20Drive/Documents/_KAFKA/_AUDIT/RAW/DOC_C/_svg_cache/figuur_a1df3f73a3b2117f.png" TargetMode="External"/><Relationship Id="rId2" Type="http://schemas.openxmlformats.org/officeDocument/2006/relationships/styles" Target="styles.xml"/><Relationship Id="rId29" Type="http://schemas.openxmlformats.org/officeDocument/2006/relationships/image" Target="C://Users/iam/Mijn%20Drive/Documents/_KAFKA/_AUDIT/RAW/DOC_C/_svg_cache/figuur_004351923ad24654.png" TargetMode="External"/><Relationship Id="rId24" Type="http://schemas.openxmlformats.org/officeDocument/2006/relationships/image" Target="C://Users/iam/Mijn%20Drive/Documents/_KAFKA/_AUDIT/RAW/DOC_C/_svg_cache/figuur_7b88c438cf5fc3a4.png" TargetMode="External"/><Relationship Id="rId40" Type="http://schemas.openxmlformats.org/officeDocument/2006/relationships/image" Target="C://Users/iam/Mijn%20Drive/Documents/_KAFKA/_AUDIT/RAW/DOC_C/_svg_cache/figuur_7030d6203eda7d76.png" TargetMode="External"/><Relationship Id="rId45" Type="http://schemas.openxmlformats.org/officeDocument/2006/relationships/image" Target="C://Users/iam/Mijn%20Drive/Documents/_KAFKA/_AUDIT/RAW/DOC_C/_svg_cache/figuur_400a035721a26fc5.png" TargetMode="External"/><Relationship Id="rId66" Type="http://schemas.openxmlformats.org/officeDocument/2006/relationships/image" Target="C://Users/iam/Mijn%20Drive/Documents/_KAFKA/_AUDIT/RAW/DOC_C/_svg_cache/figuur_fe85c0836bbb9aca.png" TargetMode="External"/><Relationship Id="rId87" Type="http://schemas.openxmlformats.org/officeDocument/2006/relationships/image" Target="C://Users/iam/Mijn%20Drive/Documents/_KAFKA/_AUDIT/RAW/DOC_C/_svg_cache/figuur_96bd09955982aeef.png" TargetMode="External"/><Relationship Id="rId61" Type="http://schemas.openxmlformats.org/officeDocument/2006/relationships/image" Target="C://Users/iam/Mijn%20Drive/Documents/_KAFKA/_AUDIT/RAW/DOC_C/_svg_cache/figuur_33ef9fe97c817235.png" TargetMode="External"/><Relationship Id="rId82" Type="http://schemas.openxmlformats.org/officeDocument/2006/relationships/image" Target="C://Users/iam/Mijn%20Drive/Documents/_KAFKA/_AUDIT/RAW/DOC_C/_svg_cache/figuur_8f69f65bfe4ce43a.png" TargetMode="External"/><Relationship Id="rId19" Type="http://schemas.openxmlformats.org/officeDocument/2006/relationships/image" Target="C://Users/iam/Mijn%20Drive/Documents/_KAFKA/_AUDIT/RAW/DOC_C/_svg_cache/figuur_7b48eade5710b58c.png" TargetMode="External"/><Relationship Id="rId14" Type="http://schemas.openxmlformats.org/officeDocument/2006/relationships/image" Target="C://Users/iam/Mijn%20Drive/Documents/_KAFKA/_AUDIT/RAW/DOC_C/_svg_cache/figuur_544155d9f4b002b3.png" TargetMode="External"/><Relationship Id="rId30" Type="http://schemas.openxmlformats.org/officeDocument/2006/relationships/image" Target="C://Users/iam/Mijn%20Drive/Documents/_KAFKA/_AUDIT/RAW/DOC_C/_svg_cache/figuur_9a0ff078e0ab8867.png" TargetMode="External"/><Relationship Id="rId35" Type="http://schemas.openxmlformats.org/officeDocument/2006/relationships/image" Target="C://Users/iam/Mijn%20Drive/Documents/_KAFKA/_AUDIT/RAW/DOC_C/_svg_cache/figuur_a07a899f59bd27e5.png" TargetMode="External"/><Relationship Id="rId56" Type="http://schemas.openxmlformats.org/officeDocument/2006/relationships/image" Target="C://Users/iam/Mijn%20Drive/Documents/_KAFKA/_AUDIT/RAW/DOC_C/_svg_cache/figuur_0683e2f47f3394d8.png" TargetMode="External"/><Relationship Id="rId77" Type="http://schemas.openxmlformats.org/officeDocument/2006/relationships/image" Target="C://Users/iam/Mijn%20Drive/Documents/_KAFKA/_AUDIT/RAW/DOC_C/_svg_cache/figuur_0099d4ecba58104b.png" TargetMode="External"/><Relationship Id="rId100" Type="http://schemas.openxmlformats.org/officeDocument/2006/relationships/footer" Target="footer2.xml"/><Relationship Id="rId8" Type="http://schemas.openxmlformats.org/officeDocument/2006/relationships/image" Target="C://Users/iam/Mijn%20Drive/Documents/_KAFKA/_AUDIT/RAW/DOC_C/_svg_cache/figuur_b6da10341766cc46.png" TargetMode="External"/><Relationship Id="rId51" Type="http://schemas.openxmlformats.org/officeDocument/2006/relationships/image" Target="C://Users/iam/Mijn%20Drive/Documents/_KAFKA/_AUDIT/RAW/DOC_C/_svg_cache/figuur_cc390112a2492162.png" TargetMode="External"/><Relationship Id="rId72" Type="http://schemas.openxmlformats.org/officeDocument/2006/relationships/image" Target="C://Users/iam/Mijn%20Drive/Documents/_KAFKA/_AUDIT/RAW/DOC_C/_svg_cache/figuur_c24ebb30178c2384.png" TargetMode="External"/><Relationship Id="rId93" Type="http://schemas.openxmlformats.org/officeDocument/2006/relationships/image" Target="C://Users/iam/Mijn%20Drive/Documents/_KAFKA/_AUDIT/RAW/DOC_C/_svg_cache/figuur_d3d4489933e0fd41.png" TargetMode="External"/><Relationship Id="rId9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125</Pages>
  <Words>26534</Words>
  <Characters>145939</Characters>
  <Application>Microsoft Office Word</Application>
  <DocSecurity>0</DocSecurity>
  <Lines>1216</Lines>
  <Paragraphs>344</Paragraphs>
  <ScaleCrop>false</ScaleCrop>
  <Company/>
  <LinksUpToDate>false</LinksUpToDate>
  <CharactersWithSpaces>172129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C — De visuele architectuur</dc:title>
  <dc:subject/>
  <dc:creator>Eric Messa</dc:creator>
  <cp:keywords/>
  <dc:description/>
  <cp:lastModifiedBy>Eric Messa</cp:lastModifiedBy>
  <cp:revision>2</cp:revision>
  <dcterms:created xsi:type="dcterms:W3CDTF">2026-10-06T12:24:00Z</dcterms:created>
  <dcterms:modified xsi:type="dcterms:W3CDTF">2026-10-06T12:24:00Z</dcterms:modified>
</cp:coreProperties>
</file>