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40106" w14:textId="77777777" w:rsidR="00773516" w:rsidRDefault="00773516">
      <w:pPr>
        <w:spacing w:after="480"/>
        <w:jc w:val="center"/>
        <w:outlineLvl w:val="1"/>
        <w:divId w:val="1330019392"/>
        <w:rPr>
          <w:rFonts w:ascii="Aptos Display" w:eastAsia="Times New Roman" w:hAnsi="Aptos Display"/>
          <w:b/>
          <w:bCs/>
          <w:color w:val="7A3E9D"/>
          <w:kern w:val="36"/>
          <w:sz w:val="72"/>
          <w:szCs w:val="72"/>
          <w:lang w:val="nl-NL"/>
        </w:rPr>
      </w:pPr>
      <w:r>
        <w:rPr>
          <w:rFonts w:ascii="Aptos Display" w:eastAsia="Times New Roman" w:hAnsi="Aptos Display"/>
          <w:b/>
          <w:bCs/>
          <w:color w:val="7A3E9D"/>
          <w:kern w:val="36"/>
          <w:sz w:val="72"/>
          <w:szCs w:val="72"/>
          <w:lang w:val="nl-NL"/>
        </w:rPr>
        <w:t>Systeem-Audit</w:t>
      </w:r>
    </w:p>
    <w:p w14:paraId="7E2835BE" w14:textId="77777777" w:rsidR="00773516" w:rsidRDefault="00773516">
      <w:pPr>
        <w:pStyle w:val="ondertitel2"/>
        <w:divId w:val="1330019392"/>
        <w:rPr>
          <w:lang w:val="nl-NL"/>
        </w:rPr>
      </w:pPr>
      <w:r>
        <w:rPr>
          <w:lang w:val="nl-NL"/>
        </w:rPr>
        <w:t>Grensoverschrijdend bevoegdheidsvacuüm in de sociale zekerheid</w:t>
      </w:r>
    </w:p>
    <w:p w14:paraId="67A2AFCF" w14:textId="77777777" w:rsidR="00773516" w:rsidRDefault="00773516">
      <w:pPr>
        <w:pStyle w:val="documentaanduiding2"/>
        <w:divId w:val="1330019392"/>
        <w:rPr>
          <w:lang w:val="nl-NL"/>
        </w:rPr>
      </w:pPr>
      <w:r>
        <w:rPr>
          <w:lang w:val="nl-NL"/>
        </w:rPr>
        <w:t>Document A — De narratieve audit</w:t>
      </w:r>
    </w:p>
    <w:p w14:paraId="673F86B7" w14:textId="77777777" w:rsidR="00773516" w:rsidRDefault="00773516">
      <w:pPr>
        <w:pStyle w:val="auteur2"/>
        <w:divId w:val="1330019392"/>
        <w:rPr>
          <w:lang w:val="nl-NL"/>
        </w:rPr>
      </w:pPr>
      <w:r>
        <w:rPr>
          <w:lang w:val="nl-NL"/>
        </w:rPr>
        <w:t>Auteur: Eric Messa</w:t>
      </w:r>
    </w:p>
    <w:p w14:paraId="0B20179D" w14:textId="77777777" w:rsidR="00773516" w:rsidRDefault="00773516">
      <w:pPr>
        <w:pStyle w:val="meta-lijn2"/>
        <w:divId w:val="1330019392"/>
        <w:rPr>
          <w:lang w:val="nl-NL"/>
        </w:rPr>
      </w:pPr>
      <w:r>
        <w:rPr>
          <w:lang w:val="nl-NL"/>
        </w:rPr>
        <w:t>Versie bijgewerkt: 6 oktober 2026, 14:20</w:t>
      </w:r>
    </w:p>
    <w:p w14:paraId="49745F91" w14:textId="77777777" w:rsidR="00773516" w:rsidRDefault="00773516">
      <w:pPr>
        <w:pStyle w:val="marker"/>
        <w:ind w:left="800" w:right="800"/>
        <w:divId w:val="1477067237"/>
        <w:rPr>
          <w:lang w:val="nl-NL"/>
        </w:rPr>
      </w:pPr>
      <w:r>
        <w:br w:type="page"/>
      </w:r>
    </w:p>
    <w:p w14:paraId="7006BDC2" w14:textId="77777777" w:rsidR="00773516" w:rsidRDefault="00773516" w:rsidP="00773516">
      <w:pPr>
        <w:pStyle w:val="Kop2"/>
        <w:pageBreakBefore/>
        <w:divId w:val="1132989214"/>
        <w:rPr>
          <w:rFonts w:eastAsia="Times New Roman"/>
          <w:lang w:val="nl-NL"/>
        </w:rPr>
      </w:pPr>
      <w:bookmarkStart w:id="0" w:name="_Toc242189427"/>
      <w:r>
        <w:rPr>
          <w:rFonts w:eastAsia="Times New Roman"/>
          <w:lang w:val="nl-NL"/>
        </w:rPr>
        <w:lastRenderedPageBreak/>
        <w:t>Inhoudsopgave</w:t>
      </w:r>
      <w:bookmarkEnd w:id="0"/>
    </w:p>
    <w:p w14:paraId="5C9F379C" w14:textId="393B22E2" w:rsidR="00773516" w:rsidRDefault="00773516" w:rsidP="00773516">
      <w:pPr>
        <w:pStyle w:val="Inhopg2"/>
        <w:tabs>
          <w:tab w:val="right" w:leader="dot" w:pos="9062"/>
        </w:tabs>
        <w:divId w:val="1132989214"/>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816504">
        <w:rPr>
          <w:rFonts w:eastAsia="Times New Roman"/>
          <w:noProof/>
          <w:lang w:val="nl-NL"/>
        </w:rPr>
        <w:t>Inhoudsopgave</w:t>
      </w:r>
      <w:r>
        <w:rPr>
          <w:noProof/>
        </w:rPr>
        <w:tab/>
      </w:r>
      <w:r>
        <w:rPr>
          <w:noProof/>
        </w:rPr>
        <w:fldChar w:fldCharType="begin"/>
      </w:r>
      <w:r>
        <w:rPr>
          <w:noProof/>
        </w:rPr>
        <w:instrText xml:space="preserve"> PAGEREF _Toc242189427 \h </w:instrText>
      </w:r>
      <w:r>
        <w:rPr>
          <w:noProof/>
        </w:rPr>
      </w:r>
      <w:r>
        <w:rPr>
          <w:noProof/>
        </w:rPr>
        <w:fldChar w:fldCharType="separate"/>
      </w:r>
      <w:r>
        <w:rPr>
          <w:noProof/>
        </w:rPr>
        <w:t>3</w:t>
      </w:r>
      <w:r>
        <w:rPr>
          <w:noProof/>
        </w:rPr>
        <w:fldChar w:fldCharType="end"/>
      </w:r>
    </w:p>
    <w:p w14:paraId="63253908" w14:textId="13D94B83" w:rsidR="00773516" w:rsidRDefault="00773516" w:rsidP="00773516">
      <w:pPr>
        <w:pStyle w:val="Inhopg1"/>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I. België</w:t>
      </w:r>
      <w:r>
        <w:rPr>
          <w:noProof/>
        </w:rPr>
        <w:tab/>
      </w:r>
      <w:r>
        <w:rPr>
          <w:noProof/>
        </w:rPr>
        <w:fldChar w:fldCharType="begin"/>
      </w:r>
      <w:r>
        <w:rPr>
          <w:noProof/>
        </w:rPr>
        <w:instrText xml:space="preserve"> PAGEREF _Toc242189428 \h </w:instrText>
      </w:r>
      <w:r>
        <w:rPr>
          <w:noProof/>
        </w:rPr>
      </w:r>
      <w:r>
        <w:rPr>
          <w:noProof/>
        </w:rPr>
        <w:fldChar w:fldCharType="separate"/>
      </w:r>
      <w:r>
        <w:rPr>
          <w:noProof/>
        </w:rPr>
        <w:t>6</w:t>
      </w:r>
      <w:r>
        <w:rPr>
          <w:noProof/>
        </w:rPr>
        <w:fldChar w:fldCharType="end"/>
      </w:r>
    </w:p>
    <w:p w14:paraId="2609CE2F" w14:textId="46713F49" w:rsidR="00773516" w:rsidRDefault="00773516" w:rsidP="00773516">
      <w:pPr>
        <w:pStyle w:val="Inhopg2"/>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Zorg &amp; Fysieke Realiteit</w:t>
      </w:r>
      <w:r>
        <w:rPr>
          <w:noProof/>
        </w:rPr>
        <w:tab/>
      </w:r>
      <w:r>
        <w:rPr>
          <w:noProof/>
        </w:rPr>
        <w:fldChar w:fldCharType="begin"/>
      </w:r>
      <w:r>
        <w:rPr>
          <w:noProof/>
        </w:rPr>
        <w:instrText xml:space="preserve"> PAGEREF _Toc242189429 \h </w:instrText>
      </w:r>
      <w:r>
        <w:rPr>
          <w:noProof/>
        </w:rPr>
      </w:r>
      <w:r>
        <w:rPr>
          <w:noProof/>
        </w:rPr>
        <w:fldChar w:fldCharType="separate"/>
      </w:r>
      <w:r>
        <w:rPr>
          <w:noProof/>
        </w:rPr>
        <w:t>6</w:t>
      </w:r>
      <w:r>
        <w:rPr>
          <w:noProof/>
        </w:rPr>
        <w:fldChar w:fldCharType="end"/>
      </w:r>
    </w:p>
    <w:p w14:paraId="6137B897" w14:textId="7DDAED5F"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HUISARTSENPRAKTIJK TER VIERSCHAAR</w:t>
      </w:r>
      <w:r>
        <w:rPr>
          <w:noProof/>
        </w:rPr>
        <w:tab/>
      </w:r>
      <w:r>
        <w:rPr>
          <w:noProof/>
        </w:rPr>
        <w:fldChar w:fldCharType="begin"/>
      </w:r>
      <w:r>
        <w:rPr>
          <w:noProof/>
        </w:rPr>
        <w:instrText xml:space="preserve"> PAGEREF _Toc242189430 \h </w:instrText>
      </w:r>
      <w:r>
        <w:rPr>
          <w:noProof/>
        </w:rPr>
      </w:r>
      <w:r>
        <w:rPr>
          <w:noProof/>
        </w:rPr>
        <w:fldChar w:fldCharType="separate"/>
      </w:r>
      <w:r>
        <w:rPr>
          <w:noProof/>
        </w:rPr>
        <w:t>6</w:t>
      </w:r>
      <w:r>
        <w:rPr>
          <w:noProof/>
        </w:rPr>
        <w:fldChar w:fldCharType="end"/>
      </w:r>
    </w:p>
    <w:p w14:paraId="31B158B1" w14:textId="6ADC94D9"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ONAFHANKELIJKE EXPERTS (BE)</w:t>
      </w:r>
      <w:r>
        <w:rPr>
          <w:noProof/>
        </w:rPr>
        <w:tab/>
      </w:r>
      <w:r>
        <w:rPr>
          <w:noProof/>
        </w:rPr>
        <w:fldChar w:fldCharType="begin"/>
      </w:r>
      <w:r>
        <w:rPr>
          <w:noProof/>
        </w:rPr>
        <w:instrText xml:space="preserve"> PAGEREF _Toc242189431 \h </w:instrText>
      </w:r>
      <w:r>
        <w:rPr>
          <w:noProof/>
        </w:rPr>
      </w:r>
      <w:r>
        <w:rPr>
          <w:noProof/>
        </w:rPr>
        <w:fldChar w:fldCharType="separate"/>
      </w:r>
      <w:r>
        <w:rPr>
          <w:noProof/>
        </w:rPr>
        <w:t>8</w:t>
      </w:r>
      <w:r>
        <w:rPr>
          <w:noProof/>
        </w:rPr>
        <w:fldChar w:fldCharType="end"/>
      </w:r>
    </w:p>
    <w:p w14:paraId="7BA43DFD" w14:textId="53E36786"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OOGARTSEN SINT-NIKLAAS</w:t>
      </w:r>
      <w:r>
        <w:rPr>
          <w:noProof/>
        </w:rPr>
        <w:tab/>
      </w:r>
      <w:r>
        <w:rPr>
          <w:noProof/>
        </w:rPr>
        <w:fldChar w:fldCharType="begin"/>
      </w:r>
      <w:r>
        <w:rPr>
          <w:noProof/>
        </w:rPr>
        <w:instrText xml:space="preserve"> PAGEREF _Toc242189432 \h </w:instrText>
      </w:r>
      <w:r>
        <w:rPr>
          <w:noProof/>
        </w:rPr>
      </w:r>
      <w:r>
        <w:rPr>
          <w:noProof/>
        </w:rPr>
        <w:fldChar w:fldCharType="separate"/>
      </w:r>
      <w:r>
        <w:rPr>
          <w:noProof/>
        </w:rPr>
        <w:t>9</w:t>
      </w:r>
      <w:r>
        <w:rPr>
          <w:noProof/>
        </w:rPr>
        <w:fldChar w:fldCharType="end"/>
      </w:r>
    </w:p>
    <w:p w14:paraId="66EAFBE2" w14:textId="6B05AEDC"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UZ GENT</w:t>
      </w:r>
      <w:r>
        <w:rPr>
          <w:noProof/>
        </w:rPr>
        <w:tab/>
      </w:r>
      <w:r>
        <w:rPr>
          <w:noProof/>
        </w:rPr>
        <w:fldChar w:fldCharType="begin"/>
      </w:r>
      <w:r>
        <w:rPr>
          <w:noProof/>
        </w:rPr>
        <w:instrText xml:space="preserve"> PAGEREF _Toc242189433 \h </w:instrText>
      </w:r>
      <w:r>
        <w:rPr>
          <w:noProof/>
        </w:rPr>
      </w:r>
      <w:r>
        <w:rPr>
          <w:noProof/>
        </w:rPr>
        <w:fldChar w:fldCharType="separate"/>
      </w:r>
      <w:r>
        <w:rPr>
          <w:noProof/>
        </w:rPr>
        <w:t>11</w:t>
      </w:r>
      <w:r>
        <w:rPr>
          <w:noProof/>
        </w:rPr>
        <w:fldChar w:fldCharType="end"/>
      </w:r>
    </w:p>
    <w:p w14:paraId="5FCDF95F" w14:textId="152FD686"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VITAZ</w:t>
      </w:r>
      <w:r>
        <w:rPr>
          <w:noProof/>
        </w:rPr>
        <w:tab/>
      </w:r>
      <w:r>
        <w:rPr>
          <w:noProof/>
        </w:rPr>
        <w:fldChar w:fldCharType="begin"/>
      </w:r>
      <w:r>
        <w:rPr>
          <w:noProof/>
        </w:rPr>
        <w:instrText xml:space="preserve"> PAGEREF _Toc242189434 \h </w:instrText>
      </w:r>
      <w:r>
        <w:rPr>
          <w:noProof/>
        </w:rPr>
      </w:r>
      <w:r>
        <w:rPr>
          <w:noProof/>
        </w:rPr>
        <w:fldChar w:fldCharType="separate"/>
      </w:r>
      <w:r>
        <w:rPr>
          <w:noProof/>
        </w:rPr>
        <w:t>13</w:t>
      </w:r>
      <w:r>
        <w:rPr>
          <w:noProof/>
        </w:rPr>
        <w:fldChar w:fldCharType="end"/>
      </w:r>
    </w:p>
    <w:p w14:paraId="7BE49D68" w14:textId="26E9FA8A" w:rsidR="00773516" w:rsidRDefault="00773516" w:rsidP="00773516">
      <w:pPr>
        <w:pStyle w:val="Inhopg2"/>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Financiën, Rechten &amp; Sociale Zekerheid</w:t>
      </w:r>
      <w:r>
        <w:rPr>
          <w:noProof/>
        </w:rPr>
        <w:tab/>
      </w:r>
      <w:r>
        <w:rPr>
          <w:noProof/>
        </w:rPr>
        <w:fldChar w:fldCharType="begin"/>
      </w:r>
      <w:r>
        <w:rPr>
          <w:noProof/>
        </w:rPr>
        <w:instrText xml:space="preserve"> PAGEREF _Toc242189435 \h </w:instrText>
      </w:r>
      <w:r>
        <w:rPr>
          <w:noProof/>
        </w:rPr>
      </w:r>
      <w:r>
        <w:rPr>
          <w:noProof/>
        </w:rPr>
        <w:fldChar w:fldCharType="separate"/>
      </w:r>
      <w:r>
        <w:rPr>
          <w:noProof/>
        </w:rPr>
        <w:t>14</w:t>
      </w:r>
      <w:r>
        <w:rPr>
          <w:noProof/>
        </w:rPr>
        <w:fldChar w:fldCharType="end"/>
      </w:r>
    </w:p>
    <w:p w14:paraId="0C778E34" w14:textId="063A9475"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ALGEMENE CHRISTELIJKE VAKBOND (ACV)</w:t>
      </w:r>
      <w:r>
        <w:rPr>
          <w:noProof/>
        </w:rPr>
        <w:tab/>
      </w:r>
      <w:r>
        <w:rPr>
          <w:noProof/>
        </w:rPr>
        <w:fldChar w:fldCharType="begin"/>
      </w:r>
      <w:r>
        <w:rPr>
          <w:noProof/>
        </w:rPr>
        <w:instrText xml:space="preserve"> PAGEREF _Toc242189436 \h </w:instrText>
      </w:r>
      <w:r>
        <w:rPr>
          <w:noProof/>
        </w:rPr>
      </w:r>
      <w:r>
        <w:rPr>
          <w:noProof/>
        </w:rPr>
        <w:fldChar w:fldCharType="separate"/>
      </w:r>
      <w:r>
        <w:rPr>
          <w:noProof/>
        </w:rPr>
        <w:t>14</w:t>
      </w:r>
      <w:r>
        <w:rPr>
          <w:noProof/>
        </w:rPr>
        <w:fldChar w:fldCharType="end"/>
      </w:r>
    </w:p>
    <w:p w14:paraId="61971843" w14:textId="02856961"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AGODI</w:t>
      </w:r>
      <w:r>
        <w:rPr>
          <w:noProof/>
        </w:rPr>
        <w:tab/>
      </w:r>
      <w:r>
        <w:rPr>
          <w:noProof/>
        </w:rPr>
        <w:fldChar w:fldCharType="begin"/>
      </w:r>
      <w:r>
        <w:rPr>
          <w:noProof/>
        </w:rPr>
        <w:instrText xml:space="preserve"> PAGEREF _Toc242189437 \h </w:instrText>
      </w:r>
      <w:r>
        <w:rPr>
          <w:noProof/>
        </w:rPr>
      </w:r>
      <w:r>
        <w:rPr>
          <w:noProof/>
        </w:rPr>
        <w:fldChar w:fldCharType="separate"/>
      </w:r>
      <w:r>
        <w:rPr>
          <w:noProof/>
        </w:rPr>
        <w:t>15</w:t>
      </w:r>
      <w:r>
        <w:rPr>
          <w:noProof/>
        </w:rPr>
        <w:fldChar w:fldCharType="end"/>
      </w:r>
    </w:p>
    <w:p w14:paraId="7C8AA518" w14:textId="4D5A9CE8"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CHRISTELIJKE MUTUALITEIT</w:t>
      </w:r>
      <w:r>
        <w:rPr>
          <w:noProof/>
        </w:rPr>
        <w:tab/>
      </w:r>
      <w:r>
        <w:rPr>
          <w:noProof/>
        </w:rPr>
        <w:fldChar w:fldCharType="begin"/>
      </w:r>
      <w:r>
        <w:rPr>
          <w:noProof/>
        </w:rPr>
        <w:instrText xml:space="preserve"> PAGEREF _Toc242189438 \h </w:instrText>
      </w:r>
      <w:r>
        <w:rPr>
          <w:noProof/>
        </w:rPr>
      </w:r>
      <w:r>
        <w:rPr>
          <w:noProof/>
        </w:rPr>
        <w:fldChar w:fldCharType="separate"/>
      </w:r>
      <w:r>
        <w:rPr>
          <w:noProof/>
        </w:rPr>
        <w:t>16</w:t>
      </w:r>
      <w:r>
        <w:rPr>
          <w:noProof/>
        </w:rPr>
        <w:fldChar w:fldCharType="end"/>
      </w:r>
    </w:p>
    <w:p w14:paraId="6DEC72FE" w14:textId="67FCADD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FOD FINANCIËN</w:t>
      </w:r>
      <w:r>
        <w:rPr>
          <w:noProof/>
        </w:rPr>
        <w:tab/>
      </w:r>
      <w:r>
        <w:rPr>
          <w:noProof/>
        </w:rPr>
        <w:fldChar w:fldCharType="begin"/>
      </w:r>
      <w:r>
        <w:rPr>
          <w:noProof/>
        </w:rPr>
        <w:instrText xml:space="preserve"> PAGEREF _Toc242189439 \h </w:instrText>
      </w:r>
      <w:r>
        <w:rPr>
          <w:noProof/>
        </w:rPr>
      </w:r>
      <w:r>
        <w:rPr>
          <w:noProof/>
        </w:rPr>
        <w:fldChar w:fldCharType="separate"/>
      </w:r>
      <w:r>
        <w:rPr>
          <w:noProof/>
        </w:rPr>
        <w:t>18</w:t>
      </w:r>
      <w:r>
        <w:rPr>
          <w:noProof/>
        </w:rPr>
        <w:fldChar w:fldCharType="end"/>
      </w:r>
    </w:p>
    <w:p w14:paraId="23045C0F" w14:textId="7D268BAB"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FOD IBZ</w:t>
      </w:r>
      <w:r>
        <w:rPr>
          <w:noProof/>
        </w:rPr>
        <w:tab/>
      </w:r>
      <w:r>
        <w:rPr>
          <w:noProof/>
        </w:rPr>
        <w:fldChar w:fldCharType="begin"/>
      </w:r>
      <w:r>
        <w:rPr>
          <w:noProof/>
        </w:rPr>
        <w:instrText xml:space="preserve"> PAGEREF _Toc242189440 \h </w:instrText>
      </w:r>
      <w:r>
        <w:rPr>
          <w:noProof/>
        </w:rPr>
      </w:r>
      <w:r>
        <w:rPr>
          <w:noProof/>
        </w:rPr>
        <w:fldChar w:fldCharType="separate"/>
      </w:r>
      <w:r>
        <w:rPr>
          <w:noProof/>
        </w:rPr>
        <w:t>20</w:t>
      </w:r>
      <w:r>
        <w:rPr>
          <w:noProof/>
        </w:rPr>
        <w:fldChar w:fldCharType="end"/>
      </w:r>
    </w:p>
    <w:p w14:paraId="794C6092" w14:textId="7A7E0F76"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FOD SOCIALE ZEKERHEID (DG HAN)</w:t>
      </w:r>
      <w:r>
        <w:rPr>
          <w:noProof/>
        </w:rPr>
        <w:tab/>
      </w:r>
      <w:r>
        <w:rPr>
          <w:noProof/>
        </w:rPr>
        <w:fldChar w:fldCharType="begin"/>
      </w:r>
      <w:r>
        <w:rPr>
          <w:noProof/>
        </w:rPr>
        <w:instrText xml:space="preserve"> PAGEREF _Toc242189441 \h </w:instrText>
      </w:r>
      <w:r>
        <w:rPr>
          <w:noProof/>
        </w:rPr>
      </w:r>
      <w:r>
        <w:rPr>
          <w:noProof/>
        </w:rPr>
        <w:fldChar w:fldCharType="separate"/>
      </w:r>
      <w:r>
        <w:rPr>
          <w:noProof/>
        </w:rPr>
        <w:t>21</w:t>
      </w:r>
      <w:r>
        <w:rPr>
          <w:noProof/>
        </w:rPr>
        <w:fldChar w:fldCharType="end"/>
      </w:r>
    </w:p>
    <w:p w14:paraId="0221B8EE" w14:textId="6BF2C3A9"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PARENTIA</w:t>
      </w:r>
      <w:r>
        <w:rPr>
          <w:noProof/>
        </w:rPr>
        <w:tab/>
      </w:r>
      <w:r>
        <w:rPr>
          <w:noProof/>
        </w:rPr>
        <w:fldChar w:fldCharType="begin"/>
      </w:r>
      <w:r>
        <w:rPr>
          <w:noProof/>
        </w:rPr>
        <w:instrText xml:space="preserve"> PAGEREF _Toc242189442 \h </w:instrText>
      </w:r>
      <w:r>
        <w:rPr>
          <w:noProof/>
        </w:rPr>
      </w:r>
      <w:r>
        <w:rPr>
          <w:noProof/>
        </w:rPr>
        <w:fldChar w:fldCharType="separate"/>
      </w:r>
      <w:r>
        <w:rPr>
          <w:noProof/>
        </w:rPr>
        <w:t>23</w:t>
      </w:r>
      <w:r>
        <w:rPr>
          <w:noProof/>
        </w:rPr>
        <w:fldChar w:fldCharType="end"/>
      </w:r>
    </w:p>
    <w:p w14:paraId="62C0278C" w14:textId="7011AEBB"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RVA</w:t>
      </w:r>
      <w:r>
        <w:rPr>
          <w:noProof/>
        </w:rPr>
        <w:tab/>
      </w:r>
      <w:r>
        <w:rPr>
          <w:noProof/>
        </w:rPr>
        <w:fldChar w:fldCharType="begin"/>
      </w:r>
      <w:r>
        <w:rPr>
          <w:noProof/>
        </w:rPr>
        <w:instrText xml:space="preserve"> PAGEREF _Toc242189443 \h </w:instrText>
      </w:r>
      <w:r>
        <w:rPr>
          <w:noProof/>
        </w:rPr>
      </w:r>
      <w:r>
        <w:rPr>
          <w:noProof/>
        </w:rPr>
        <w:fldChar w:fldCharType="separate"/>
      </w:r>
      <w:r>
        <w:rPr>
          <w:noProof/>
        </w:rPr>
        <w:t>24</w:t>
      </w:r>
      <w:r>
        <w:rPr>
          <w:noProof/>
        </w:rPr>
        <w:fldChar w:fldCharType="end"/>
      </w:r>
    </w:p>
    <w:p w14:paraId="00BA22B2" w14:textId="126C04A4"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SFPD</w:t>
      </w:r>
      <w:r>
        <w:rPr>
          <w:noProof/>
        </w:rPr>
        <w:tab/>
      </w:r>
      <w:r>
        <w:rPr>
          <w:noProof/>
        </w:rPr>
        <w:fldChar w:fldCharType="begin"/>
      </w:r>
      <w:r>
        <w:rPr>
          <w:noProof/>
        </w:rPr>
        <w:instrText xml:space="preserve"> PAGEREF _Toc242189444 \h </w:instrText>
      </w:r>
      <w:r>
        <w:rPr>
          <w:noProof/>
        </w:rPr>
      </w:r>
      <w:r>
        <w:rPr>
          <w:noProof/>
        </w:rPr>
        <w:fldChar w:fldCharType="separate"/>
      </w:r>
      <w:r>
        <w:rPr>
          <w:noProof/>
        </w:rPr>
        <w:t>26</w:t>
      </w:r>
      <w:r>
        <w:rPr>
          <w:noProof/>
        </w:rPr>
        <w:fldChar w:fldCharType="end"/>
      </w:r>
    </w:p>
    <w:p w14:paraId="7FD1C24E" w14:textId="5E340448"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VERTICO BUSINESS SOLUTIONS</w:t>
      </w:r>
      <w:r>
        <w:rPr>
          <w:noProof/>
        </w:rPr>
        <w:tab/>
      </w:r>
      <w:r>
        <w:rPr>
          <w:noProof/>
        </w:rPr>
        <w:fldChar w:fldCharType="begin"/>
      </w:r>
      <w:r>
        <w:rPr>
          <w:noProof/>
        </w:rPr>
        <w:instrText xml:space="preserve"> PAGEREF _Toc242189445 \h </w:instrText>
      </w:r>
      <w:r>
        <w:rPr>
          <w:noProof/>
        </w:rPr>
      </w:r>
      <w:r>
        <w:rPr>
          <w:noProof/>
        </w:rPr>
        <w:fldChar w:fldCharType="separate"/>
      </w:r>
      <w:r>
        <w:rPr>
          <w:noProof/>
        </w:rPr>
        <w:t>27</w:t>
      </w:r>
      <w:r>
        <w:rPr>
          <w:noProof/>
        </w:rPr>
        <w:fldChar w:fldCharType="end"/>
      </w:r>
    </w:p>
    <w:p w14:paraId="2D181AA8" w14:textId="23674B16" w:rsidR="00773516" w:rsidRDefault="00773516" w:rsidP="00773516">
      <w:pPr>
        <w:pStyle w:val="Inhopg2"/>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Escalatie &amp; Controle</w:t>
      </w:r>
      <w:r>
        <w:rPr>
          <w:noProof/>
        </w:rPr>
        <w:tab/>
      </w:r>
      <w:r>
        <w:rPr>
          <w:noProof/>
        </w:rPr>
        <w:fldChar w:fldCharType="begin"/>
      </w:r>
      <w:r>
        <w:rPr>
          <w:noProof/>
        </w:rPr>
        <w:instrText xml:space="preserve"> PAGEREF _Toc242189446 \h </w:instrText>
      </w:r>
      <w:r>
        <w:rPr>
          <w:noProof/>
        </w:rPr>
      </w:r>
      <w:r>
        <w:rPr>
          <w:noProof/>
        </w:rPr>
        <w:fldChar w:fldCharType="separate"/>
      </w:r>
      <w:r>
        <w:rPr>
          <w:noProof/>
        </w:rPr>
        <w:t>28</w:t>
      </w:r>
      <w:r>
        <w:rPr>
          <w:noProof/>
        </w:rPr>
        <w:fldChar w:fldCharType="end"/>
      </w:r>
    </w:p>
    <w:p w14:paraId="10C368D7" w14:textId="038FB7FC"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CONTROLEDIENST VOOR DE ZIEKENFONDSEN (CDZ)</w:t>
      </w:r>
      <w:r>
        <w:rPr>
          <w:noProof/>
        </w:rPr>
        <w:tab/>
      </w:r>
      <w:r>
        <w:rPr>
          <w:noProof/>
        </w:rPr>
        <w:fldChar w:fldCharType="begin"/>
      </w:r>
      <w:r>
        <w:rPr>
          <w:noProof/>
        </w:rPr>
        <w:instrText xml:space="preserve"> PAGEREF _Toc242189447 \h </w:instrText>
      </w:r>
      <w:r>
        <w:rPr>
          <w:noProof/>
        </w:rPr>
      </w:r>
      <w:r>
        <w:rPr>
          <w:noProof/>
        </w:rPr>
        <w:fldChar w:fldCharType="separate"/>
      </w:r>
      <w:r>
        <w:rPr>
          <w:noProof/>
        </w:rPr>
        <w:t>28</w:t>
      </w:r>
      <w:r>
        <w:rPr>
          <w:noProof/>
        </w:rPr>
        <w:fldChar w:fldCharType="end"/>
      </w:r>
    </w:p>
    <w:p w14:paraId="3399B05C" w14:textId="75902EEB"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DE FEDERALE OMBUDSMAN</w:t>
      </w:r>
      <w:r>
        <w:rPr>
          <w:noProof/>
        </w:rPr>
        <w:tab/>
      </w:r>
      <w:r>
        <w:rPr>
          <w:noProof/>
        </w:rPr>
        <w:fldChar w:fldCharType="begin"/>
      </w:r>
      <w:r>
        <w:rPr>
          <w:noProof/>
        </w:rPr>
        <w:instrText xml:space="preserve"> PAGEREF _Toc242189448 \h </w:instrText>
      </w:r>
      <w:r>
        <w:rPr>
          <w:noProof/>
        </w:rPr>
      </w:r>
      <w:r>
        <w:rPr>
          <w:noProof/>
        </w:rPr>
        <w:fldChar w:fldCharType="separate"/>
      </w:r>
      <w:r>
        <w:rPr>
          <w:noProof/>
        </w:rPr>
        <w:t>29</w:t>
      </w:r>
      <w:r>
        <w:rPr>
          <w:noProof/>
        </w:rPr>
        <w:fldChar w:fldCharType="end"/>
      </w:r>
    </w:p>
    <w:p w14:paraId="2A0F925D" w14:textId="07588588"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ARBEIDSAUDITORAAT GENT</w:t>
      </w:r>
      <w:r>
        <w:rPr>
          <w:noProof/>
        </w:rPr>
        <w:tab/>
      </w:r>
      <w:r>
        <w:rPr>
          <w:noProof/>
        </w:rPr>
        <w:fldChar w:fldCharType="begin"/>
      </w:r>
      <w:r>
        <w:rPr>
          <w:noProof/>
        </w:rPr>
        <w:instrText xml:space="preserve"> PAGEREF _Toc242189449 \h </w:instrText>
      </w:r>
      <w:r>
        <w:rPr>
          <w:noProof/>
        </w:rPr>
      </w:r>
      <w:r>
        <w:rPr>
          <w:noProof/>
        </w:rPr>
        <w:fldChar w:fldCharType="separate"/>
      </w:r>
      <w:r>
        <w:rPr>
          <w:noProof/>
        </w:rPr>
        <w:t>30</w:t>
      </w:r>
      <w:r>
        <w:rPr>
          <w:noProof/>
        </w:rPr>
        <w:fldChar w:fldCharType="end"/>
      </w:r>
    </w:p>
    <w:p w14:paraId="326EC491" w14:textId="7B220F2A"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DE KAMER (COMMISSIE SOCIALE ZAKEN)</w:t>
      </w:r>
      <w:r>
        <w:rPr>
          <w:noProof/>
        </w:rPr>
        <w:tab/>
      </w:r>
      <w:r>
        <w:rPr>
          <w:noProof/>
        </w:rPr>
        <w:fldChar w:fldCharType="begin"/>
      </w:r>
      <w:r>
        <w:rPr>
          <w:noProof/>
        </w:rPr>
        <w:instrText xml:space="preserve"> PAGEREF _Toc242189450 \h </w:instrText>
      </w:r>
      <w:r>
        <w:rPr>
          <w:noProof/>
        </w:rPr>
      </w:r>
      <w:r>
        <w:rPr>
          <w:noProof/>
        </w:rPr>
        <w:fldChar w:fldCharType="separate"/>
      </w:r>
      <w:r>
        <w:rPr>
          <w:noProof/>
        </w:rPr>
        <w:t>31</w:t>
      </w:r>
      <w:r>
        <w:rPr>
          <w:noProof/>
        </w:rPr>
        <w:fldChar w:fldCharType="end"/>
      </w:r>
    </w:p>
    <w:p w14:paraId="5E77ACCA" w14:textId="08F86172"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COMMISSIE VOOR VERZOEKSCHRIFTEN</w:t>
      </w:r>
      <w:r>
        <w:rPr>
          <w:noProof/>
        </w:rPr>
        <w:tab/>
      </w:r>
      <w:r>
        <w:rPr>
          <w:noProof/>
        </w:rPr>
        <w:fldChar w:fldCharType="begin"/>
      </w:r>
      <w:r>
        <w:rPr>
          <w:noProof/>
        </w:rPr>
        <w:instrText xml:space="preserve"> PAGEREF _Toc242189451 \h </w:instrText>
      </w:r>
      <w:r>
        <w:rPr>
          <w:noProof/>
        </w:rPr>
      </w:r>
      <w:r>
        <w:rPr>
          <w:noProof/>
        </w:rPr>
        <w:fldChar w:fldCharType="separate"/>
      </w:r>
      <w:r>
        <w:rPr>
          <w:noProof/>
        </w:rPr>
        <w:t>32</w:t>
      </w:r>
      <w:r>
        <w:rPr>
          <w:noProof/>
        </w:rPr>
        <w:fldChar w:fldCharType="end"/>
      </w:r>
    </w:p>
    <w:p w14:paraId="302CB17A" w14:textId="7DB938BB"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KONINKLIJK PALEIS VAN BELGIË</w:t>
      </w:r>
      <w:r>
        <w:rPr>
          <w:noProof/>
        </w:rPr>
        <w:tab/>
      </w:r>
      <w:r>
        <w:rPr>
          <w:noProof/>
        </w:rPr>
        <w:fldChar w:fldCharType="begin"/>
      </w:r>
      <w:r>
        <w:rPr>
          <w:noProof/>
        </w:rPr>
        <w:instrText xml:space="preserve"> PAGEREF _Toc242189452 \h </w:instrText>
      </w:r>
      <w:r>
        <w:rPr>
          <w:noProof/>
        </w:rPr>
      </w:r>
      <w:r>
        <w:rPr>
          <w:noProof/>
        </w:rPr>
        <w:fldChar w:fldCharType="separate"/>
      </w:r>
      <w:r>
        <w:rPr>
          <w:noProof/>
        </w:rPr>
        <w:t>33</w:t>
      </w:r>
      <w:r>
        <w:rPr>
          <w:noProof/>
        </w:rPr>
        <w:fldChar w:fldCharType="end"/>
      </w:r>
    </w:p>
    <w:p w14:paraId="3DA164F8" w14:textId="19B38746"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ORDE DER ARTSEN</w:t>
      </w:r>
      <w:r>
        <w:rPr>
          <w:noProof/>
        </w:rPr>
        <w:tab/>
      </w:r>
      <w:r>
        <w:rPr>
          <w:noProof/>
        </w:rPr>
        <w:fldChar w:fldCharType="begin"/>
      </w:r>
      <w:r>
        <w:rPr>
          <w:noProof/>
        </w:rPr>
        <w:instrText xml:space="preserve"> PAGEREF _Toc242189453 \h </w:instrText>
      </w:r>
      <w:r>
        <w:rPr>
          <w:noProof/>
        </w:rPr>
      </w:r>
      <w:r>
        <w:rPr>
          <w:noProof/>
        </w:rPr>
        <w:fldChar w:fldCharType="separate"/>
      </w:r>
      <w:r>
        <w:rPr>
          <w:noProof/>
        </w:rPr>
        <w:t>34</w:t>
      </w:r>
      <w:r>
        <w:rPr>
          <w:noProof/>
        </w:rPr>
        <w:fldChar w:fldCharType="end"/>
      </w:r>
    </w:p>
    <w:p w14:paraId="73AB5B27" w14:textId="0175A3E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POLITIEKE PARTIJEN &amp; FRACTIES</w:t>
      </w:r>
      <w:r>
        <w:rPr>
          <w:noProof/>
        </w:rPr>
        <w:tab/>
      </w:r>
      <w:r>
        <w:rPr>
          <w:noProof/>
        </w:rPr>
        <w:fldChar w:fldCharType="begin"/>
      </w:r>
      <w:r>
        <w:rPr>
          <w:noProof/>
        </w:rPr>
        <w:instrText xml:space="preserve"> PAGEREF _Toc242189454 \h </w:instrText>
      </w:r>
      <w:r>
        <w:rPr>
          <w:noProof/>
        </w:rPr>
      </w:r>
      <w:r>
        <w:rPr>
          <w:noProof/>
        </w:rPr>
        <w:fldChar w:fldCharType="separate"/>
      </w:r>
      <w:r>
        <w:rPr>
          <w:noProof/>
        </w:rPr>
        <w:t>35</w:t>
      </w:r>
      <w:r>
        <w:rPr>
          <w:noProof/>
        </w:rPr>
        <w:fldChar w:fldCharType="end"/>
      </w:r>
    </w:p>
    <w:p w14:paraId="0FD4D7F0" w14:textId="2EB350B6"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RIZIV</w:t>
      </w:r>
      <w:r>
        <w:rPr>
          <w:noProof/>
        </w:rPr>
        <w:tab/>
      </w:r>
      <w:r>
        <w:rPr>
          <w:noProof/>
        </w:rPr>
        <w:fldChar w:fldCharType="begin"/>
      </w:r>
      <w:r>
        <w:rPr>
          <w:noProof/>
        </w:rPr>
        <w:instrText xml:space="preserve"> PAGEREF _Toc242189455 \h </w:instrText>
      </w:r>
      <w:r>
        <w:rPr>
          <w:noProof/>
        </w:rPr>
      </w:r>
      <w:r>
        <w:rPr>
          <w:noProof/>
        </w:rPr>
        <w:fldChar w:fldCharType="separate"/>
      </w:r>
      <w:r>
        <w:rPr>
          <w:noProof/>
        </w:rPr>
        <w:t>36</w:t>
      </w:r>
      <w:r>
        <w:rPr>
          <w:noProof/>
        </w:rPr>
        <w:fldChar w:fldCharType="end"/>
      </w:r>
    </w:p>
    <w:p w14:paraId="736CD3E6" w14:textId="3419B399"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UNIA</w:t>
      </w:r>
      <w:r>
        <w:rPr>
          <w:noProof/>
        </w:rPr>
        <w:tab/>
      </w:r>
      <w:r>
        <w:rPr>
          <w:noProof/>
        </w:rPr>
        <w:fldChar w:fldCharType="begin"/>
      </w:r>
      <w:r>
        <w:rPr>
          <w:noProof/>
        </w:rPr>
        <w:instrText xml:space="preserve"> PAGEREF _Toc242189456 \h </w:instrText>
      </w:r>
      <w:r>
        <w:rPr>
          <w:noProof/>
        </w:rPr>
      </w:r>
      <w:r>
        <w:rPr>
          <w:noProof/>
        </w:rPr>
        <w:fldChar w:fldCharType="separate"/>
      </w:r>
      <w:r>
        <w:rPr>
          <w:noProof/>
        </w:rPr>
        <w:t>37</w:t>
      </w:r>
      <w:r>
        <w:rPr>
          <w:noProof/>
        </w:rPr>
        <w:fldChar w:fldCharType="end"/>
      </w:r>
    </w:p>
    <w:p w14:paraId="310A03DC" w14:textId="4DA3767D" w:rsidR="00773516" w:rsidRDefault="00773516" w:rsidP="00773516">
      <w:pPr>
        <w:pStyle w:val="Inhopg1"/>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II. Nederland</w:t>
      </w:r>
      <w:r>
        <w:rPr>
          <w:noProof/>
        </w:rPr>
        <w:tab/>
      </w:r>
      <w:r>
        <w:rPr>
          <w:noProof/>
        </w:rPr>
        <w:fldChar w:fldCharType="begin"/>
      </w:r>
      <w:r>
        <w:rPr>
          <w:noProof/>
        </w:rPr>
        <w:instrText xml:space="preserve"> PAGEREF _Toc242189457 \h </w:instrText>
      </w:r>
      <w:r>
        <w:rPr>
          <w:noProof/>
        </w:rPr>
      </w:r>
      <w:r>
        <w:rPr>
          <w:noProof/>
        </w:rPr>
        <w:fldChar w:fldCharType="separate"/>
      </w:r>
      <w:r>
        <w:rPr>
          <w:noProof/>
        </w:rPr>
        <w:t>38</w:t>
      </w:r>
      <w:r>
        <w:rPr>
          <w:noProof/>
        </w:rPr>
        <w:fldChar w:fldCharType="end"/>
      </w:r>
    </w:p>
    <w:p w14:paraId="6842D893" w14:textId="7F9C0B39" w:rsidR="00773516" w:rsidRDefault="00773516" w:rsidP="00773516">
      <w:pPr>
        <w:pStyle w:val="Inhopg2"/>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Zorg &amp; Verzekering</w:t>
      </w:r>
      <w:r>
        <w:rPr>
          <w:noProof/>
        </w:rPr>
        <w:tab/>
      </w:r>
      <w:r>
        <w:rPr>
          <w:noProof/>
        </w:rPr>
        <w:fldChar w:fldCharType="begin"/>
      </w:r>
      <w:r>
        <w:rPr>
          <w:noProof/>
        </w:rPr>
        <w:instrText xml:space="preserve"> PAGEREF _Toc242189458 \h </w:instrText>
      </w:r>
      <w:r>
        <w:rPr>
          <w:noProof/>
        </w:rPr>
      </w:r>
      <w:r>
        <w:rPr>
          <w:noProof/>
        </w:rPr>
        <w:fldChar w:fldCharType="separate"/>
      </w:r>
      <w:r>
        <w:rPr>
          <w:noProof/>
        </w:rPr>
        <w:t>38</w:t>
      </w:r>
      <w:r>
        <w:rPr>
          <w:noProof/>
        </w:rPr>
        <w:fldChar w:fldCharType="end"/>
      </w:r>
    </w:p>
    <w:p w14:paraId="677B6E72" w14:textId="21D4B1FC"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CAK</w:t>
      </w:r>
      <w:r>
        <w:rPr>
          <w:noProof/>
        </w:rPr>
        <w:tab/>
      </w:r>
      <w:r>
        <w:rPr>
          <w:noProof/>
        </w:rPr>
        <w:fldChar w:fldCharType="begin"/>
      </w:r>
      <w:r>
        <w:rPr>
          <w:noProof/>
        </w:rPr>
        <w:instrText xml:space="preserve"> PAGEREF _Toc242189459 \h </w:instrText>
      </w:r>
      <w:r>
        <w:rPr>
          <w:noProof/>
        </w:rPr>
      </w:r>
      <w:r>
        <w:rPr>
          <w:noProof/>
        </w:rPr>
        <w:fldChar w:fldCharType="separate"/>
      </w:r>
      <w:r>
        <w:rPr>
          <w:noProof/>
        </w:rPr>
        <w:t>38</w:t>
      </w:r>
      <w:r>
        <w:rPr>
          <w:noProof/>
        </w:rPr>
        <w:fldChar w:fldCharType="end"/>
      </w:r>
    </w:p>
    <w:p w14:paraId="0548EC9A" w14:textId="457CC0AE"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CZ</w:t>
      </w:r>
      <w:r>
        <w:rPr>
          <w:noProof/>
        </w:rPr>
        <w:tab/>
      </w:r>
      <w:r>
        <w:rPr>
          <w:noProof/>
        </w:rPr>
        <w:fldChar w:fldCharType="begin"/>
      </w:r>
      <w:r>
        <w:rPr>
          <w:noProof/>
        </w:rPr>
        <w:instrText xml:space="preserve"> PAGEREF _Toc242189460 \h </w:instrText>
      </w:r>
      <w:r>
        <w:rPr>
          <w:noProof/>
        </w:rPr>
      </w:r>
      <w:r>
        <w:rPr>
          <w:noProof/>
        </w:rPr>
        <w:fldChar w:fldCharType="separate"/>
      </w:r>
      <w:r>
        <w:rPr>
          <w:noProof/>
        </w:rPr>
        <w:t>39</w:t>
      </w:r>
      <w:r>
        <w:rPr>
          <w:noProof/>
        </w:rPr>
        <w:fldChar w:fldCharType="end"/>
      </w:r>
    </w:p>
    <w:p w14:paraId="59A9739C" w14:textId="4527397F"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ONAFHANKELIJKE EXPERTS (NL)</w:t>
      </w:r>
      <w:r>
        <w:rPr>
          <w:noProof/>
        </w:rPr>
        <w:tab/>
      </w:r>
      <w:r>
        <w:rPr>
          <w:noProof/>
        </w:rPr>
        <w:fldChar w:fldCharType="begin"/>
      </w:r>
      <w:r>
        <w:rPr>
          <w:noProof/>
        </w:rPr>
        <w:instrText xml:space="preserve"> PAGEREF _Toc242189461 \h </w:instrText>
      </w:r>
      <w:r>
        <w:rPr>
          <w:noProof/>
        </w:rPr>
      </w:r>
      <w:r>
        <w:rPr>
          <w:noProof/>
        </w:rPr>
        <w:fldChar w:fldCharType="separate"/>
      </w:r>
      <w:r>
        <w:rPr>
          <w:noProof/>
        </w:rPr>
        <w:t>40</w:t>
      </w:r>
      <w:r>
        <w:rPr>
          <w:noProof/>
        </w:rPr>
        <w:fldChar w:fldCharType="end"/>
      </w:r>
    </w:p>
    <w:p w14:paraId="54C51331" w14:textId="6D9C2238"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PALLION HUISARTSENPRAKTIJK</w:t>
      </w:r>
      <w:r>
        <w:rPr>
          <w:noProof/>
        </w:rPr>
        <w:tab/>
      </w:r>
      <w:r>
        <w:rPr>
          <w:noProof/>
        </w:rPr>
        <w:fldChar w:fldCharType="begin"/>
      </w:r>
      <w:r>
        <w:rPr>
          <w:noProof/>
        </w:rPr>
        <w:instrText xml:space="preserve"> PAGEREF _Toc242189462 \h </w:instrText>
      </w:r>
      <w:r>
        <w:rPr>
          <w:noProof/>
        </w:rPr>
      </w:r>
      <w:r>
        <w:rPr>
          <w:noProof/>
        </w:rPr>
        <w:fldChar w:fldCharType="separate"/>
      </w:r>
      <w:r>
        <w:rPr>
          <w:noProof/>
        </w:rPr>
        <w:t>41</w:t>
      </w:r>
      <w:r>
        <w:rPr>
          <w:noProof/>
        </w:rPr>
        <w:fldChar w:fldCharType="end"/>
      </w:r>
    </w:p>
    <w:p w14:paraId="277E31BE" w14:textId="01DCD6D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ZORGINSTITUUT NEDERLAND (ZIN)</w:t>
      </w:r>
      <w:r>
        <w:rPr>
          <w:noProof/>
        </w:rPr>
        <w:tab/>
      </w:r>
      <w:r>
        <w:rPr>
          <w:noProof/>
        </w:rPr>
        <w:fldChar w:fldCharType="begin"/>
      </w:r>
      <w:r>
        <w:rPr>
          <w:noProof/>
        </w:rPr>
        <w:instrText xml:space="preserve"> PAGEREF _Toc242189463 \h </w:instrText>
      </w:r>
      <w:r>
        <w:rPr>
          <w:noProof/>
        </w:rPr>
      </w:r>
      <w:r>
        <w:rPr>
          <w:noProof/>
        </w:rPr>
        <w:fldChar w:fldCharType="separate"/>
      </w:r>
      <w:r>
        <w:rPr>
          <w:noProof/>
        </w:rPr>
        <w:t>42</w:t>
      </w:r>
      <w:r>
        <w:rPr>
          <w:noProof/>
        </w:rPr>
        <w:fldChar w:fldCharType="end"/>
      </w:r>
    </w:p>
    <w:p w14:paraId="2F4711ED" w14:textId="7116D077"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ZORGSAAM</w:t>
      </w:r>
      <w:r>
        <w:rPr>
          <w:noProof/>
        </w:rPr>
        <w:tab/>
      </w:r>
      <w:r>
        <w:rPr>
          <w:noProof/>
        </w:rPr>
        <w:fldChar w:fldCharType="begin"/>
      </w:r>
      <w:r>
        <w:rPr>
          <w:noProof/>
        </w:rPr>
        <w:instrText xml:space="preserve"> PAGEREF _Toc242189464 \h </w:instrText>
      </w:r>
      <w:r>
        <w:rPr>
          <w:noProof/>
        </w:rPr>
      </w:r>
      <w:r>
        <w:rPr>
          <w:noProof/>
        </w:rPr>
        <w:fldChar w:fldCharType="separate"/>
      </w:r>
      <w:r>
        <w:rPr>
          <w:noProof/>
        </w:rPr>
        <w:t>43</w:t>
      </w:r>
      <w:r>
        <w:rPr>
          <w:noProof/>
        </w:rPr>
        <w:fldChar w:fldCharType="end"/>
      </w:r>
    </w:p>
    <w:p w14:paraId="54878B03" w14:textId="31E1A6D5" w:rsidR="00773516" w:rsidRDefault="00773516" w:rsidP="00773516">
      <w:pPr>
        <w:pStyle w:val="Inhopg2"/>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Financiën &amp; Sociale Zekerheid</w:t>
      </w:r>
      <w:r>
        <w:rPr>
          <w:noProof/>
        </w:rPr>
        <w:tab/>
      </w:r>
      <w:r>
        <w:rPr>
          <w:noProof/>
        </w:rPr>
        <w:fldChar w:fldCharType="begin"/>
      </w:r>
      <w:r>
        <w:rPr>
          <w:noProof/>
        </w:rPr>
        <w:instrText xml:space="preserve"> PAGEREF _Toc242189465 \h </w:instrText>
      </w:r>
      <w:r>
        <w:rPr>
          <w:noProof/>
        </w:rPr>
      </w:r>
      <w:r>
        <w:rPr>
          <w:noProof/>
        </w:rPr>
        <w:fldChar w:fldCharType="separate"/>
      </w:r>
      <w:r>
        <w:rPr>
          <w:noProof/>
        </w:rPr>
        <w:t>44</w:t>
      </w:r>
      <w:r>
        <w:rPr>
          <w:noProof/>
        </w:rPr>
        <w:fldChar w:fldCharType="end"/>
      </w:r>
    </w:p>
    <w:p w14:paraId="6EECCABA" w14:textId="4100157E"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BELASTINGDIENST</w:t>
      </w:r>
      <w:r>
        <w:rPr>
          <w:noProof/>
        </w:rPr>
        <w:tab/>
      </w:r>
      <w:r>
        <w:rPr>
          <w:noProof/>
        </w:rPr>
        <w:fldChar w:fldCharType="begin"/>
      </w:r>
      <w:r>
        <w:rPr>
          <w:noProof/>
        </w:rPr>
        <w:instrText xml:space="preserve"> PAGEREF _Toc242189466 \h </w:instrText>
      </w:r>
      <w:r>
        <w:rPr>
          <w:noProof/>
        </w:rPr>
      </w:r>
      <w:r>
        <w:rPr>
          <w:noProof/>
        </w:rPr>
        <w:fldChar w:fldCharType="separate"/>
      </w:r>
      <w:r>
        <w:rPr>
          <w:noProof/>
        </w:rPr>
        <w:t>44</w:t>
      </w:r>
      <w:r>
        <w:rPr>
          <w:noProof/>
        </w:rPr>
        <w:fldChar w:fldCharType="end"/>
      </w:r>
    </w:p>
    <w:p w14:paraId="0D2A3D35" w14:textId="1F85206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GEMEENTE HULST &amp; HULST VOOR ELKAAR</w:t>
      </w:r>
      <w:r>
        <w:rPr>
          <w:noProof/>
        </w:rPr>
        <w:tab/>
      </w:r>
      <w:r>
        <w:rPr>
          <w:noProof/>
        </w:rPr>
        <w:fldChar w:fldCharType="begin"/>
      </w:r>
      <w:r>
        <w:rPr>
          <w:noProof/>
        </w:rPr>
        <w:instrText xml:space="preserve"> PAGEREF _Toc242189467 \h </w:instrText>
      </w:r>
      <w:r>
        <w:rPr>
          <w:noProof/>
        </w:rPr>
      </w:r>
      <w:r>
        <w:rPr>
          <w:noProof/>
        </w:rPr>
        <w:fldChar w:fldCharType="separate"/>
      </w:r>
      <w:r>
        <w:rPr>
          <w:noProof/>
        </w:rPr>
        <w:t>45</w:t>
      </w:r>
      <w:r>
        <w:rPr>
          <w:noProof/>
        </w:rPr>
        <w:fldChar w:fldCharType="end"/>
      </w:r>
    </w:p>
    <w:p w14:paraId="287AC2A4" w14:textId="43F65EAC"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ING NEDERLAND</w:t>
      </w:r>
      <w:r>
        <w:rPr>
          <w:noProof/>
        </w:rPr>
        <w:tab/>
      </w:r>
      <w:r>
        <w:rPr>
          <w:noProof/>
        </w:rPr>
        <w:fldChar w:fldCharType="begin"/>
      </w:r>
      <w:r>
        <w:rPr>
          <w:noProof/>
        </w:rPr>
        <w:instrText xml:space="preserve"> PAGEREF _Toc242189468 \h </w:instrText>
      </w:r>
      <w:r>
        <w:rPr>
          <w:noProof/>
        </w:rPr>
      </w:r>
      <w:r>
        <w:rPr>
          <w:noProof/>
        </w:rPr>
        <w:fldChar w:fldCharType="separate"/>
      </w:r>
      <w:r>
        <w:rPr>
          <w:noProof/>
        </w:rPr>
        <w:t>46</w:t>
      </w:r>
      <w:r>
        <w:rPr>
          <w:noProof/>
        </w:rPr>
        <w:fldChar w:fldCharType="end"/>
      </w:r>
    </w:p>
    <w:p w14:paraId="0889E3C0" w14:textId="6C7ADD9F"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REIZEN DOOR ZEELAND</w:t>
      </w:r>
      <w:r>
        <w:rPr>
          <w:noProof/>
        </w:rPr>
        <w:tab/>
      </w:r>
      <w:r>
        <w:rPr>
          <w:noProof/>
        </w:rPr>
        <w:fldChar w:fldCharType="begin"/>
      </w:r>
      <w:r>
        <w:rPr>
          <w:noProof/>
        </w:rPr>
        <w:instrText xml:space="preserve"> PAGEREF _Toc242189469 \h </w:instrText>
      </w:r>
      <w:r>
        <w:rPr>
          <w:noProof/>
        </w:rPr>
      </w:r>
      <w:r>
        <w:rPr>
          <w:noProof/>
        </w:rPr>
        <w:fldChar w:fldCharType="separate"/>
      </w:r>
      <w:r>
        <w:rPr>
          <w:noProof/>
        </w:rPr>
        <w:t>47</w:t>
      </w:r>
      <w:r>
        <w:rPr>
          <w:noProof/>
        </w:rPr>
        <w:fldChar w:fldCharType="end"/>
      </w:r>
    </w:p>
    <w:p w14:paraId="2CF2EBE2" w14:textId="6F0A3D85"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RvIG</w:t>
      </w:r>
      <w:r>
        <w:rPr>
          <w:noProof/>
        </w:rPr>
        <w:tab/>
      </w:r>
      <w:r>
        <w:rPr>
          <w:noProof/>
        </w:rPr>
        <w:fldChar w:fldCharType="begin"/>
      </w:r>
      <w:r>
        <w:rPr>
          <w:noProof/>
        </w:rPr>
        <w:instrText xml:space="preserve"> PAGEREF _Toc242189470 \h </w:instrText>
      </w:r>
      <w:r>
        <w:rPr>
          <w:noProof/>
        </w:rPr>
      </w:r>
      <w:r>
        <w:rPr>
          <w:noProof/>
        </w:rPr>
        <w:fldChar w:fldCharType="separate"/>
      </w:r>
      <w:r>
        <w:rPr>
          <w:noProof/>
        </w:rPr>
        <w:t>48</w:t>
      </w:r>
      <w:r>
        <w:rPr>
          <w:noProof/>
        </w:rPr>
        <w:fldChar w:fldCharType="end"/>
      </w:r>
    </w:p>
    <w:p w14:paraId="7E4FFA3D" w14:textId="5560CF6E"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STEDIN</w:t>
      </w:r>
      <w:r>
        <w:rPr>
          <w:noProof/>
        </w:rPr>
        <w:tab/>
      </w:r>
      <w:r>
        <w:rPr>
          <w:noProof/>
        </w:rPr>
        <w:fldChar w:fldCharType="begin"/>
      </w:r>
      <w:r>
        <w:rPr>
          <w:noProof/>
        </w:rPr>
        <w:instrText xml:space="preserve"> PAGEREF _Toc242189471 \h </w:instrText>
      </w:r>
      <w:r>
        <w:rPr>
          <w:noProof/>
        </w:rPr>
      </w:r>
      <w:r>
        <w:rPr>
          <w:noProof/>
        </w:rPr>
        <w:fldChar w:fldCharType="separate"/>
      </w:r>
      <w:r>
        <w:rPr>
          <w:noProof/>
        </w:rPr>
        <w:t>50</w:t>
      </w:r>
      <w:r>
        <w:rPr>
          <w:noProof/>
        </w:rPr>
        <w:fldChar w:fldCharType="end"/>
      </w:r>
    </w:p>
    <w:p w14:paraId="5D3FFEC1" w14:textId="49E854A7"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SVB &amp; BBZ</w:t>
      </w:r>
      <w:r>
        <w:rPr>
          <w:noProof/>
        </w:rPr>
        <w:tab/>
      </w:r>
      <w:r>
        <w:rPr>
          <w:noProof/>
        </w:rPr>
        <w:fldChar w:fldCharType="begin"/>
      </w:r>
      <w:r>
        <w:rPr>
          <w:noProof/>
        </w:rPr>
        <w:instrText xml:space="preserve"> PAGEREF _Toc242189472 \h </w:instrText>
      </w:r>
      <w:r>
        <w:rPr>
          <w:noProof/>
        </w:rPr>
      </w:r>
      <w:r>
        <w:rPr>
          <w:noProof/>
        </w:rPr>
        <w:fldChar w:fldCharType="separate"/>
      </w:r>
      <w:r>
        <w:rPr>
          <w:noProof/>
        </w:rPr>
        <w:t>51</w:t>
      </w:r>
      <w:r>
        <w:rPr>
          <w:noProof/>
        </w:rPr>
        <w:fldChar w:fldCharType="end"/>
      </w:r>
    </w:p>
    <w:p w14:paraId="7B1D110B" w14:textId="5BA49077"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UWV</w:t>
      </w:r>
      <w:r>
        <w:rPr>
          <w:noProof/>
        </w:rPr>
        <w:tab/>
      </w:r>
      <w:r>
        <w:rPr>
          <w:noProof/>
        </w:rPr>
        <w:fldChar w:fldCharType="begin"/>
      </w:r>
      <w:r>
        <w:rPr>
          <w:noProof/>
        </w:rPr>
        <w:instrText xml:space="preserve"> PAGEREF _Toc242189473 \h </w:instrText>
      </w:r>
      <w:r>
        <w:rPr>
          <w:noProof/>
        </w:rPr>
      </w:r>
      <w:r>
        <w:rPr>
          <w:noProof/>
        </w:rPr>
        <w:fldChar w:fldCharType="separate"/>
      </w:r>
      <w:r>
        <w:rPr>
          <w:noProof/>
        </w:rPr>
        <w:t>52</w:t>
      </w:r>
      <w:r>
        <w:rPr>
          <w:noProof/>
        </w:rPr>
        <w:fldChar w:fldCharType="end"/>
      </w:r>
    </w:p>
    <w:p w14:paraId="2523D885" w14:textId="44C2A411"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VALYS</w:t>
      </w:r>
      <w:r>
        <w:rPr>
          <w:noProof/>
        </w:rPr>
        <w:tab/>
      </w:r>
      <w:r>
        <w:rPr>
          <w:noProof/>
        </w:rPr>
        <w:fldChar w:fldCharType="begin"/>
      </w:r>
      <w:r>
        <w:rPr>
          <w:noProof/>
        </w:rPr>
        <w:instrText xml:space="preserve"> PAGEREF _Toc242189474 \h </w:instrText>
      </w:r>
      <w:r>
        <w:rPr>
          <w:noProof/>
        </w:rPr>
      </w:r>
      <w:r>
        <w:rPr>
          <w:noProof/>
        </w:rPr>
        <w:fldChar w:fldCharType="separate"/>
      </w:r>
      <w:r>
        <w:rPr>
          <w:noProof/>
        </w:rPr>
        <w:t>54</w:t>
      </w:r>
      <w:r>
        <w:rPr>
          <w:noProof/>
        </w:rPr>
        <w:fldChar w:fldCharType="end"/>
      </w:r>
    </w:p>
    <w:p w14:paraId="6B36342A" w14:textId="2C40015B"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VATTENFALL</w:t>
      </w:r>
      <w:r>
        <w:rPr>
          <w:noProof/>
        </w:rPr>
        <w:tab/>
      </w:r>
      <w:r>
        <w:rPr>
          <w:noProof/>
        </w:rPr>
        <w:fldChar w:fldCharType="begin"/>
      </w:r>
      <w:r>
        <w:rPr>
          <w:noProof/>
        </w:rPr>
        <w:instrText xml:space="preserve"> PAGEREF _Toc242189475 \h </w:instrText>
      </w:r>
      <w:r>
        <w:rPr>
          <w:noProof/>
        </w:rPr>
      </w:r>
      <w:r>
        <w:rPr>
          <w:noProof/>
        </w:rPr>
        <w:fldChar w:fldCharType="separate"/>
      </w:r>
      <w:r>
        <w:rPr>
          <w:noProof/>
        </w:rPr>
        <w:t>55</w:t>
      </w:r>
      <w:r>
        <w:rPr>
          <w:noProof/>
        </w:rPr>
        <w:fldChar w:fldCharType="end"/>
      </w:r>
    </w:p>
    <w:p w14:paraId="197C24E6" w14:textId="1CAE7B00" w:rsidR="00773516" w:rsidRDefault="00773516" w:rsidP="00773516">
      <w:pPr>
        <w:pStyle w:val="Inhopg2"/>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Escalatie &amp; Controle</w:t>
      </w:r>
      <w:r>
        <w:rPr>
          <w:noProof/>
        </w:rPr>
        <w:tab/>
      </w:r>
      <w:r>
        <w:rPr>
          <w:noProof/>
        </w:rPr>
        <w:fldChar w:fldCharType="begin"/>
      </w:r>
      <w:r>
        <w:rPr>
          <w:noProof/>
        </w:rPr>
        <w:instrText xml:space="preserve"> PAGEREF _Toc242189476 \h </w:instrText>
      </w:r>
      <w:r>
        <w:rPr>
          <w:noProof/>
        </w:rPr>
      </w:r>
      <w:r>
        <w:rPr>
          <w:noProof/>
        </w:rPr>
        <w:fldChar w:fldCharType="separate"/>
      </w:r>
      <w:r>
        <w:rPr>
          <w:noProof/>
        </w:rPr>
        <w:t>56</w:t>
      </w:r>
      <w:r>
        <w:rPr>
          <w:noProof/>
        </w:rPr>
        <w:fldChar w:fldCharType="end"/>
      </w:r>
    </w:p>
    <w:p w14:paraId="4AA045EC" w14:textId="3ABC6081"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DE NATIONALE OMBUDSMAN (NL)</w:t>
      </w:r>
      <w:r>
        <w:rPr>
          <w:noProof/>
        </w:rPr>
        <w:tab/>
      </w:r>
      <w:r>
        <w:rPr>
          <w:noProof/>
        </w:rPr>
        <w:fldChar w:fldCharType="begin"/>
      </w:r>
      <w:r>
        <w:rPr>
          <w:noProof/>
        </w:rPr>
        <w:instrText xml:space="preserve"> PAGEREF _Toc242189477 \h </w:instrText>
      </w:r>
      <w:r>
        <w:rPr>
          <w:noProof/>
        </w:rPr>
      </w:r>
      <w:r>
        <w:rPr>
          <w:noProof/>
        </w:rPr>
        <w:fldChar w:fldCharType="separate"/>
      </w:r>
      <w:r>
        <w:rPr>
          <w:noProof/>
        </w:rPr>
        <w:t>56</w:t>
      </w:r>
      <w:r>
        <w:rPr>
          <w:noProof/>
        </w:rPr>
        <w:fldChar w:fldCharType="end"/>
      </w:r>
    </w:p>
    <w:p w14:paraId="01A75BAF" w14:textId="1E0C9F23"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KONINKLIJK HUIS (NEDERLAND)</w:t>
      </w:r>
      <w:r>
        <w:rPr>
          <w:noProof/>
        </w:rPr>
        <w:tab/>
      </w:r>
      <w:r>
        <w:rPr>
          <w:noProof/>
        </w:rPr>
        <w:fldChar w:fldCharType="begin"/>
      </w:r>
      <w:r>
        <w:rPr>
          <w:noProof/>
        </w:rPr>
        <w:instrText xml:space="preserve"> PAGEREF _Toc242189478 \h </w:instrText>
      </w:r>
      <w:r>
        <w:rPr>
          <w:noProof/>
        </w:rPr>
      </w:r>
      <w:r>
        <w:rPr>
          <w:noProof/>
        </w:rPr>
        <w:fldChar w:fldCharType="separate"/>
      </w:r>
      <w:r>
        <w:rPr>
          <w:noProof/>
        </w:rPr>
        <w:t>57</w:t>
      </w:r>
      <w:r>
        <w:rPr>
          <w:noProof/>
        </w:rPr>
        <w:fldChar w:fldCharType="end"/>
      </w:r>
    </w:p>
    <w:p w14:paraId="0C750019" w14:textId="713E9F0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NEDERLANDSE POLITIEKE PARTIJEN</w:t>
      </w:r>
      <w:r>
        <w:rPr>
          <w:noProof/>
        </w:rPr>
        <w:tab/>
      </w:r>
      <w:r>
        <w:rPr>
          <w:noProof/>
        </w:rPr>
        <w:fldChar w:fldCharType="begin"/>
      </w:r>
      <w:r>
        <w:rPr>
          <w:noProof/>
        </w:rPr>
        <w:instrText xml:space="preserve"> PAGEREF _Toc242189479 \h </w:instrText>
      </w:r>
      <w:r>
        <w:rPr>
          <w:noProof/>
        </w:rPr>
      </w:r>
      <w:r>
        <w:rPr>
          <w:noProof/>
        </w:rPr>
        <w:fldChar w:fldCharType="separate"/>
      </w:r>
      <w:r>
        <w:rPr>
          <w:noProof/>
        </w:rPr>
        <w:t>58</w:t>
      </w:r>
      <w:r>
        <w:rPr>
          <w:noProof/>
        </w:rPr>
        <w:fldChar w:fldCharType="end"/>
      </w:r>
    </w:p>
    <w:p w14:paraId="7F918969" w14:textId="4FF7FFB7"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TWEEDE KAMER (COMMISSIE SZW)</w:t>
      </w:r>
      <w:r>
        <w:rPr>
          <w:noProof/>
        </w:rPr>
        <w:tab/>
      </w:r>
      <w:r>
        <w:rPr>
          <w:noProof/>
        </w:rPr>
        <w:fldChar w:fldCharType="begin"/>
      </w:r>
      <w:r>
        <w:rPr>
          <w:noProof/>
        </w:rPr>
        <w:instrText xml:space="preserve"> PAGEREF _Toc242189480 \h </w:instrText>
      </w:r>
      <w:r>
        <w:rPr>
          <w:noProof/>
        </w:rPr>
      </w:r>
      <w:r>
        <w:rPr>
          <w:noProof/>
        </w:rPr>
        <w:fldChar w:fldCharType="separate"/>
      </w:r>
      <w:r>
        <w:rPr>
          <w:noProof/>
        </w:rPr>
        <w:t>59</w:t>
      </w:r>
      <w:r>
        <w:rPr>
          <w:noProof/>
        </w:rPr>
        <w:fldChar w:fldCharType="end"/>
      </w:r>
    </w:p>
    <w:p w14:paraId="0D516DAE" w14:textId="1ED02329" w:rsidR="00773516" w:rsidRDefault="00773516" w:rsidP="00773516">
      <w:pPr>
        <w:pStyle w:val="Inhopg1"/>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III. Overkoepelend, Bemiddeling &amp; Maatschappelijke Resonantie</w:t>
      </w:r>
      <w:r>
        <w:rPr>
          <w:noProof/>
        </w:rPr>
        <w:tab/>
      </w:r>
      <w:r>
        <w:rPr>
          <w:noProof/>
        </w:rPr>
        <w:fldChar w:fldCharType="begin"/>
      </w:r>
      <w:r>
        <w:rPr>
          <w:noProof/>
        </w:rPr>
        <w:instrText xml:space="preserve"> PAGEREF _Toc242189481 \h </w:instrText>
      </w:r>
      <w:r>
        <w:rPr>
          <w:noProof/>
        </w:rPr>
      </w:r>
      <w:r>
        <w:rPr>
          <w:noProof/>
        </w:rPr>
        <w:fldChar w:fldCharType="separate"/>
      </w:r>
      <w:r>
        <w:rPr>
          <w:noProof/>
        </w:rPr>
        <w:t>60</w:t>
      </w:r>
      <w:r>
        <w:rPr>
          <w:noProof/>
        </w:rPr>
        <w:fldChar w:fldCharType="end"/>
      </w:r>
    </w:p>
    <w:p w14:paraId="07E97711" w14:textId="163259D6"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ACADEMISCHE OBSERVATIELAAG</w:t>
      </w:r>
      <w:r>
        <w:rPr>
          <w:noProof/>
        </w:rPr>
        <w:tab/>
      </w:r>
      <w:r>
        <w:rPr>
          <w:noProof/>
        </w:rPr>
        <w:fldChar w:fldCharType="begin"/>
      </w:r>
      <w:r>
        <w:rPr>
          <w:noProof/>
        </w:rPr>
        <w:instrText xml:space="preserve"> PAGEREF _Toc242189482 \h </w:instrText>
      </w:r>
      <w:r>
        <w:rPr>
          <w:noProof/>
        </w:rPr>
      </w:r>
      <w:r>
        <w:rPr>
          <w:noProof/>
        </w:rPr>
        <w:fldChar w:fldCharType="separate"/>
      </w:r>
      <w:r>
        <w:rPr>
          <w:noProof/>
        </w:rPr>
        <w:t>60</w:t>
      </w:r>
      <w:r>
        <w:rPr>
          <w:noProof/>
        </w:rPr>
        <w:fldChar w:fldCharType="end"/>
      </w:r>
    </w:p>
    <w:p w14:paraId="22898C43" w14:textId="664A4799"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BENELUX UNIE</w:t>
      </w:r>
      <w:r>
        <w:rPr>
          <w:noProof/>
        </w:rPr>
        <w:tab/>
      </w:r>
      <w:r>
        <w:rPr>
          <w:noProof/>
        </w:rPr>
        <w:fldChar w:fldCharType="begin"/>
      </w:r>
      <w:r>
        <w:rPr>
          <w:noProof/>
        </w:rPr>
        <w:instrText xml:space="preserve"> PAGEREF _Toc242189483 \h </w:instrText>
      </w:r>
      <w:r>
        <w:rPr>
          <w:noProof/>
        </w:rPr>
      </w:r>
      <w:r>
        <w:rPr>
          <w:noProof/>
        </w:rPr>
        <w:fldChar w:fldCharType="separate"/>
      </w:r>
      <w:r>
        <w:rPr>
          <w:noProof/>
        </w:rPr>
        <w:t>62</w:t>
      </w:r>
      <w:r>
        <w:rPr>
          <w:noProof/>
        </w:rPr>
        <w:fldChar w:fldCharType="end"/>
      </w:r>
    </w:p>
    <w:p w14:paraId="11D6ABF4" w14:textId="413C5A62"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GRENSINFOPUNT (GIP)</w:t>
      </w:r>
      <w:r>
        <w:rPr>
          <w:noProof/>
        </w:rPr>
        <w:tab/>
      </w:r>
      <w:r>
        <w:rPr>
          <w:noProof/>
        </w:rPr>
        <w:fldChar w:fldCharType="begin"/>
      </w:r>
      <w:r>
        <w:rPr>
          <w:noProof/>
        </w:rPr>
        <w:instrText xml:space="preserve"> PAGEREF _Toc242189484 \h </w:instrText>
      </w:r>
      <w:r>
        <w:rPr>
          <w:noProof/>
        </w:rPr>
      </w:r>
      <w:r>
        <w:rPr>
          <w:noProof/>
        </w:rPr>
        <w:fldChar w:fldCharType="separate"/>
      </w:r>
      <w:r>
        <w:rPr>
          <w:noProof/>
        </w:rPr>
        <w:t>63</w:t>
      </w:r>
      <w:r>
        <w:rPr>
          <w:noProof/>
        </w:rPr>
        <w:fldChar w:fldCharType="end"/>
      </w:r>
    </w:p>
    <w:p w14:paraId="738F594C" w14:textId="325D7E1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MEDIA &amp; PUBLIEKE INTELLECTUELEN</w:t>
      </w:r>
      <w:r>
        <w:rPr>
          <w:noProof/>
        </w:rPr>
        <w:tab/>
      </w:r>
      <w:r>
        <w:rPr>
          <w:noProof/>
        </w:rPr>
        <w:fldChar w:fldCharType="begin"/>
      </w:r>
      <w:r>
        <w:rPr>
          <w:noProof/>
        </w:rPr>
        <w:instrText xml:space="preserve"> PAGEREF _Toc242189485 \h </w:instrText>
      </w:r>
      <w:r>
        <w:rPr>
          <w:noProof/>
        </w:rPr>
      </w:r>
      <w:r>
        <w:rPr>
          <w:noProof/>
        </w:rPr>
        <w:fldChar w:fldCharType="separate"/>
      </w:r>
      <w:r>
        <w:rPr>
          <w:noProof/>
        </w:rPr>
        <w:t>64</w:t>
      </w:r>
      <w:r>
        <w:rPr>
          <w:noProof/>
        </w:rPr>
        <w:fldChar w:fldCharType="end"/>
      </w:r>
    </w:p>
    <w:p w14:paraId="5D61B883" w14:textId="2558972D"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SOLVIT</w:t>
      </w:r>
      <w:r>
        <w:rPr>
          <w:noProof/>
        </w:rPr>
        <w:tab/>
      </w:r>
      <w:r>
        <w:rPr>
          <w:noProof/>
        </w:rPr>
        <w:fldChar w:fldCharType="begin"/>
      </w:r>
      <w:r>
        <w:rPr>
          <w:noProof/>
        </w:rPr>
        <w:instrText xml:space="preserve"> PAGEREF _Toc242189486 \h </w:instrText>
      </w:r>
      <w:r>
        <w:rPr>
          <w:noProof/>
        </w:rPr>
      </w:r>
      <w:r>
        <w:rPr>
          <w:noProof/>
        </w:rPr>
        <w:fldChar w:fldCharType="separate"/>
      </w:r>
      <w:r>
        <w:rPr>
          <w:noProof/>
        </w:rPr>
        <w:t>65</w:t>
      </w:r>
      <w:r>
        <w:rPr>
          <w:noProof/>
        </w:rPr>
        <w:fldChar w:fldCharType="end"/>
      </w:r>
    </w:p>
    <w:p w14:paraId="08F055D5" w14:textId="2A8C6C72"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STRATEGISCHE BELANGENBEHARTIGING</w:t>
      </w:r>
      <w:r>
        <w:rPr>
          <w:noProof/>
        </w:rPr>
        <w:tab/>
      </w:r>
      <w:r>
        <w:rPr>
          <w:noProof/>
        </w:rPr>
        <w:fldChar w:fldCharType="begin"/>
      </w:r>
      <w:r>
        <w:rPr>
          <w:noProof/>
        </w:rPr>
        <w:instrText xml:space="preserve"> PAGEREF _Toc242189487 \h </w:instrText>
      </w:r>
      <w:r>
        <w:rPr>
          <w:noProof/>
        </w:rPr>
      </w:r>
      <w:r>
        <w:rPr>
          <w:noProof/>
        </w:rPr>
        <w:fldChar w:fldCharType="separate"/>
      </w:r>
      <w:r>
        <w:rPr>
          <w:noProof/>
        </w:rPr>
        <w:t>66</w:t>
      </w:r>
      <w:r>
        <w:rPr>
          <w:noProof/>
        </w:rPr>
        <w:fldChar w:fldCharType="end"/>
      </w:r>
    </w:p>
    <w:p w14:paraId="07197080" w14:textId="01EDED51" w:rsidR="00773516" w:rsidRDefault="00773516" w:rsidP="00773516">
      <w:pPr>
        <w:pStyle w:val="Inhopg1"/>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IV. Europa</w:t>
      </w:r>
      <w:r>
        <w:rPr>
          <w:noProof/>
        </w:rPr>
        <w:tab/>
      </w:r>
      <w:r>
        <w:rPr>
          <w:noProof/>
        </w:rPr>
        <w:fldChar w:fldCharType="begin"/>
      </w:r>
      <w:r>
        <w:rPr>
          <w:noProof/>
        </w:rPr>
        <w:instrText xml:space="preserve"> PAGEREF _Toc242189488 \h </w:instrText>
      </w:r>
      <w:r>
        <w:rPr>
          <w:noProof/>
        </w:rPr>
      </w:r>
      <w:r>
        <w:rPr>
          <w:noProof/>
        </w:rPr>
        <w:fldChar w:fldCharType="separate"/>
      </w:r>
      <w:r>
        <w:rPr>
          <w:noProof/>
        </w:rPr>
        <w:t>67</w:t>
      </w:r>
      <w:r>
        <w:rPr>
          <w:noProof/>
        </w:rPr>
        <w:fldChar w:fldCharType="end"/>
      </w:r>
    </w:p>
    <w:p w14:paraId="75FD80BD" w14:textId="1C10593B"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EUROPESE COMMISSIE</w:t>
      </w:r>
      <w:r>
        <w:rPr>
          <w:noProof/>
        </w:rPr>
        <w:tab/>
      </w:r>
      <w:r>
        <w:rPr>
          <w:noProof/>
        </w:rPr>
        <w:fldChar w:fldCharType="begin"/>
      </w:r>
      <w:r>
        <w:rPr>
          <w:noProof/>
        </w:rPr>
        <w:instrText xml:space="preserve"> PAGEREF _Toc242189489 \h </w:instrText>
      </w:r>
      <w:r>
        <w:rPr>
          <w:noProof/>
        </w:rPr>
      </w:r>
      <w:r>
        <w:rPr>
          <w:noProof/>
        </w:rPr>
        <w:fldChar w:fldCharType="separate"/>
      </w:r>
      <w:r>
        <w:rPr>
          <w:noProof/>
        </w:rPr>
        <w:t>67</w:t>
      </w:r>
      <w:r>
        <w:rPr>
          <w:noProof/>
        </w:rPr>
        <w:fldChar w:fldCharType="end"/>
      </w:r>
    </w:p>
    <w:p w14:paraId="1940D33D" w14:textId="5A55CBF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EUROPEES HOF VOOR DE RECHTEN VAN DE MENS (EHRM)</w:t>
      </w:r>
      <w:r>
        <w:rPr>
          <w:noProof/>
        </w:rPr>
        <w:tab/>
      </w:r>
      <w:r>
        <w:rPr>
          <w:noProof/>
        </w:rPr>
        <w:fldChar w:fldCharType="begin"/>
      </w:r>
      <w:r>
        <w:rPr>
          <w:noProof/>
        </w:rPr>
        <w:instrText xml:space="preserve"> PAGEREF _Toc242189490 \h </w:instrText>
      </w:r>
      <w:r>
        <w:rPr>
          <w:noProof/>
        </w:rPr>
      </w:r>
      <w:r>
        <w:rPr>
          <w:noProof/>
        </w:rPr>
        <w:fldChar w:fldCharType="separate"/>
      </w:r>
      <w:r>
        <w:rPr>
          <w:noProof/>
        </w:rPr>
        <w:t>68</w:t>
      </w:r>
      <w:r>
        <w:rPr>
          <w:noProof/>
        </w:rPr>
        <w:fldChar w:fldCharType="end"/>
      </w:r>
    </w:p>
    <w:p w14:paraId="66F4994F" w14:textId="699574E0"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EUROPESE ARBEIDSAUTORITEIT (ELA)</w:t>
      </w:r>
      <w:r>
        <w:rPr>
          <w:noProof/>
        </w:rPr>
        <w:tab/>
      </w:r>
      <w:r>
        <w:rPr>
          <w:noProof/>
        </w:rPr>
        <w:fldChar w:fldCharType="begin"/>
      </w:r>
      <w:r>
        <w:rPr>
          <w:noProof/>
        </w:rPr>
        <w:instrText xml:space="preserve"> PAGEREF _Toc242189491 \h </w:instrText>
      </w:r>
      <w:r>
        <w:rPr>
          <w:noProof/>
        </w:rPr>
      </w:r>
      <w:r>
        <w:rPr>
          <w:noProof/>
        </w:rPr>
        <w:fldChar w:fldCharType="separate"/>
      </w:r>
      <w:r>
        <w:rPr>
          <w:noProof/>
        </w:rPr>
        <w:t>69</w:t>
      </w:r>
      <w:r>
        <w:rPr>
          <w:noProof/>
        </w:rPr>
        <w:fldChar w:fldCharType="end"/>
      </w:r>
    </w:p>
    <w:p w14:paraId="50AA56D9" w14:textId="02E2646C"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EUROPESE OMBUDSMAN</w:t>
      </w:r>
      <w:r>
        <w:rPr>
          <w:noProof/>
        </w:rPr>
        <w:tab/>
      </w:r>
      <w:r>
        <w:rPr>
          <w:noProof/>
        </w:rPr>
        <w:fldChar w:fldCharType="begin"/>
      </w:r>
      <w:r>
        <w:rPr>
          <w:noProof/>
        </w:rPr>
        <w:instrText xml:space="preserve"> PAGEREF _Toc242189492 \h </w:instrText>
      </w:r>
      <w:r>
        <w:rPr>
          <w:noProof/>
        </w:rPr>
      </w:r>
      <w:r>
        <w:rPr>
          <w:noProof/>
        </w:rPr>
        <w:fldChar w:fldCharType="separate"/>
      </w:r>
      <w:r>
        <w:rPr>
          <w:noProof/>
        </w:rPr>
        <w:t>70</w:t>
      </w:r>
      <w:r>
        <w:rPr>
          <w:noProof/>
        </w:rPr>
        <w:fldChar w:fldCharType="end"/>
      </w:r>
    </w:p>
    <w:p w14:paraId="31D292EE" w14:textId="5BA6AD73"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EUROPEES PARLEMENT</w:t>
      </w:r>
      <w:r>
        <w:rPr>
          <w:noProof/>
        </w:rPr>
        <w:tab/>
      </w:r>
      <w:r>
        <w:rPr>
          <w:noProof/>
        </w:rPr>
        <w:fldChar w:fldCharType="begin"/>
      </w:r>
      <w:r>
        <w:rPr>
          <w:noProof/>
        </w:rPr>
        <w:instrText xml:space="preserve"> PAGEREF _Toc242189493 \h </w:instrText>
      </w:r>
      <w:r>
        <w:rPr>
          <w:noProof/>
        </w:rPr>
      </w:r>
      <w:r>
        <w:rPr>
          <w:noProof/>
        </w:rPr>
        <w:fldChar w:fldCharType="separate"/>
      </w:r>
      <w:r>
        <w:rPr>
          <w:noProof/>
        </w:rPr>
        <w:t>71</w:t>
      </w:r>
      <w:r>
        <w:rPr>
          <w:noProof/>
        </w:rPr>
        <w:fldChar w:fldCharType="end"/>
      </w:r>
    </w:p>
    <w:p w14:paraId="765B94F7" w14:textId="0FEEF47B"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EUROPESE RAAD</w:t>
      </w:r>
      <w:r>
        <w:rPr>
          <w:noProof/>
        </w:rPr>
        <w:tab/>
      </w:r>
      <w:r>
        <w:rPr>
          <w:noProof/>
        </w:rPr>
        <w:fldChar w:fldCharType="begin"/>
      </w:r>
      <w:r>
        <w:rPr>
          <w:noProof/>
        </w:rPr>
        <w:instrText xml:space="preserve"> PAGEREF _Toc242189494 \h </w:instrText>
      </w:r>
      <w:r>
        <w:rPr>
          <w:noProof/>
        </w:rPr>
      </w:r>
      <w:r>
        <w:rPr>
          <w:noProof/>
        </w:rPr>
        <w:fldChar w:fldCharType="separate"/>
      </w:r>
      <w:r>
        <w:rPr>
          <w:noProof/>
        </w:rPr>
        <w:t>72</w:t>
      </w:r>
      <w:r>
        <w:rPr>
          <w:noProof/>
        </w:rPr>
        <w:fldChar w:fldCharType="end"/>
      </w:r>
    </w:p>
    <w:p w14:paraId="326EC623" w14:textId="4FE250C2" w:rsidR="00773516" w:rsidRDefault="00773516" w:rsidP="00773516">
      <w:pPr>
        <w:pStyle w:val="Inhopg1"/>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V. Internationaal</w:t>
      </w:r>
      <w:r>
        <w:rPr>
          <w:noProof/>
        </w:rPr>
        <w:tab/>
      </w:r>
      <w:r>
        <w:rPr>
          <w:noProof/>
        </w:rPr>
        <w:fldChar w:fldCharType="begin"/>
      </w:r>
      <w:r>
        <w:rPr>
          <w:noProof/>
        </w:rPr>
        <w:instrText xml:space="preserve"> PAGEREF _Toc242189495 \h </w:instrText>
      </w:r>
      <w:r>
        <w:rPr>
          <w:noProof/>
        </w:rPr>
      </w:r>
      <w:r>
        <w:rPr>
          <w:noProof/>
        </w:rPr>
        <w:fldChar w:fldCharType="separate"/>
      </w:r>
      <w:r>
        <w:rPr>
          <w:noProof/>
        </w:rPr>
        <w:t>73</w:t>
      </w:r>
      <w:r>
        <w:rPr>
          <w:noProof/>
        </w:rPr>
        <w:fldChar w:fldCharType="end"/>
      </w:r>
    </w:p>
    <w:p w14:paraId="5EB3F0AC" w14:textId="07A51BDE" w:rsidR="00773516" w:rsidRDefault="00773516" w:rsidP="00773516">
      <w:pPr>
        <w:pStyle w:val="Inhopg3"/>
        <w:tabs>
          <w:tab w:val="right" w:leader="dot" w:pos="9062"/>
        </w:tabs>
        <w:divId w:val="1132989214"/>
        <w:rPr>
          <w:rFonts w:asciiTheme="minorHAnsi" w:hAnsiTheme="minorHAnsi" w:cstheme="minorBidi"/>
          <w:noProof/>
          <w:kern w:val="2"/>
          <w:sz w:val="24"/>
          <w14:ligatures w14:val="standardContextual"/>
        </w:rPr>
      </w:pPr>
      <w:r w:rsidRPr="00816504">
        <w:rPr>
          <w:rFonts w:eastAsia="Times New Roman"/>
          <w:noProof/>
          <w:lang w:val="nl-NL"/>
        </w:rPr>
        <w:t>VERENIGDE NATIES</w:t>
      </w:r>
      <w:r>
        <w:rPr>
          <w:noProof/>
        </w:rPr>
        <w:tab/>
      </w:r>
      <w:r>
        <w:rPr>
          <w:noProof/>
        </w:rPr>
        <w:fldChar w:fldCharType="begin"/>
      </w:r>
      <w:r>
        <w:rPr>
          <w:noProof/>
        </w:rPr>
        <w:instrText xml:space="preserve"> PAGEREF _Toc242189496 \h </w:instrText>
      </w:r>
      <w:r>
        <w:rPr>
          <w:noProof/>
        </w:rPr>
      </w:r>
      <w:r>
        <w:rPr>
          <w:noProof/>
        </w:rPr>
        <w:fldChar w:fldCharType="separate"/>
      </w:r>
      <w:r>
        <w:rPr>
          <w:noProof/>
        </w:rPr>
        <w:t>73</w:t>
      </w:r>
      <w:r>
        <w:rPr>
          <w:noProof/>
        </w:rPr>
        <w:fldChar w:fldCharType="end"/>
      </w:r>
    </w:p>
    <w:p w14:paraId="4DAAA0B4" w14:textId="3824ED06" w:rsidR="00773516" w:rsidRDefault="00773516" w:rsidP="00773516">
      <w:pPr>
        <w:pStyle w:val="marker"/>
        <w:divId w:val="1132989214"/>
        <w:rPr>
          <w:lang w:val="nl-NL"/>
        </w:rPr>
      </w:pPr>
      <w:r>
        <w:rPr>
          <w:lang w:val="nl-NL"/>
        </w:rPr>
        <w:fldChar w:fldCharType="end"/>
      </w:r>
    </w:p>
    <w:p w14:paraId="12A2582D" w14:textId="77777777" w:rsidR="00773516" w:rsidRDefault="00773516">
      <w:pPr>
        <w:pStyle w:val="marker"/>
        <w:ind w:left="800" w:right="800"/>
        <w:divId w:val="1477067237"/>
        <w:rPr>
          <w:lang w:val="nl-NL"/>
        </w:rPr>
      </w:pPr>
      <w:r>
        <w:br w:type="page"/>
      </w:r>
    </w:p>
    <w:p w14:paraId="374155B9" w14:textId="77777777" w:rsidR="00773516" w:rsidRDefault="00773516">
      <w:pPr>
        <w:divId w:val="2084142202"/>
        <w:rPr>
          <w:i/>
          <w:iCs/>
          <w:color w:val="333333"/>
          <w:lang w:val="nl-NL"/>
        </w:rPr>
      </w:pPr>
      <w:r>
        <w:rPr>
          <w:i/>
          <w:iCs/>
          <w:color w:val="333333"/>
          <w:lang w:val="nl-NL"/>
        </w:rPr>
        <w:t xml:space="preserve">Dit is Document A — </w:t>
      </w:r>
      <w:r>
        <w:rPr>
          <w:i/>
          <w:iCs/>
          <w:color w:val="333333"/>
          <w:lang w:val="nl-NL"/>
        </w:rPr>
        <w:t>De narratieve audit van het Systeem-Audit-project. Het beschrijft de organisaties die samen het netwerk vormen, als een reeks lopende verhalen.</w:t>
      </w:r>
    </w:p>
    <w:p w14:paraId="608276E4" w14:textId="77777777" w:rsidR="00773516" w:rsidRDefault="00773516">
      <w:pPr>
        <w:divId w:val="2084142202"/>
        <w:rPr>
          <w:i/>
          <w:iCs/>
          <w:color w:val="333333"/>
          <w:lang w:val="nl-NL"/>
        </w:rPr>
      </w:pPr>
      <w:r>
        <w:rPr>
          <w:i/>
          <w:iCs/>
          <w:color w:val="333333"/>
          <w:lang w:val="nl-NL"/>
        </w:rPr>
        <w:t>Lees het als een reeks verhalen, niet als een database.</w:t>
      </w:r>
    </w:p>
    <w:p w14:paraId="7A7CBDC9" w14:textId="77777777" w:rsidR="00773516" w:rsidRDefault="00773516">
      <w:pPr>
        <w:pStyle w:val="marker"/>
        <w:ind w:left="800" w:right="800"/>
        <w:divId w:val="1477067237"/>
        <w:rPr>
          <w:lang w:val="nl-NL"/>
        </w:rPr>
      </w:pPr>
      <w:r>
        <w:br w:type="page"/>
      </w:r>
    </w:p>
    <w:p w14:paraId="1B563E25" w14:textId="77777777" w:rsidR="00773516" w:rsidRDefault="00773516">
      <w:pPr>
        <w:pStyle w:val="Kop1"/>
        <w:divId w:val="1477067237"/>
        <w:rPr>
          <w:rFonts w:eastAsia="Times New Roman"/>
          <w:lang w:val="nl-NL"/>
        </w:rPr>
      </w:pPr>
      <w:bookmarkStart w:id="1" w:name="_Toc242189428"/>
      <w:r>
        <w:rPr>
          <w:rFonts w:eastAsia="Times New Roman"/>
          <w:lang w:val="nl-NL"/>
        </w:rPr>
        <w:t>I. België</w:t>
      </w:r>
      <w:bookmarkEnd w:id="1"/>
    </w:p>
    <w:p w14:paraId="569AC78A" w14:textId="77777777" w:rsidR="00773516" w:rsidRDefault="00773516">
      <w:pPr>
        <w:pStyle w:val="Kop2"/>
        <w:divId w:val="1477067237"/>
        <w:rPr>
          <w:rFonts w:eastAsia="Times New Roman"/>
          <w:lang w:val="nl-NL"/>
        </w:rPr>
      </w:pPr>
      <w:bookmarkStart w:id="2" w:name="_Toc242189429"/>
      <w:r>
        <w:rPr>
          <w:rFonts w:eastAsia="Times New Roman"/>
          <w:lang w:val="nl-NL"/>
        </w:rPr>
        <w:t>Zorg &amp; Fysieke Realiteit</w:t>
      </w:r>
      <w:bookmarkEnd w:id="2"/>
    </w:p>
    <w:p w14:paraId="0AE5D885" w14:textId="77777777" w:rsidR="00773516" w:rsidRDefault="00773516">
      <w:pPr>
        <w:pStyle w:val="Kop3"/>
        <w:divId w:val="1477067237"/>
        <w:rPr>
          <w:rFonts w:eastAsia="Times New Roman"/>
          <w:lang w:val="nl-NL"/>
        </w:rPr>
      </w:pPr>
      <w:bookmarkStart w:id="3" w:name="_Toc242189430"/>
      <w:r>
        <w:rPr>
          <w:rFonts w:eastAsia="Times New Roman"/>
          <w:lang w:val="nl-NL"/>
        </w:rPr>
        <w:t>HUISARTSENPRAKTIJK TER VIERSCHAAR</w:t>
      </w:r>
      <w:bookmarkEnd w:id="3"/>
    </w:p>
    <w:p w14:paraId="2EB0228F" w14:textId="77777777" w:rsidR="00773516" w:rsidRDefault="00773516">
      <w:pPr>
        <w:pStyle w:val="subtitel"/>
        <w:divId w:val="1477067237"/>
        <w:rPr>
          <w:lang w:val="nl-NL"/>
        </w:rPr>
      </w:pPr>
      <w:r>
        <w:rPr>
          <w:lang w:val="nl-NL"/>
        </w:rPr>
        <w:t>De Eerstelijnsbrug en Institutionele Ontkenning</w:t>
      </w:r>
    </w:p>
    <w:p w14:paraId="362AA34A" w14:textId="77777777" w:rsidR="00773516" w:rsidRDefault="00773516">
      <w:pPr>
        <w:pStyle w:val="Normaalweb"/>
        <w:divId w:val="1477067237"/>
        <w:rPr>
          <w:lang w:val="nl-NL"/>
        </w:rPr>
      </w:pPr>
      <w:r>
        <w:rPr>
          <w:lang w:val="nl-NL"/>
        </w:rPr>
        <w:t>Anders dan de gesloten datasilo's van de regionale ziekenhuizen en de weigerachtige houding van de private sector, vormt de eerstelijnszorg de enige constante factor in het traject. Vanaf de pre-crisis nulmeting in het voorjaar van 2025 tot ver in het complexe post-operatieve stadium fungeert de huisartsenpraktijk als de centrale medische regisseur. De cruciale rol van deze actor ligt in de actieve doorbreking van de data-isolatie. Door de geactualiseerde medische samenvatting — inclusief de onomkeerbare am</w:t>
      </w:r>
      <w:r>
        <w:rPr>
          <w:lang w:val="nl-NL"/>
        </w:rPr>
        <w:t>putaties, neuropathie en kritieke weefselafbraak — officieel te publiceren op het federale eHealth-knooppunt, worden deze feiten onweerlegbaar en real-time verankerd. Vanaf dat moment kunnen controlerende en uitkerende instanties zich onmogelijk nog beroepen op een gebrek aan medische informatie.</w:t>
      </w:r>
    </w:p>
    <w:p w14:paraId="1CC71178" w14:textId="77777777" w:rsidR="00773516" w:rsidRDefault="00773516">
      <w:pPr>
        <w:pStyle w:val="Normaalweb"/>
        <w:divId w:val="1477067237"/>
        <w:rPr>
          <w:lang w:val="nl-NL"/>
        </w:rPr>
      </w:pPr>
      <w:r>
        <w:rPr>
          <w:lang w:val="nl-NL"/>
        </w:rPr>
        <w:t>Wanneer de administratieve impasse over de landsgrenzen heen escaleert, vult de huisarts de leemte die de specialisten in de tweede lijn lieten vallen. De praktijk levert actief de systeemvertaling die de administratie eist. Zo worden de uitgebreide federale inlichtingenformulieren ter erkenning van de zware handicap ingevuld, worden er fiscale dieetbevestigingen opgemaakt en wordt er een overkoepelend getuigschrift van permanente arbeidsongeschiktheid afgeleverd. Hierin wordt de medische toestand niet bena</w:t>
      </w:r>
      <w:r>
        <w:rPr>
          <w:lang w:val="nl-NL"/>
        </w:rPr>
        <w:t>derd als een tijdelijk te genezen defect, maar wordt de horizon van de invaliditeit realistisch vastgeklikt op de grens van de eenentwintigste eeuw.</w:t>
      </w:r>
    </w:p>
    <w:p w14:paraId="1BF5FC4B" w14:textId="77777777" w:rsidR="00773516" w:rsidRDefault="00773516">
      <w:pPr>
        <w:pStyle w:val="Normaalweb"/>
        <w:divId w:val="1477067237"/>
        <w:rPr>
          <w:lang w:val="nl-NL"/>
        </w:rPr>
      </w:pPr>
      <w:r>
        <w:rPr>
          <w:lang w:val="nl-NL"/>
        </w:rPr>
        <w:t>De huisarts verricht daarnaast een unieke transnationale handeling door de grens van de eigen jurisdictie te overstijgen. De complexe en gestapelde medische problematiek (comorbiditeit) wordt methodisch geconverteerd naar de specifieke belastbaarheidsmatrix die aan de andere kant van de grens wordt gehanteerd *1*. Deze vertaalslag objectiveert een keiharde energetische limiet van maximaal vier uur actieve belasting per dag. Hiermee levert de Belgische eerstelijnszorg exact het gestructureerde instrumentariu</w:t>
      </w:r>
      <w:r>
        <w:rPr>
          <w:lang w:val="nl-NL"/>
        </w:rPr>
        <w:t>m waar de Nederlandse toezichthouder formeel om vraagt voor het vaststellen van het arbeidsvermogen.</w:t>
      </w:r>
    </w:p>
    <w:p w14:paraId="46DC789A" w14:textId="77777777" w:rsidR="00773516" w:rsidRDefault="00773516">
      <w:pPr>
        <w:pStyle w:val="Normaalweb"/>
        <w:divId w:val="1477067237"/>
        <w:rPr>
          <w:lang w:val="nl-NL"/>
        </w:rPr>
      </w:pPr>
      <w:r>
        <w:rPr>
          <w:lang w:val="nl-NL"/>
        </w:rPr>
        <w:t>De systeembreuk openbaart zich in dit stadium niet langer in het ontbreken van data, maar in de doelbewuste institutionele ontkenning ervan. Zowel het Belgische ziekenfonds als de Nederlandse uitkeringsinstantie weigeren het sluitende oordeel van de huisarts te accepteren, en kwalificeren deze medische en administratieve synthese als niet-bindend. Men erkent de ontvangst van de documenten, maar negeert de inhoud om de eigen afwijzingsprotocollen in stand te kunnen houden. Dit objectiveert een dwingende syst</w:t>
      </w:r>
      <w:r>
        <w:rPr>
          <w:lang w:val="nl-NL"/>
        </w:rPr>
        <w:t xml:space="preserve">eemparadox: toezichthoudende instanties eisen onafhankelijke medische data om rechten te kunnen toekennen, maar zodra </w:t>
      </w:r>
      <w:r>
        <w:rPr>
          <w:lang w:val="nl-NL"/>
        </w:rPr>
        <w:lastRenderedPageBreak/>
        <w:t>die data sluitend en onweerlegbaar worden aangeleverd door de eerstelijnszorg, worden ze door diezelfde instanties administratief ongeldig verklaard.</w:t>
      </w:r>
    </w:p>
    <w:p w14:paraId="130B7DFF" w14:textId="77777777" w:rsidR="00773516" w:rsidRDefault="00773516">
      <w:pPr>
        <w:divId w:val="104422712"/>
        <w:rPr>
          <w:color w:val="555555"/>
          <w:sz w:val="20"/>
          <w:szCs w:val="20"/>
          <w:lang w:val="nl-NL"/>
        </w:rPr>
      </w:pPr>
      <w:r>
        <w:rPr>
          <w:color w:val="555555"/>
          <w:sz w:val="20"/>
          <w:szCs w:val="20"/>
          <w:lang w:val="nl-NL"/>
        </w:rPr>
        <w:t>*1* De Functionele Mogelijkhedenlijst (FML), het formele beoordelingsinstrument dat door de Nederlandse uitkeringsinstantie (UWV) wordt gebruikt om de fysieke en mentale belastbaarheid in kaart te brengen.</w:t>
      </w:r>
    </w:p>
    <w:p w14:paraId="239729B4" w14:textId="77777777" w:rsidR="00773516" w:rsidRDefault="00773516">
      <w:pPr>
        <w:pStyle w:val="marker"/>
        <w:ind w:left="800" w:right="800"/>
        <w:divId w:val="1477067237"/>
        <w:rPr>
          <w:lang w:val="nl-NL"/>
        </w:rPr>
      </w:pPr>
      <w:r>
        <w:br w:type="page"/>
      </w:r>
    </w:p>
    <w:p w14:paraId="3D01F810" w14:textId="77777777" w:rsidR="00773516" w:rsidRDefault="00773516">
      <w:pPr>
        <w:pStyle w:val="Kop3"/>
        <w:divId w:val="1477067237"/>
        <w:rPr>
          <w:rFonts w:eastAsia="Times New Roman"/>
          <w:lang w:val="nl-NL"/>
        </w:rPr>
      </w:pPr>
      <w:bookmarkStart w:id="4" w:name="_Toc242189431"/>
      <w:r>
        <w:rPr>
          <w:rFonts w:eastAsia="Times New Roman"/>
          <w:lang w:val="nl-NL"/>
        </w:rPr>
        <w:t>ONAFHANKELIJKE EXPERTS (BE)</w:t>
      </w:r>
      <w:bookmarkEnd w:id="4"/>
    </w:p>
    <w:p w14:paraId="0F964B71" w14:textId="77777777" w:rsidR="00773516" w:rsidRDefault="00773516">
      <w:pPr>
        <w:pStyle w:val="subtitel"/>
        <w:divId w:val="1477067237"/>
        <w:rPr>
          <w:lang w:val="nl-NL"/>
        </w:rPr>
      </w:pPr>
      <w:r>
        <w:rPr>
          <w:lang w:val="nl-NL"/>
        </w:rPr>
        <w:t>Private Radiostilte en het Falen van Externe Validatie</w:t>
      </w:r>
    </w:p>
    <w:p w14:paraId="13D8E86C" w14:textId="77777777" w:rsidR="00773516" w:rsidRDefault="00773516">
      <w:pPr>
        <w:pStyle w:val="Normaalweb"/>
        <w:divId w:val="1477067237"/>
        <w:rPr>
          <w:lang w:val="nl-NL"/>
        </w:rPr>
      </w:pPr>
      <w:r>
        <w:rPr>
          <w:lang w:val="nl-NL"/>
        </w:rPr>
        <w:t>Wanneer zowel de ziekenhuissilo's als de toezichthoudende instanties weigeren om de versnipperde medische realiteit tot één afdwingbaar administratief geheel te smeden, ontstaat de noodzaak voor externe arbitrage. In het voorjaar van 2026 wordt een gerichte poging ondernomen om dit vacuüm te vullen via de private expertise-markt. Diverse onafhankelijke geneesheren-specialisten worden gecontacteerd met het verzoek om een overkoepelende, fysieke audit uit te voeren van de actuele belastbaarheid en zelfredzaam</w:t>
      </w:r>
      <w:r>
        <w:rPr>
          <w:lang w:val="nl-NL"/>
        </w:rPr>
        <w:t>heid. Het doel is het creëren van een onweerlegbare medische nulmeting die als universeel referentiekader kan dienen voor zowel de Belgische als de Nederlandse beoordelingssystemen.</w:t>
      </w:r>
    </w:p>
    <w:p w14:paraId="03593DD2" w14:textId="77777777" w:rsidR="00773516" w:rsidRDefault="00773516">
      <w:pPr>
        <w:pStyle w:val="Normaalweb"/>
        <w:divId w:val="1477067237"/>
        <w:rPr>
          <w:lang w:val="nl-NL"/>
        </w:rPr>
      </w:pPr>
      <w:r>
        <w:rPr>
          <w:lang w:val="nl-NL"/>
        </w:rPr>
        <w:t>Deze private keuringsartsen opereren echter als volledig losgekoppelde eenheden. Zij zijn niet geïntegreerd in de nationale of grensoverschrijdende digitale gezondheidsnetwerken *1*, waardoor zij geen automatische toegang hebben tot de historische bewijslast. Wanneer zij via rechtstreekse kanalen worden geconfronteerd met het verzoek om een grensoverschrijdend, systemisch vastgelopen dossier te objectiveren, is de respons unaniem: een absolute radiostilte. Ondanks de aantoonbare aflevering van de digitale v</w:t>
      </w:r>
      <w:r>
        <w:rPr>
          <w:lang w:val="nl-NL"/>
        </w:rPr>
        <w:t>erzoeken, reageert geen enkele aangeschreven expert op de vraag naar medische arbitrage.</w:t>
      </w:r>
    </w:p>
    <w:p w14:paraId="11A558D0" w14:textId="77777777" w:rsidR="00773516" w:rsidRDefault="00773516">
      <w:pPr>
        <w:pStyle w:val="Normaalweb"/>
        <w:divId w:val="1477067237"/>
        <w:rPr>
          <w:lang w:val="nl-NL"/>
        </w:rPr>
      </w:pPr>
      <w:r>
        <w:rPr>
          <w:lang w:val="nl-NL"/>
        </w:rPr>
        <w:t>Deze collectieve weigering objectiveert een leemte in de beschermingsarchitectuur. Het systeem eist van de burger onafhankelijke en gestructureerde medische bewijzen om uitkerings- en fiscale rechten te kunnen ontsluiten, maar de private markt die deze bewijzen zou moeten leveren, trekt zich bij complexe transnationale frictie volledig terug. Hierdoor faalt de route van onafhankelijke macro-expertise fundamenteel. Het dwingt de patiënt om voor de noodzakelijke, overkoepelende attestering *2* alsnog terug te</w:t>
      </w:r>
      <w:r>
        <w:rPr>
          <w:lang w:val="nl-NL"/>
        </w:rPr>
        <w:t xml:space="preserve"> vallen op de reguliere eerstelijnszorg, die daarmee een verantwoordelijkheid op zich moet nemen die de gespecialiseerde private sector weigert te dragen.</w:t>
      </w:r>
    </w:p>
    <w:p w14:paraId="0F4CEDE5" w14:textId="77777777" w:rsidR="00773516" w:rsidRDefault="00773516">
      <w:pPr>
        <w:divId w:val="1288438982"/>
        <w:rPr>
          <w:color w:val="555555"/>
          <w:sz w:val="20"/>
          <w:szCs w:val="20"/>
          <w:lang w:val="nl-NL"/>
        </w:rPr>
      </w:pPr>
      <w:r>
        <w:rPr>
          <w:color w:val="555555"/>
          <w:sz w:val="20"/>
          <w:szCs w:val="20"/>
          <w:lang w:val="nl-NL"/>
        </w:rPr>
        <w:t>*1* Digitale uitwisselingsplatformen zoals eHealth, CoZo of Vitalink, waardoor hun beoordelingen ook niet automatisch zouden doorstromen naar overheden of ziekenfondsen.</w:t>
      </w:r>
    </w:p>
    <w:p w14:paraId="154F24DD" w14:textId="77777777" w:rsidR="00773516" w:rsidRDefault="00773516">
      <w:pPr>
        <w:divId w:val="1288438982"/>
        <w:rPr>
          <w:color w:val="555555"/>
          <w:sz w:val="20"/>
          <w:szCs w:val="20"/>
          <w:lang w:val="nl-NL"/>
        </w:rPr>
      </w:pPr>
      <w:r>
        <w:rPr>
          <w:color w:val="555555"/>
          <w:sz w:val="20"/>
          <w:szCs w:val="20"/>
          <w:lang w:val="nl-NL"/>
        </w:rPr>
        <w:t>*2* De formele attestering van permanente arbeidsongeschiktheid, die uiteindelijk door de vaste huisarts moest worden opgemaakt ter overbrugging van de administratieve leegte.</w:t>
      </w:r>
    </w:p>
    <w:p w14:paraId="7EB1DC34" w14:textId="77777777" w:rsidR="00773516" w:rsidRDefault="00773516">
      <w:pPr>
        <w:pStyle w:val="marker"/>
        <w:ind w:left="800" w:right="800"/>
        <w:divId w:val="1477067237"/>
        <w:rPr>
          <w:lang w:val="nl-NL"/>
        </w:rPr>
      </w:pPr>
      <w:r>
        <w:br w:type="page"/>
      </w:r>
    </w:p>
    <w:p w14:paraId="4DD6CCA4" w14:textId="77777777" w:rsidR="00773516" w:rsidRDefault="00773516">
      <w:pPr>
        <w:pStyle w:val="Kop3"/>
        <w:divId w:val="1477067237"/>
        <w:rPr>
          <w:rFonts w:eastAsia="Times New Roman"/>
          <w:lang w:val="nl-NL"/>
        </w:rPr>
      </w:pPr>
      <w:bookmarkStart w:id="5" w:name="_Toc242189432"/>
      <w:r>
        <w:rPr>
          <w:rFonts w:eastAsia="Times New Roman"/>
          <w:lang w:val="nl-NL"/>
        </w:rPr>
        <w:t>OOGARTSEN SINT-NIKLAAS</w:t>
      </w:r>
      <w:bookmarkEnd w:id="5"/>
    </w:p>
    <w:p w14:paraId="44757B68" w14:textId="77777777" w:rsidR="00773516" w:rsidRDefault="00773516">
      <w:pPr>
        <w:pStyle w:val="subtitel"/>
        <w:divId w:val="1477067237"/>
        <w:rPr>
          <w:lang w:val="nl-NL"/>
        </w:rPr>
      </w:pPr>
      <w:r>
        <w:rPr>
          <w:lang w:val="nl-NL"/>
        </w:rPr>
        <w:t>Private Isolatie en de Registratie van Context</w:t>
      </w:r>
    </w:p>
    <w:p w14:paraId="6A0C17BA" w14:textId="77777777" w:rsidR="00773516" w:rsidRDefault="00773516">
      <w:pPr>
        <w:pStyle w:val="Normaalweb"/>
        <w:divId w:val="1477067237"/>
        <w:rPr>
          <w:lang w:val="nl-NL"/>
        </w:rPr>
      </w:pPr>
      <w:r>
        <w:rPr>
          <w:lang w:val="nl-NL"/>
        </w:rPr>
        <w:t>Waar de academische en regionale ziekenhuizen nog opereren binnen een overkoepelende (zij het haperende) institutionele structuur, illustreert de specialistische privépraktijk de gevaren van een volledig geïsoleerde medische satelliet. Deze private oogheelkundige lijn wordt in de zomer van 2025 ingeschakeld voor de noodzakelijke nabehandeling van een vitrectomie en het toedienen van invasieve intraoculaire injecties om verdere weefselafbraak te vertragen. De praktijk functioneert echter buiten elke vorm van</w:t>
      </w:r>
      <w:r>
        <w:rPr>
          <w:lang w:val="nl-NL"/>
        </w:rPr>
        <w:t xml:space="preserve"> digitale netwerkintegratie. Er is geen enkele koppeling met de nationale eHealth-knooppunten of collaboratieve platformen. De patiënt wordt hierdoor gereduceerd tot een analoge datadrager, die zijn eigen ruwe klinische verslagen fysiek moet opvragen om deze in de netwerken van buitenlandse verzekeraars en federale overheden te injecteren.</w:t>
      </w:r>
    </w:p>
    <w:p w14:paraId="6CF71754" w14:textId="77777777" w:rsidR="00773516" w:rsidRDefault="00773516">
      <w:pPr>
        <w:pStyle w:val="Normaalweb"/>
        <w:divId w:val="1477067237"/>
        <w:rPr>
          <w:lang w:val="nl-NL"/>
        </w:rPr>
      </w:pPr>
      <w:r>
        <w:rPr>
          <w:lang w:val="nl-NL"/>
        </w:rPr>
        <w:t>De frictie in deze private schil wordt primair gedreven door een combinatie van financiële en logistieke uitsluiting. Omdat de patiënt door de Belgische ziekteverzekering administratief genegeerd wordt en de Nederlandse verzekeraar medisch grensvervoer weigert *1*, ontstaat er een onoverbrugbare drempel. De niet-geconventioneerde tarieven leiden tot een snelle financiële uitputting, resulterend in een verzamelfactuur van ruim veertienhonderd euro. Gecombineerd met het fysieke onvermogen om de praktijk te be</w:t>
      </w:r>
      <w:r>
        <w:rPr>
          <w:lang w:val="nl-NL"/>
        </w:rPr>
        <w:t>reiken door het falende mobiliteitsnetwerk, wordt de patiënt in het najaar van 2025 gedwongen om de kritieke medische behandelingen te staken. Dit is geen klinische keuze, maar het directe resultaat van systeemfalen en financiële drooglegging.</w:t>
      </w:r>
    </w:p>
    <w:p w14:paraId="5E46ECC5" w14:textId="77777777" w:rsidR="00773516" w:rsidRDefault="00773516">
      <w:pPr>
        <w:pStyle w:val="Normaalweb"/>
        <w:divId w:val="1477067237"/>
        <w:rPr>
          <w:lang w:val="nl-NL"/>
        </w:rPr>
      </w:pPr>
      <w:r>
        <w:rPr>
          <w:lang w:val="nl-NL"/>
        </w:rPr>
        <w:t>De ware bestuurlijke paradox manifesteert zich echter in de registratie van deze gebeurtenissen. Wanneer de ruwe data maanden later wordt opgevraagd ter staving van het dossier, blijkt de privépraktijk de context van de behandelstop eenzijdig te hebben gewist. De gedwongen staking wegens financiële en logistieke overmacht wordt in het klinisch rapport foutief geclassificeerd als een vrijwillige weigering van de patiënt. Deze registratie werkt als een tijdbom in het verdere administratieve traject: buitenlan</w:t>
      </w:r>
      <w:r>
        <w:rPr>
          <w:lang w:val="nl-NL"/>
        </w:rPr>
        <w:t>dse verzekeraars en keuringsinstanties gebruiken deze geregistreerde 'weigering' later als een legitiem argument om eigen verantwoordelijkheden af te wijzen. De institutionele patstelling wordt hierdoor geformaliseerd als een patiëntkeuze.</w:t>
      </w:r>
    </w:p>
    <w:p w14:paraId="61F63A20" w14:textId="77777777" w:rsidR="00773516" w:rsidRDefault="00773516">
      <w:pPr>
        <w:pStyle w:val="Normaalweb"/>
        <w:divId w:val="1477067237"/>
        <w:rPr>
          <w:lang w:val="nl-NL"/>
        </w:rPr>
      </w:pPr>
      <w:r>
        <w:rPr>
          <w:lang w:val="nl-NL"/>
        </w:rPr>
        <w:t>Bovendien weigert de praktijk, in lijn met de regionale eerste lijn, elke vorm van administratieve medewerking. Wanneer er een functionele doorvertaling van de objectieve zichtverlies-data wordt geëist voor de federale keuringsinstanties *2*, stelt het secretariaat zich onbevoegd op en levert uitsluitend de onvolledige, ruwe klinische notities. Deze opstelling bevestigt een terugkerend patroon binnen de geprivatiseerde medische schil: men is bereid tot het uitvoeren van dure, invasieve procedures, maar weig</w:t>
      </w:r>
      <w:r>
        <w:rPr>
          <w:lang w:val="nl-NL"/>
        </w:rPr>
        <w:t>ert de administratieve verantwoording te nemen die noodzakelijk is om de maatschappelijke en financiële overleving van de patiënt te borgen.</w:t>
      </w:r>
    </w:p>
    <w:p w14:paraId="3E20C16E" w14:textId="77777777" w:rsidR="00773516" w:rsidRDefault="00773516">
      <w:pPr>
        <w:divId w:val="898858491"/>
        <w:rPr>
          <w:color w:val="555555"/>
          <w:sz w:val="20"/>
          <w:szCs w:val="20"/>
          <w:lang w:val="nl-NL"/>
        </w:rPr>
      </w:pPr>
      <w:r>
        <w:rPr>
          <w:color w:val="555555"/>
          <w:sz w:val="20"/>
          <w:szCs w:val="20"/>
          <w:lang w:val="nl-NL"/>
        </w:rPr>
        <w:t xml:space="preserve">*1* De Nederlandse zorgverzekeraar eiste voor de goedkeuring van ziekenvervoer een specifiek gezichtsveldonderzoek (perimetrie), een diagnostische parameter die binnen </w:t>
      </w:r>
      <w:r>
        <w:rPr>
          <w:color w:val="555555"/>
          <w:sz w:val="20"/>
          <w:szCs w:val="20"/>
          <w:lang w:val="nl-NL"/>
        </w:rPr>
        <w:lastRenderedPageBreak/>
        <w:t>het protocol van de Belgische privépraktijk niet werd afgenomen, wat leidde tot een onoplosbare grensoverschrijdende patstelling.</w:t>
      </w:r>
    </w:p>
    <w:p w14:paraId="09A970B5" w14:textId="77777777" w:rsidR="00773516" w:rsidRDefault="00773516">
      <w:pPr>
        <w:divId w:val="898858491"/>
        <w:rPr>
          <w:color w:val="555555"/>
          <w:sz w:val="20"/>
          <w:szCs w:val="20"/>
          <w:lang w:val="nl-NL"/>
        </w:rPr>
      </w:pPr>
      <w:r>
        <w:rPr>
          <w:color w:val="555555"/>
          <w:sz w:val="20"/>
          <w:szCs w:val="20"/>
          <w:lang w:val="nl-NL"/>
        </w:rPr>
        <w:t>*2* Ten behoeve van de aanvraag voor een erkenning van ten minste 66% invaliditeit bij de bevoegde Belgische federale overheidsdienst.</w:t>
      </w:r>
    </w:p>
    <w:p w14:paraId="754AA008" w14:textId="77777777" w:rsidR="00773516" w:rsidRDefault="00773516">
      <w:pPr>
        <w:pStyle w:val="marker"/>
        <w:ind w:left="800" w:right="800"/>
        <w:divId w:val="1477067237"/>
        <w:rPr>
          <w:lang w:val="nl-NL"/>
        </w:rPr>
      </w:pPr>
      <w:r>
        <w:br w:type="page"/>
      </w:r>
    </w:p>
    <w:p w14:paraId="1DE073E5" w14:textId="77777777" w:rsidR="00773516" w:rsidRDefault="00773516">
      <w:pPr>
        <w:pStyle w:val="Kop3"/>
        <w:divId w:val="1477067237"/>
        <w:rPr>
          <w:rFonts w:eastAsia="Times New Roman"/>
          <w:lang w:val="nl-NL"/>
        </w:rPr>
      </w:pPr>
      <w:bookmarkStart w:id="6" w:name="_Toc242189433"/>
      <w:r>
        <w:rPr>
          <w:rFonts w:eastAsia="Times New Roman"/>
          <w:lang w:val="nl-NL"/>
        </w:rPr>
        <w:t>UZ GENT</w:t>
      </w:r>
      <w:bookmarkEnd w:id="6"/>
    </w:p>
    <w:p w14:paraId="46CADBED" w14:textId="77777777" w:rsidR="00773516" w:rsidRDefault="00773516">
      <w:pPr>
        <w:pStyle w:val="subtitel"/>
        <w:divId w:val="1477067237"/>
        <w:rPr>
          <w:lang w:val="nl-NL"/>
        </w:rPr>
      </w:pPr>
      <w:r>
        <w:rPr>
          <w:lang w:val="nl-NL"/>
        </w:rPr>
        <w:t>De Academische Overkoepeling en Protocollaire Frictie</w:t>
      </w:r>
    </w:p>
    <w:p w14:paraId="6F63F4BA" w14:textId="77777777" w:rsidR="00773516" w:rsidRDefault="00773516">
      <w:pPr>
        <w:pStyle w:val="Normaalweb"/>
        <w:divId w:val="1477067237"/>
        <w:rPr>
          <w:lang w:val="nl-NL"/>
        </w:rPr>
      </w:pPr>
      <w:r>
        <w:rPr>
          <w:lang w:val="nl-NL"/>
        </w:rPr>
        <w:t>Als direct gevolg van de administratieve verlamming op het regionale niveau, verschuift het zwaartepunt van het dossier in het voorjaar van 2026 naar de academische tweede lijn. Dit universitair ziekenhuis wordt ingeschakeld om de gefragmenteerde en geïsoleerde medische realiteit te consolideren. Anders dan de perifere eilandcultuur hanteert deze instelling een multidisciplinaire aanpak, waarbij endocrinologie, gespecialiseerde wondzorg en oogheelkunde digitaal worden verweven. De opgebouwde data blijft hie</w:t>
      </w:r>
      <w:r>
        <w:rPr>
          <w:lang w:val="nl-NL"/>
        </w:rPr>
        <w:t>r niet opgesloten in een interne silo, maar stroomt via de gekoppelde eHealth-platformen *1* direct door naar het centrale nationale netwerk. De patiënt verliest hierdoor zijn onbedoelde rol als handmatige data-koerier, aangezien de klinische feiten — zoals pathologische weefselschade en nierfalen — onweerlegbaar en real-time zichtbaar worden voor de toezichthoudende overheden.</w:t>
      </w:r>
    </w:p>
    <w:p w14:paraId="68B07768" w14:textId="77777777" w:rsidR="00773516" w:rsidRDefault="00773516">
      <w:pPr>
        <w:pStyle w:val="Normaalweb"/>
        <w:divId w:val="1477067237"/>
        <w:rPr>
          <w:lang w:val="nl-NL"/>
        </w:rPr>
      </w:pPr>
      <w:r>
        <w:rPr>
          <w:lang w:val="nl-NL"/>
        </w:rPr>
        <w:t>Toch botst ook deze hoogwaardige academische infrastructuur vrijwel onmiddellijk op de realiteit van de grens. De frictie ontstaat hier niet door onwil, maar door incompatibele nationale protocollen. Wanneer er acute, invasieve injecties in de oogbol noodzakelijk blijken ter bestrijding van verdere weefselafbraak, weigert de buitenlandse zorgverzekeraar in het woonland de logistieke ondersteuning (zittend ziekenvervoer) te vergoeden. Deze weigering is strikt gebaseerd op het ontbreken van een specifiek gezi</w:t>
      </w:r>
      <w:r>
        <w:rPr>
          <w:lang w:val="nl-NL"/>
        </w:rPr>
        <w:t>chtsveldonderzoek *2*, een administratief controle-instrument dat binnen de klinische protocollen van het Belgische academische ziekenhuis niet standaard wordt uitgevoerd voor deze aandoening. De grensarbeider raakt hierdoor logistiek bekneld in een vacuüm tussen twee systemen die elkaars medische standaarden en bewijslasten niet wederzijds erkennen.</w:t>
      </w:r>
    </w:p>
    <w:p w14:paraId="54E1CA17" w14:textId="77777777" w:rsidR="00773516" w:rsidRDefault="00773516">
      <w:pPr>
        <w:pStyle w:val="Normaalweb"/>
        <w:divId w:val="1477067237"/>
        <w:rPr>
          <w:lang w:val="nl-NL"/>
        </w:rPr>
      </w:pPr>
      <w:r>
        <w:rPr>
          <w:lang w:val="nl-NL"/>
        </w:rPr>
        <w:t>Naast de grensoverschrijdende botsingen openbaren zich ook binnen de instelling zelf aanhoudende systeemfouten, veelal gedreven door strikte parameters in de software. Zo wordt een specifieke diabetische behandelconventie initieel geblokkeerd puur op basis van de buitenlandse domiciliëring van de patiënt, wat dwingt tot handmatige correcties om de toegang tot zorg te herstellen. Een fundamenteler breekpunt is de algoritmische categorisering van de aandoening. Een objectieve laboratoriummeting *3* bewijst de</w:t>
      </w:r>
      <w:r>
        <w:rPr>
          <w:lang w:val="nl-NL"/>
        </w:rPr>
        <w:t xml:space="preserve">finitief dat de alvleesklier niet bezwijkt onder een auto-immuunziekte, maar onder systematische overbelasting. In plaats van deze data te gebruiken voor medisch maatwerk, grijpt het administratieve systeem in: het dossier wordt onherroepelijk vastgeklikt in een strikte, gedegradeerde classificatie *4*. Dit algoritme negeert de ernst van de reeds opgelopen amputaties en orgaanschade volledig, en blokkeert de vergoeding van geavanceerde sensortechnologie simpelweg omdat het toegekende label niet past bij de </w:t>
      </w:r>
      <w:r>
        <w:rPr>
          <w:lang w:val="nl-NL"/>
        </w:rPr>
        <w:t>administratieve polisvoorwaarden.</w:t>
      </w:r>
    </w:p>
    <w:p w14:paraId="7512B11D" w14:textId="77777777" w:rsidR="00773516" w:rsidRDefault="00773516">
      <w:pPr>
        <w:pStyle w:val="Normaalweb"/>
        <w:divId w:val="1477067237"/>
        <w:rPr>
          <w:lang w:val="nl-NL"/>
        </w:rPr>
      </w:pPr>
      <w:r>
        <w:rPr>
          <w:lang w:val="nl-NL"/>
        </w:rPr>
        <w:t>Het cruciale en doorslaggevende verschil met de eerste lijn is echter de actieve bereidheid tot administratieve vertaling. Waar eerdere actoren weigerden de klinische feiten te converteren naar maatschappelijk bruikbare documenten, levert de academische structuur deze onmisbare sleutel wél. De specialisten produceren sluitende getuigschriften en vullen de complexe, vormstrenge documenten in *5* die de federale overheid eist. Hiermee objectiveren zij niet alleen de fysieke defecten, maar vertalen zij deze ac</w:t>
      </w:r>
      <w:r>
        <w:rPr>
          <w:lang w:val="nl-NL"/>
        </w:rPr>
        <w:t>tief naar een blijvende verstoring van de biomechanica en een permanent verlies van zelfredzaamheid. Deze academische bekrachtiging doorbreekt de initiële patstelling, levert de forensische bewijslast die nodig is om de overheden in beweging te dwingen, en legt het fundament voor de escalatie naar de uitvoerende en controlerende instanties verderop in het netwerk.</w:t>
      </w:r>
    </w:p>
    <w:p w14:paraId="6921A0CA" w14:textId="77777777" w:rsidR="00773516" w:rsidRDefault="00773516">
      <w:pPr>
        <w:divId w:val="603810839"/>
        <w:rPr>
          <w:color w:val="555555"/>
          <w:sz w:val="20"/>
          <w:szCs w:val="20"/>
          <w:lang w:val="nl-NL"/>
        </w:rPr>
      </w:pPr>
      <w:r>
        <w:rPr>
          <w:color w:val="555555"/>
          <w:sz w:val="20"/>
          <w:szCs w:val="20"/>
          <w:lang w:val="nl-NL"/>
        </w:rPr>
        <w:t>*1* De collaboratieve zorgplatformen (zoals CoZo en Vitalink) die medische gegevens uitwisselen over Belgische zorgverleners heen.</w:t>
      </w:r>
    </w:p>
    <w:p w14:paraId="4A225DF1" w14:textId="77777777" w:rsidR="00773516" w:rsidRDefault="00773516">
      <w:pPr>
        <w:divId w:val="603810839"/>
        <w:rPr>
          <w:color w:val="555555"/>
          <w:sz w:val="20"/>
          <w:szCs w:val="20"/>
          <w:lang w:val="nl-NL"/>
        </w:rPr>
      </w:pPr>
      <w:r>
        <w:rPr>
          <w:color w:val="555555"/>
          <w:sz w:val="20"/>
          <w:szCs w:val="20"/>
          <w:lang w:val="nl-NL"/>
        </w:rPr>
        <w:t>*2* De perimetrie-eis, dwingend opgelegd door de Nederlandse zorgverzekeraar (CZ) als voorwaarde voor mobiliteitsvergoeding.</w:t>
      </w:r>
    </w:p>
    <w:p w14:paraId="237ACA5B" w14:textId="77777777" w:rsidR="00773516" w:rsidRDefault="00773516">
      <w:pPr>
        <w:divId w:val="603810839"/>
        <w:rPr>
          <w:color w:val="555555"/>
          <w:sz w:val="20"/>
          <w:szCs w:val="20"/>
          <w:lang w:val="nl-NL"/>
        </w:rPr>
      </w:pPr>
      <w:r>
        <w:rPr>
          <w:color w:val="555555"/>
          <w:sz w:val="20"/>
          <w:szCs w:val="20"/>
          <w:lang w:val="nl-NL"/>
        </w:rPr>
        <w:t>*3* Een negatieve anti-GAD bloedanalyse (&lt;1.0 IU/mL).</w:t>
      </w:r>
    </w:p>
    <w:p w14:paraId="38B1DCCD" w14:textId="77777777" w:rsidR="00773516" w:rsidRDefault="00773516">
      <w:pPr>
        <w:divId w:val="603810839"/>
        <w:rPr>
          <w:color w:val="555555"/>
          <w:sz w:val="20"/>
          <w:szCs w:val="20"/>
          <w:lang w:val="nl-NL"/>
        </w:rPr>
      </w:pPr>
      <w:r>
        <w:rPr>
          <w:color w:val="555555"/>
          <w:sz w:val="20"/>
          <w:szCs w:val="20"/>
          <w:lang w:val="nl-NL"/>
        </w:rPr>
        <w:t>*4* De formele administratieve classificatie 'Diabetes Type 2', waaraan inferieure terugbetalingsrechten voor continue glucosemeting (CGM) zijn gekoppeld, onafhankelijk van de werkelijke fysiologische schade.</w:t>
      </w:r>
    </w:p>
    <w:p w14:paraId="1A7072DA" w14:textId="77777777" w:rsidR="00773516" w:rsidRDefault="00773516">
      <w:pPr>
        <w:divId w:val="603810839"/>
        <w:rPr>
          <w:color w:val="555555"/>
          <w:sz w:val="20"/>
          <w:szCs w:val="20"/>
          <w:lang w:val="nl-NL"/>
        </w:rPr>
      </w:pPr>
      <w:r>
        <w:rPr>
          <w:color w:val="555555"/>
          <w:sz w:val="20"/>
          <w:szCs w:val="20"/>
          <w:lang w:val="nl-NL"/>
        </w:rPr>
        <w:t>*5* Waaronder 'Formulier 5' (het verplichte gezichtsonderzoek) bestemd voor de Federale Overheidsdienst Sociale Zekerheid (FOD SZ).</w:t>
      </w:r>
    </w:p>
    <w:p w14:paraId="188C217A" w14:textId="77777777" w:rsidR="00773516" w:rsidRDefault="00773516">
      <w:pPr>
        <w:pStyle w:val="marker"/>
        <w:ind w:left="800" w:right="800"/>
        <w:divId w:val="1477067237"/>
        <w:rPr>
          <w:lang w:val="nl-NL"/>
        </w:rPr>
      </w:pPr>
      <w:r>
        <w:br w:type="page"/>
      </w:r>
    </w:p>
    <w:p w14:paraId="0B03806B" w14:textId="77777777" w:rsidR="00773516" w:rsidRDefault="00773516">
      <w:pPr>
        <w:pStyle w:val="Kop3"/>
        <w:divId w:val="1477067237"/>
        <w:rPr>
          <w:rFonts w:eastAsia="Times New Roman"/>
          <w:lang w:val="nl-NL"/>
        </w:rPr>
      </w:pPr>
      <w:bookmarkStart w:id="7" w:name="_Toc242189434"/>
      <w:r>
        <w:rPr>
          <w:rFonts w:eastAsia="Times New Roman"/>
          <w:lang w:val="nl-NL"/>
        </w:rPr>
        <w:t>VITAZ</w:t>
      </w:r>
      <w:bookmarkEnd w:id="7"/>
    </w:p>
    <w:p w14:paraId="20624424" w14:textId="77777777" w:rsidR="00773516" w:rsidRDefault="00773516">
      <w:pPr>
        <w:pStyle w:val="subtitel"/>
        <w:divId w:val="1477067237"/>
        <w:rPr>
          <w:lang w:val="nl-NL"/>
        </w:rPr>
      </w:pPr>
      <w:r>
        <w:rPr>
          <w:lang w:val="nl-NL"/>
        </w:rPr>
        <w:t>De Fysieke Basis en het Administratieve Verzuim</w:t>
      </w:r>
    </w:p>
    <w:p w14:paraId="74DCE68D" w14:textId="77777777" w:rsidR="00773516" w:rsidRDefault="00773516">
      <w:pPr>
        <w:pStyle w:val="Normaalweb"/>
        <w:divId w:val="1477067237"/>
        <w:rPr>
          <w:lang w:val="nl-NL"/>
        </w:rPr>
      </w:pPr>
      <w:r>
        <w:rPr>
          <w:lang w:val="nl-NL"/>
        </w:rPr>
        <w:t>Binnen het grensoverschrijdende netwerk functioneert deze regionale ziekenhuisinstelling als het primaire fysieke knooppunt. In het voorjaar van 2025 start hier de medische basis van het dossier met een acute spoedopname. Een zware verstoring van de stofwisseling leidt tot onomkeerbare weefselschade, wat meerdere chirurgische ingrepen noodzaakt. Er volgen amputaties aan de rechtervoet, huidtransplantaties, uitgebreide wondzorg en latere invasieve operaties om naderende blindheid te voorkomen. Deze intensiev</w:t>
      </w:r>
      <w:r>
        <w:rPr>
          <w:lang w:val="nl-NL"/>
        </w:rPr>
        <w:t>e zorgcyclus produceert een aanzienlijke hoeveelheid klinische en objectieve data over de fysieke toestand van de patiënt.</w:t>
      </w:r>
    </w:p>
    <w:p w14:paraId="5985A861" w14:textId="77777777" w:rsidR="00773516" w:rsidRDefault="00773516">
      <w:pPr>
        <w:pStyle w:val="Normaalweb"/>
        <w:divId w:val="1477067237"/>
        <w:rPr>
          <w:lang w:val="nl-NL"/>
        </w:rPr>
      </w:pPr>
      <w:r>
        <w:rPr>
          <w:lang w:val="nl-NL"/>
        </w:rPr>
        <w:t>De werking van dit ziekenhuis legt een scherp contrast bloot tussen de medische en de administratieve realiteit. Hoewel alle verslagen, scans en bloedwaarden accuraat worden vastgelegd binnen het gesloten datasysteem van het ziekenhuis, blijven deze gegevens geïsoleerd. Er is geen sprake van een automatische doorstroom naar de systemen van de buitenwereld, zoals het Belgische ziekenfonds, de Nederlandse zorgverzekeraar of de keuringsinstanties voor arbeidsongeschiktheid. De facturatie voor de geleverde zorg</w:t>
      </w:r>
      <w:r>
        <w:rPr>
          <w:lang w:val="nl-NL"/>
        </w:rPr>
        <w:t xml:space="preserve"> verloopt soepel via de Belgische ziekteverzekering, wat de behandelingen in financiële zin legitimeert, maar de inhoudelijke medische kennis verlaat de muren van de instelling niet.</w:t>
      </w:r>
    </w:p>
    <w:p w14:paraId="7799867F" w14:textId="77777777" w:rsidR="00773516" w:rsidRDefault="00773516">
      <w:pPr>
        <w:pStyle w:val="Normaalweb"/>
        <w:divId w:val="1477067237"/>
        <w:rPr>
          <w:lang w:val="nl-NL"/>
        </w:rPr>
      </w:pPr>
      <w:r>
        <w:rPr>
          <w:lang w:val="nl-NL"/>
        </w:rPr>
        <w:t>De structurele breuklijn in het systeem ontstaat wanneer de medische feiten administratief vertaald moeten worden. Uitvoeringsinstanties in zowel België als Nederland accepteren geen ruwe, ongestructureerde ziekenhuisdata; zij eisen specifieke syntheseverslagen en ingevulde formulieren van de behandelend specialist om maatschappelijke rechten — zoals een uitkering of grensvervoer — te kunnen toekennen. Wanneer hier in de lente van 2026 dwingend om wordt verzocht, weigert de gespecialiseerde tweede lijn echt</w:t>
      </w:r>
      <w:r>
        <w:rPr>
          <w:lang w:val="nl-NL"/>
        </w:rPr>
        <w:t>er haar medewerking. Via het secretariaat wordt meegedeeld dat men de situatie, ondanks de gedocumenteerde amputaties en aanhoudende fysieke uitval, administratief niet als een ernstige ziekte classificeert. De vereiste overkoepelende papieren worden niet ingevuld.</w:t>
      </w:r>
    </w:p>
    <w:p w14:paraId="57C9C09A" w14:textId="77777777" w:rsidR="00773516" w:rsidRDefault="00773516">
      <w:pPr>
        <w:pStyle w:val="Normaalweb"/>
        <w:divId w:val="1477067237"/>
        <w:rPr>
          <w:lang w:val="nl-NL"/>
        </w:rPr>
      </w:pPr>
      <w:r>
        <w:rPr>
          <w:lang w:val="nl-NL"/>
        </w:rPr>
        <w:t>Hier manifesteert zich de fundamentele paradox van dit knooppunt. Het ziekenhuis presteert optimaal in het fysiek herstellen van de mens, maar laat na het instrument te leveren waarmee deze mens zich in de samenleving kan handhaven. Door de weigering om een administratieve vertaling te maken, valt de brug tussen de zorgverlener en de overheid definitief weg. Het gevolg is dat de patiënt zelf als handmatige data-koerier moet optreden en losse verslagen over de grens moet dragen in een vergeefse poging om vas</w:t>
      </w:r>
      <w:r>
        <w:rPr>
          <w:lang w:val="nl-NL"/>
        </w:rPr>
        <w:t>tgelopen overheidssystemen met elkaar te verbinden *1*. Deze eilandcultuur van de eerste lijn vormt de basis voor de kettingreactie van weigeringen die zich in een latere fase bij de verzekeraars en overheidsdiensten voltrekt.</w:t>
      </w:r>
    </w:p>
    <w:p w14:paraId="71EEC78F" w14:textId="77777777" w:rsidR="00773516" w:rsidRDefault="00773516">
      <w:pPr>
        <w:divId w:val="1390104944"/>
        <w:rPr>
          <w:color w:val="555555"/>
          <w:sz w:val="20"/>
          <w:szCs w:val="20"/>
          <w:lang w:val="nl-NL"/>
        </w:rPr>
      </w:pPr>
      <w:r>
        <w:rPr>
          <w:color w:val="555555"/>
          <w:sz w:val="20"/>
          <w:szCs w:val="20"/>
          <w:lang w:val="nl-NL"/>
        </w:rPr>
        <w:t>*1* Conform de uitgangspunten van de Europese verordening inzake de coördinatie van de socialezekerheidsstelsels (Verordening (EG) nr. 883/2004) wordt gestreefd naar een naadloze gegevensuitwisseling tussen lidstaten, waarbij de burger niet als administratief doorgeefluik tussen instanties mag worden belast.</w:t>
      </w:r>
    </w:p>
    <w:p w14:paraId="6C97E7A9" w14:textId="77777777" w:rsidR="00773516" w:rsidRDefault="00773516">
      <w:pPr>
        <w:pStyle w:val="marker"/>
        <w:ind w:left="800" w:right="800"/>
        <w:divId w:val="1477067237"/>
        <w:rPr>
          <w:lang w:val="nl-NL"/>
        </w:rPr>
      </w:pPr>
      <w:r>
        <w:br w:type="page"/>
      </w:r>
    </w:p>
    <w:p w14:paraId="451DAF3A" w14:textId="77777777" w:rsidR="00773516" w:rsidRDefault="00773516">
      <w:pPr>
        <w:pStyle w:val="Kop2"/>
        <w:divId w:val="1477067237"/>
        <w:rPr>
          <w:rFonts w:eastAsia="Times New Roman"/>
          <w:lang w:val="nl-NL"/>
        </w:rPr>
      </w:pPr>
      <w:bookmarkStart w:id="8" w:name="_Toc242189435"/>
      <w:r>
        <w:rPr>
          <w:rFonts w:eastAsia="Times New Roman"/>
          <w:lang w:val="nl-NL"/>
        </w:rPr>
        <w:t>Financiën, Rechten &amp; Sociale Zekerheid</w:t>
      </w:r>
      <w:bookmarkEnd w:id="8"/>
    </w:p>
    <w:p w14:paraId="1ED82E19" w14:textId="77777777" w:rsidR="00773516" w:rsidRDefault="00773516">
      <w:pPr>
        <w:pStyle w:val="Kop3"/>
        <w:divId w:val="1477067237"/>
        <w:rPr>
          <w:rFonts w:eastAsia="Times New Roman"/>
          <w:lang w:val="nl-NL"/>
        </w:rPr>
      </w:pPr>
      <w:bookmarkStart w:id="9" w:name="_Toc242189436"/>
      <w:r>
        <w:rPr>
          <w:rFonts w:eastAsia="Times New Roman"/>
          <w:lang w:val="nl-NL"/>
        </w:rPr>
        <w:t>ALGEMENE CHRISTELIJKE VAKBOND (ACV)</w:t>
      </w:r>
      <w:bookmarkEnd w:id="9"/>
    </w:p>
    <w:p w14:paraId="666D2961" w14:textId="77777777" w:rsidR="00773516" w:rsidRDefault="00773516">
      <w:pPr>
        <w:pStyle w:val="subtitel"/>
        <w:divId w:val="1477067237"/>
        <w:rPr>
          <w:lang w:val="nl-NL"/>
        </w:rPr>
      </w:pPr>
      <w:r>
        <w:rPr>
          <w:lang w:val="nl-NL"/>
        </w:rPr>
        <w:t>De Solidaire Grens en het Lidmaatschapsvacuüm</w:t>
      </w:r>
    </w:p>
    <w:p w14:paraId="04D96634" w14:textId="77777777" w:rsidR="00773516" w:rsidRDefault="00773516">
      <w:pPr>
        <w:pStyle w:val="Normaalweb"/>
        <w:divId w:val="1477067237"/>
        <w:rPr>
          <w:lang w:val="nl-NL"/>
        </w:rPr>
      </w:pPr>
      <w:r>
        <w:rPr>
          <w:lang w:val="nl-NL"/>
        </w:rPr>
        <w:t>Naast de reguliere overheidsdiensten kent het sociaal systeem ook particuliere beschermingsconstructies, waarvan de vakbond de grootste is. In de lente van 2026, wanneer de financiële uitputting door de blokkade bij het ziekenfonds (de CM) een kritiek punt bereikt, wordt een interne noodkreet uitgestuurd. Deze escalatie verloopt via de partner van de patiënt, die zelf niet alleen betalend lid is, maar bovendien functioneert als vakbondsafgevaardigde in het onderwijs *1*. Omdat het inkomen van het gezin en h</w:t>
      </w:r>
      <w:r>
        <w:rPr>
          <w:lang w:val="nl-NL"/>
        </w:rPr>
        <w:t>aar eigen fiscale rechten direct geraakt worden door de bestuurlijke impasse, roept zij de juridische bijstand van haar eigen organisatie in.</w:t>
      </w:r>
    </w:p>
    <w:p w14:paraId="233284F3" w14:textId="77777777" w:rsidR="00773516" w:rsidRDefault="00773516">
      <w:pPr>
        <w:pStyle w:val="Normaalweb"/>
        <w:divId w:val="1477067237"/>
        <w:rPr>
          <w:lang w:val="nl-NL"/>
        </w:rPr>
      </w:pPr>
      <w:r>
        <w:rPr>
          <w:lang w:val="nl-NL"/>
        </w:rPr>
        <w:t xml:space="preserve">De reactie van de vakbondscentrale legt een beperking in de georganiseerde solidariteit bloot. De juridische dienst erkent de systeemfout volmondig. Men bevestigt zwart-op-wit de administratieve scheiding tussen invaliditeit (beheerd door de CM) en de erkenning van een handicap (voor de fiscus). Toch weigert de vakbond om de eigen juridische macht in te zetten tegen het weigerende ziekenfonds. De formele rechtvaardiging hiervoor is flinterdun: de patiënt zélf heeft geen lidnummer. Dat het betalende lid (de </w:t>
      </w:r>
      <w:r>
        <w:rPr>
          <w:lang w:val="nl-NL"/>
        </w:rPr>
        <w:t>partner) zware financiële en administratieve nevenschade ondervindt door dit specifieke overheidsfalen, wordt genegeerd.</w:t>
      </w:r>
    </w:p>
    <w:p w14:paraId="6423309F" w14:textId="77777777" w:rsidR="00773516" w:rsidRDefault="00773516">
      <w:pPr>
        <w:pStyle w:val="Normaalweb"/>
        <w:divId w:val="1477067237"/>
        <w:rPr>
          <w:lang w:val="nl-NL"/>
        </w:rPr>
      </w:pPr>
      <w:r>
        <w:rPr>
          <w:lang w:val="nl-NL"/>
        </w:rPr>
        <w:t>Hierdoor openbaart zich een nieuwe institutionele muur. Een collectieve organisatie die is opgericht om werknemers te beschermen tegen systeemonrecht, herkent de grensoverschrijdende systeemparadox en begrijpt de juridische context van de Europese wetgeving. Desondanks kiest de organisatie ervoor om niet in te grijpen en plooit zij terug op een strikte, individuele lidmaatschapsregel. De bestuurlijke blokkade wordt erkend, maar de solidaire bescherming stopt abrupt bij de administratieve grens van het eigen</w:t>
      </w:r>
      <w:r>
        <w:rPr>
          <w:lang w:val="nl-NL"/>
        </w:rPr>
        <w:t xml:space="preserve"> ledenbestand.</w:t>
      </w:r>
    </w:p>
    <w:p w14:paraId="350D3581" w14:textId="77777777" w:rsidR="00773516" w:rsidRDefault="00773516">
      <w:pPr>
        <w:pStyle w:val="Normaalweb"/>
        <w:divId w:val="1477067237"/>
        <w:rPr>
          <w:lang w:val="nl-NL"/>
        </w:rPr>
      </w:pPr>
      <w:r>
        <w:rPr>
          <w:lang w:val="nl-NL"/>
        </w:rPr>
        <w:t>De scheiding tussen de juridische en de fiscale poot van dezelfde vakbond is tekenend. Waar de juridische dienst zich terugtrekt op de lidmaatschapsgrens, levert de fiscale dienst van het ACV Oost-Vlaanderen in september 2026 wél de praktische medewerking. Op 25 september 2026 controleert en dient de belastingservice de BNI-aangifte (aanslagjaar 2026) definitief in bij de FOD Financiën, inclusief de code invaliditeit voor de partner ten laste, het kind ten laste en twee attesten voor opvangkosten. Het berek</w:t>
      </w:r>
      <w:r>
        <w:rPr>
          <w:lang w:val="nl-NL"/>
        </w:rPr>
        <w:t>ende saldo bedraagt € 2.669,97 in het voordeel van het gezin.</w:t>
      </w:r>
    </w:p>
    <w:p w14:paraId="56CA655C" w14:textId="77777777" w:rsidR="00773516" w:rsidRDefault="00773516">
      <w:pPr>
        <w:divId w:val="1578973993"/>
        <w:rPr>
          <w:color w:val="555555"/>
          <w:sz w:val="20"/>
          <w:szCs w:val="20"/>
          <w:lang w:val="nl-NL"/>
        </w:rPr>
      </w:pPr>
      <w:r>
        <w:rPr>
          <w:color w:val="555555"/>
          <w:sz w:val="20"/>
          <w:szCs w:val="20"/>
          <w:lang w:val="nl-NL"/>
        </w:rPr>
        <w:t>*1* Aangesloten bij het Christelijk Onderwijzersverbond (COV), de onderwijscentrale van de overkoepelende vakbond ACV.</w:t>
      </w:r>
    </w:p>
    <w:p w14:paraId="6873B94C" w14:textId="77777777" w:rsidR="00773516" w:rsidRDefault="00773516">
      <w:pPr>
        <w:pStyle w:val="marker"/>
        <w:ind w:left="800" w:right="800"/>
        <w:divId w:val="1477067237"/>
        <w:rPr>
          <w:lang w:val="nl-NL"/>
        </w:rPr>
      </w:pPr>
      <w:r>
        <w:br w:type="page"/>
      </w:r>
    </w:p>
    <w:p w14:paraId="5895104A" w14:textId="77777777" w:rsidR="00773516" w:rsidRDefault="00773516">
      <w:pPr>
        <w:pStyle w:val="Kop3"/>
        <w:divId w:val="1477067237"/>
        <w:rPr>
          <w:rFonts w:eastAsia="Times New Roman"/>
          <w:lang w:val="nl-NL"/>
        </w:rPr>
      </w:pPr>
      <w:bookmarkStart w:id="10" w:name="_Toc242189437"/>
      <w:r>
        <w:rPr>
          <w:rFonts w:eastAsia="Times New Roman"/>
          <w:lang w:val="nl-NL"/>
        </w:rPr>
        <w:t>AGODI</w:t>
      </w:r>
      <w:bookmarkEnd w:id="10"/>
    </w:p>
    <w:p w14:paraId="699ECE22" w14:textId="77777777" w:rsidR="00773516" w:rsidRDefault="00773516">
      <w:pPr>
        <w:pStyle w:val="subtitel"/>
        <w:divId w:val="1477067237"/>
        <w:rPr>
          <w:lang w:val="nl-NL"/>
        </w:rPr>
      </w:pPr>
      <w:r>
        <w:rPr>
          <w:lang w:val="nl-NL"/>
        </w:rPr>
        <w:t>De Procedurele Afschuiving en de Grens van de Loonadministratie</w:t>
      </w:r>
    </w:p>
    <w:p w14:paraId="0C56D3BC" w14:textId="77777777" w:rsidR="00773516" w:rsidRDefault="00773516">
      <w:pPr>
        <w:pStyle w:val="Normaalweb"/>
        <w:divId w:val="1477067237"/>
        <w:rPr>
          <w:lang w:val="nl-NL"/>
        </w:rPr>
      </w:pPr>
      <w:r>
        <w:rPr>
          <w:lang w:val="nl-NL"/>
        </w:rPr>
        <w:t>Het Agentschap voor Onderwijsdiensten (AGODI) is binnen de Vlaamse overheid belast met de uitvoering van het onderwijsbeleid voor het basis- en secundair onderwijs. Het agentschap beheert de financiële dienstverlening aan circa 4.000 scholen, de personeelsdossiers van meer dan 180.000 personeelsleden, en verzorgt de salarisbetaling van ruim 200.000 onderwijsmedewerkers *1*. In het dossier van de grensarbeider raakt AGODI betrokken via de loonadministratie van de partner, die als leerkracht in het Vlaamse on</w:t>
      </w:r>
      <w:r>
        <w:rPr>
          <w:lang w:val="nl-NL"/>
        </w:rPr>
        <w:t>derwijs werkt. De frictie begint in maart 2026, wanneer de partner een retroactieve fiscale correctie aanvraagt op basis van het dubbelbelastingverdrag. AGODI weigert deze aanpassing omdat de fiscale fiches uit het verleden reeds zijn afgeleverd, en verklaart zich onbevoegd door te verwijzen naar de federale belastingdienst *2*.</w:t>
      </w:r>
    </w:p>
    <w:p w14:paraId="7A057D8E" w14:textId="77777777" w:rsidR="00773516" w:rsidRDefault="00773516">
      <w:pPr>
        <w:pStyle w:val="Normaalweb"/>
        <w:divId w:val="1477067237"/>
        <w:rPr>
          <w:lang w:val="nl-NL"/>
        </w:rPr>
      </w:pPr>
      <w:r>
        <w:rPr>
          <w:lang w:val="nl-NL"/>
        </w:rPr>
        <w:t>Een tweede en scherper conflict ontstaat in augustus 2026, wanneer de partner verzoekt om de fiscale status van 'partner ten laste met handicap' te registreren, gestaafd met een federaal attest van 8 punten. AGODI reageert in eerste instantie door een medisch-fiscale beoordeling te maken: men stelt dat het attest uitsluitend geldig is voor een parkeerkaart en dat voor de bedrijfsvoorheffing een drempel van 9 punten geldt *3*. Wanneer de patiënt vervolgens een sluitend medisch getuigschrift indient waaruit b</w:t>
      </w:r>
      <w:r>
        <w:rPr>
          <w:lang w:val="nl-NL"/>
        </w:rPr>
        <w:t>lijkt dat de partner blijvend invalide is voor minstens 66 procent en het verdienvermogen verminderd is tot een derde, draait AGODI het beleid om. De instantie stelt plots dat zij geen documenten hoeft in te zien, dat de school een elektronisch signaal moet sturen, en dat de eindcontrole bij de belastingdienst ligt *4*.</w:t>
      </w:r>
    </w:p>
    <w:p w14:paraId="3FAE9B82" w14:textId="77777777" w:rsidR="00773516" w:rsidRDefault="00773516">
      <w:pPr>
        <w:pStyle w:val="Normaalweb"/>
        <w:divId w:val="1477067237"/>
        <w:rPr>
          <w:lang w:val="nl-NL"/>
        </w:rPr>
      </w:pPr>
      <w:r>
        <w:rPr>
          <w:lang w:val="nl-NL"/>
        </w:rPr>
        <w:t xml:space="preserve">De administratieve afronding volgt op 25 september 2026, wanneer het schoolsecretariaat via het personeelssysteem Informat de wijziging van de fiscale toestand registreert. Met terugwerkende kracht vanaf 1 januari 2026 wordt vastgelegd dat de partner ten laste geen beroepsinkomsten heeft en als mindervalide staat geregistreerd. Wat eerder werd afgewezen op basis van een 9-punten-eis, is nu geregistreerd zodra de school het elektronische signaal heeft afgeleverd *5*. AGODI verschuift de verantwoordelijkheid </w:t>
      </w:r>
      <w:r>
        <w:rPr>
          <w:lang w:val="nl-NL"/>
        </w:rPr>
        <w:t>voor de inhoudelijke beoordeling naar de federale fiscus en de school, en trekt zich terug uit het dossier.</w:t>
      </w:r>
    </w:p>
    <w:p w14:paraId="2890ABDC" w14:textId="77777777" w:rsidR="00773516" w:rsidRDefault="00773516">
      <w:pPr>
        <w:divId w:val="735738675"/>
        <w:rPr>
          <w:color w:val="555555"/>
          <w:sz w:val="20"/>
          <w:szCs w:val="20"/>
          <w:lang w:val="nl-NL"/>
        </w:rPr>
      </w:pPr>
      <w:r>
        <w:rPr>
          <w:color w:val="555555"/>
          <w:sz w:val="20"/>
          <w:szCs w:val="20"/>
          <w:lang w:val="nl-NL"/>
        </w:rPr>
        <w:t>*1* *1* AGODI, 'Taken van AGODI', Vlaanderen.be: uitvoering onderwijsbeleid, financiële dienstverlening aan scholen, beheer personeelsdossiers.</w:t>
      </w:r>
    </w:p>
    <w:p w14:paraId="511DE466" w14:textId="77777777" w:rsidR="00773516" w:rsidRDefault="00773516">
      <w:pPr>
        <w:divId w:val="735738675"/>
        <w:rPr>
          <w:color w:val="555555"/>
          <w:sz w:val="20"/>
          <w:szCs w:val="20"/>
          <w:lang w:val="nl-NL"/>
        </w:rPr>
      </w:pPr>
      <w:r>
        <w:rPr>
          <w:color w:val="555555"/>
          <w:sz w:val="20"/>
          <w:szCs w:val="20"/>
          <w:lang w:val="nl-NL"/>
        </w:rPr>
        <w:t>*2* *2* Entry 25-03-2026: weigering retroactieve fiscale correctie wegens reeds afgeleverde fiscale fiches; verwijzing naar FOD Financiën.</w:t>
      </w:r>
    </w:p>
    <w:p w14:paraId="02CFEFDB" w14:textId="77777777" w:rsidR="00773516" w:rsidRDefault="00773516">
      <w:pPr>
        <w:divId w:val="735738675"/>
        <w:rPr>
          <w:color w:val="555555"/>
          <w:sz w:val="20"/>
          <w:szCs w:val="20"/>
          <w:lang w:val="nl-NL"/>
        </w:rPr>
      </w:pPr>
      <w:r>
        <w:rPr>
          <w:color w:val="555555"/>
          <w:sz w:val="20"/>
          <w:szCs w:val="20"/>
          <w:lang w:val="nl-NL"/>
        </w:rPr>
        <w:t>*3* *3* Entry 24-08-2026: AGODI stelt dat het attest van 8 punten enkel geldig is voor een parkeerkaart en dat 9 punten vereist zijn voor fiscale voordelen.</w:t>
      </w:r>
    </w:p>
    <w:p w14:paraId="7E314D04" w14:textId="77777777" w:rsidR="00773516" w:rsidRDefault="00773516">
      <w:pPr>
        <w:divId w:val="735738675"/>
        <w:rPr>
          <w:color w:val="555555"/>
          <w:sz w:val="20"/>
          <w:szCs w:val="20"/>
          <w:lang w:val="nl-NL"/>
        </w:rPr>
      </w:pPr>
      <w:r>
        <w:rPr>
          <w:color w:val="555555"/>
          <w:sz w:val="20"/>
          <w:szCs w:val="20"/>
          <w:lang w:val="nl-NL"/>
        </w:rPr>
        <w:t>*4* *4* Entry 08-09-2026: na indiening van het wettelijk attest draait AGODI en stelt dat de school een elektronisch signaal moet sturen en de belastingen de eindcontrole hebben.</w:t>
      </w:r>
    </w:p>
    <w:p w14:paraId="446495F4" w14:textId="77777777" w:rsidR="00773516" w:rsidRDefault="00773516">
      <w:pPr>
        <w:divId w:val="735738675"/>
        <w:rPr>
          <w:color w:val="555555"/>
          <w:sz w:val="20"/>
          <w:szCs w:val="20"/>
          <w:lang w:val="nl-NL"/>
        </w:rPr>
      </w:pPr>
      <w:r>
        <w:rPr>
          <w:color w:val="555555"/>
          <w:sz w:val="20"/>
          <w:szCs w:val="20"/>
          <w:lang w:val="nl-NL"/>
        </w:rPr>
        <w:t>*5* *5* Entry 25-09-2026: registratie wijziging fiscale toestand mindervalide partner via het schoolsecretariaat.</w:t>
      </w:r>
    </w:p>
    <w:p w14:paraId="09176D2A" w14:textId="77777777" w:rsidR="00773516" w:rsidRDefault="00773516">
      <w:pPr>
        <w:pStyle w:val="marker"/>
        <w:ind w:left="800" w:right="800"/>
        <w:divId w:val="1477067237"/>
        <w:rPr>
          <w:lang w:val="nl-NL"/>
        </w:rPr>
      </w:pPr>
      <w:r>
        <w:br w:type="page"/>
      </w:r>
    </w:p>
    <w:p w14:paraId="73F66643" w14:textId="77777777" w:rsidR="00773516" w:rsidRDefault="00773516">
      <w:pPr>
        <w:pStyle w:val="Kop3"/>
        <w:divId w:val="1477067237"/>
        <w:rPr>
          <w:rFonts w:eastAsia="Times New Roman"/>
          <w:lang w:val="nl-NL"/>
        </w:rPr>
      </w:pPr>
      <w:bookmarkStart w:id="11" w:name="_Toc242189438"/>
      <w:r>
        <w:rPr>
          <w:rFonts w:eastAsia="Times New Roman"/>
          <w:lang w:val="nl-NL"/>
        </w:rPr>
        <w:t>CHRISTELIJKE MUTUALITEIT</w:t>
      </w:r>
      <w:bookmarkEnd w:id="11"/>
    </w:p>
    <w:p w14:paraId="4EBE1E3C" w14:textId="77777777" w:rsidR="00773516" w:rsidRDefault="00773516">
      <w:pPr>
        <w:pStyle w:val="subtitel"/>
        <w:divId w:val="1477067237"/>
        <w:rPr>
          <w:lang w:val="nl-NL"/>
        </w:rPr>
      </w:pPr>
      <w:r>
        <w:rPr>
          <w:lang w:val="nl-NL"/>
        </w:rPr>
        <w:t>De Poortwachter en de Blokkade van Gegevens</w:t>
      </w:r>
    </w:p>
    <w:p w14:paraId="6E9AD469" w14:textId="77777777" w:rsidR="00773516" w:rsidRDefault="00773516">
      <w:pPr>
        <w:pStyle w:val="Normaalweb"/>
        <w:divId w:val="1477067237"/>
        <w:rPr>
          <w:lang w:val="nl-NL"/>
        </w:rPr>
      </w:pPr>
      <w:r>
        <w:rPr>
          <w:lang w:val="nl-NL"/>
        </w:rPr>
        <w:t>Na de foutloze administratieve overdracht door de private werkgever, belandt het dossier bij de poortwachter van de Belgische sociale zekerheid: het ziekenfonds. Hier transformeert de procedurele stroom direct in een aanhoudende institutionele blokkade. Vanaf het moment dat de acute fysieke uitval in het voorjaar van 2025 wordt gemeld, weigert deze instantie de inkomensvervangende uitkering toe te kennen. Initieel verschuilt men zich achter een interne registratiefout waarbij de tewerkstelling en het onafha</w:t>
      </w:r>
      <w:r>
        <w:rPr>
          <w:lang w:val="nl-NL"/>
        </w:rPr>
        <w:t>nkelijke lidmaatschap van maart 2025 worden genegeerd. Het essentiële verdragsformulier (S072) wordt pas eind juni 2025 naar Nederland doorgegeven, wat de technische oorzaak vormt voor onterechte geautomatiseerde weigeringen wegens 'geen hoedanigheid' in het voorjaar. Wanneer deze foutieve status onhoudbaar blijkt, werpt men een nieuwe, zwaardere barrière op: de weigering om het Europese recht toe te passen.</w:t>
      </w:r>
    </w:p>
    <w:p w14:paraId="44D3C092" w14:textId="77777777" w:rsidR="00773516" w:rsidRDefault="00773516">
      <w:pPr>
        <w:pStyle w:val="Normaalweb"/>
        <w:divId w:val="1477067237"/>
        <w:rPr>
          <w:lang w:val="nl-NL"/>
        </w:rPr>
      </w:pPr>
      <w:r>
        <w:rPr>
          <w:lang w:val="nl-NL"/>
        </w:rPr>
        <w:t>Binnen de Europese Unie is wettelijk vastgelegd dat gewerkte jaren over de landsgrenzen heen naadloos bij elkaar opgeteld moeten worden *1*. Het ziekenfonds negeert deze dwingende regelgeving echter volkomen en beoordeelt de aanvraag uitsluitend op basis van de eigen, nationale referteperiode. De decennialange opbouw van sociale rechten in twee verschillende landen wordt hiermee met één administratieve pennenstreek uitgewist.</w:t>
      </w:r>
    </w:p>
    <w:p w14:paraId="0A8F87C5" w14:textId="77777777" w:rsidR="00773516" w:rsidRDefault="00773516">
      <w:pPr>
        <w:pStyle w:val="Normaalweb"/>
        <w:divId w:val="1477067237"/>
        <w:rPr>
          <w:lang w:val="nl-NL"/>
        </w:rPr>
      </w:pPr>
      <w:r>
        <w:rPr>
          <w:lang w:val="nl-NL"/>
        </w:rPr>
        <w:t>De ware frictie in het systeem openbaart zich in de tegenstrijdigheid van het eigen handelen. Terwijl het ziekenfonds weigert het inkomensverlies te compenseren, keurt hun eigen adviserend arts wél duizenden euro's aan orthopedische hulpmiddelen en gespecialiseerde diabeteszorg goed. Men financiert de fysieke reparatie van de amputaties, maar ontkent op papier dat deze zelfde amputaties leiden tot arbeidsongeschiktheid. Deze paradox leidt tot een feitelijke patstelling wanneer de patiënt — om zijn fiscale v</w:t>
      </w:r>
      <w:r>
        <w:rPr>
          <w:lang w:val="nl-NL"/>
        </w:rPr>
        <w:t>oordelen te kunnen veiligstellen — uitsluitend om een medisch invaliditeitsattest verzoekt. Het ziekenfonds weigert dit af te leveren met als expliciet argument dat er geen financieel recht op een uitkering is. De objectieve medische waarheid wordt zo onlosmakelijk vastgeketend aan een intern budgettair besluit.</w:t>
      </w:r>
    </w:p>
    <w:p w14:paraId="3F58452B" w14:textId="77777777" w:rsidR="00773516" w:rsidRDefault="00773516">
      <w:pPr>
        <w:pStyle w:val="Normaalweb"/>
        <w:divId w:val="1477067237"/>
        <w:rPr>
          <w:lang w:val="nl-NL"/>
        </w:rPr>
      </w:pPr>
      <w:r>
        <w:rPr>
          <w:lang w:val="nl-NL"/>
        </w:rPr>
        <w:t>Om deze ontkenning in stand te houden, sluit de instantie de datastromen naar de buitenwereld af. De registratie van de ziektestatus in de centrale, overkoepelende databank *2* wordt in de zomer van 2025 stopgezet. Hierdoor worden andere overheidsdiensten, zoals uitbetalers van kindergeld en de fiscus, volledig blind gemaakt voor de medische realiteit van het gezin. In het voorjaar van 2026 gaat de instantie nog een stap verder door een fictieve einddatum voor de ziekteperiode in de systemen in te voeren, e</w:t>
      </w:r>
      <w:r>
        <w:rPr>
          <w:lang w:val="nl-NL"/>
        </w:rPr>
        <w:t>xact enkele dagen vóór de wettelijke grens van één jaar. Dit blokkeert de automatische wettelijke overgang naar de permanente invaliditeitsstatus.</w:t>
      </w:r>
    </w:p>
    <w:p w14:paraId="386249BB" w14:textId="77777777" w:rsidR="00773516" w:rsidRDefault="00773516">
      <w:pPr>
        <w:pStyle w:val="Normaalweb"/>
        <w:divId w:val="1477067237"/>
        <w:rPr>
          <w:lang w:val="nl-NL"/>
        </w:rPr>
      </w:pPr>
      <w:r>
        <w:rPr>
          <w:lang w:val="nl-NL"/>
        </w:rPr>
        <w:t>Zelfs wanneer de patiënt via academische ziekenhuizen en het federale patiëntenportaal onweerlegbaar bewijs van blijvende orgaanschade aanlevert, weigert de interne ombudsdienst in te grijpen en valideert deze de geconstrueerde administratieve fictie. Het vangnet functioneert hier niet als bescherming, maar als de primaire bron van financiële en administratieve uitputting voor de burger.</w:t>
      </w:r>
    </w:p>
    <w:p w14:paraId="2DB34CDF" w14:textId="77777777" w:rsidR="00773516" w:rsidRDefault="00773516">
      <w:pPr>
        <w:pStyle w:val="Normaalweb"/>
        <w:divId w:val="1477067237"/>
        <w:rPr>
          <w:lang w:val="nl-NL"/>
        </w:rPr>
      </w:pPr>
      <w:r>
        <w:rPr>
          <w:lang w:val="nl-NL"/>
        </w:rPr>
        <w:t>In september 2026 bereikt de administratieve impasse haar definitieve vorm. Op 18 september stelt de dossierbeheerder dat de medische erkenning vaststaat, maar een uitkering wordt geweigerd wegens de nationale wachttijd, waarbij een lopend bezwaarschrift wordt genegeerd. Op 19 september volgt een formele ingebrekestelling van de Functionaris voor Gegevensbescherming (DPO) wegens het niet verschaffen van systeemlogboeken en audit-trails. Eind september levert de DPO van toezichthouder RIZIV de finale objecti</w:t>
      </w:r>
      <w:r>
        <w:rPr>
          <w:lang w:val="nl-NL"/>
        </w:rPr>
        <w:t>vering van het systeemfalen: een onafhankelijke raadpleging van het nationale knooppunt bewijst zwart-op-wit dat er in de voorafgaande zes maanden geen enkel elektronisch bericht over het ziekte- of invaliditeitsdossier is uitgewisseld tussen de CM en de Nederlandse instanties (UWV of CZ) *3*. De CM verzuimt actief te communiceren via de dwingende Europese netwerken, waardoor de grensarbeider ongewild de enige overgebleven datalink vormt tussen twee natiestaten.</w:t>
      </w:r>
    </w:p>
    <w:p w14:paraId="5298DADB" w14:textId="77777777" w:rsidR="00773516" w:rsidRDefault="00773516">
      <w:pPr>
        <w:divId w:val="1847742788"/>
        <w:rPr>
          <w:color w:val="555555"/>
          <w:sz w:val="20"/>
          <w:szCs w:val="20"/>
          <w:lang w:val="nl-NL"/>
        </w:rPr>
      </w:pPr>
      <w:r>
        <w:rPr>
          <w:color w:val="555555"/>
          <w:sz w:val="20"/>
          <w:szCs w:val="20"/>
          <w:lang w:val="nl-NL"/>
        </w:rPr>
        <w:t>*1* Verordening (EG) 883/2004 en de dwingende jurisprudentie van het Hof van Justitie van de Europese Unie (onder meer het Vester-arrest C-134/18 en Casteels-arrest), die de naadloze samentelling van verzekeringstijdvakken binnen de Unie verplichten.</w:t>
      </w:r>
    </w:p>
    <w:p w14:paraId="4D10E736" w14:textId="77777777" w:rsidR="00773516" w:rsidRDefault="00773516">
      <w:pPr>
        <w:divId w:val="1847742788"/>
        <w:rPr>
          <w:color w:val="555555"/>
          <w:sz w:val="20"/>
          <w:szCs w:val="20"/>
          <w:lang w:val="nl-NL"/>
        </w:rPr>
      </w:pPr>
      <w:r>
        <w:rPr>
          <w:color w:val="555555"/>
          <w:sz w:val="20"/>
          <w:szCs w:val="20"/>
          <w:lang w:val="nl-NL"/>
        </w:rPr>
        <w:t>*2* De Kruispuntbank van de Sociale Zekerheid (KSZ), het centrale digitale netwerk dat alle Belgische overheidsdiensten van actuele statusgegevens van burgers voorziet.</w:t>
      </w:r>
    </w:p>
    <w:p w14:paraId="1C82F2CA" w14:textId="77777777" w:rsidR="00773516" w:rsidRDefault="00773516">
      <w:pPr>
        <w:divId w:val="1847742788"/>
        <w:rPr>
          <w:color w:val="555555"/>
          <w:sz w:val="20"/>
          <w:szCs w:val="20"/>
          <w:lang w:val="nl-NL"/>
        </w:rPr>
      </w:pPr>
      <w:r>
        <w:rPr>
          <w:color w:val="555555"/>
          <w:sz w:val="20"/>
          <w:szCs w:val="20"/>
          <w:lang w:val="nl-NL"/>
        </w:rPr>
        <w:t>*3* Electronic Exchange of Social Security Information (EESSI), het verplichte Europese netwerk voor digitale, geautomatiseerde uitwisseling van sociale zekerheidsgegevens tussen de nationale instanties van de lidstaten.</w:t>
      </w:r>
    </w:p>
    <w:p w14:paraId="03D4C228" w14:textId="77777777" w:rsidR="00773516" w:rsidRDefault="00773516">
      <w:pPr>
        <w:pStyle w:val="marker"/>
        <w:ind w:left="800" w:right="800"/>
        <w:divId w:val="1477067237"/>
        <w:rPr>
          <w:lang w:val="nl-NL"/>
        </w:rPr>
      </w:pPr>
      <w:r>
        <w:br w:type="page"/>
      </w:r>
    </w:p>
    <w:p w14:paraId="77984927" w14:textId="77777777" w:rsidR="00773516" w:rsidRDefault="00773516">
      <w:pPr>
        <w:pStyle w:val="Kop3"/>
        <w:divId w:val="1477067237"/>
        <w:rPr>
          <w:rFonts w:eastAsia="Times New Roman"/>
          <w:lang w:val="nl-NL"/>
        </w:rPr>
      </w:pPr>
      <w:bookmarkStart w:id="12" w:name="_Toc242189439"/>
      <w:r>
        <w:rPr>
          <w:rFonts w:eastAsia="Times New Roman"/>
          <w:lang w:val="nl-NL"/>
        </w:rPr>
        <w:t>FOD FINANCIËN</w:t>
      </w:r>
      <w:bookmarkEnd w:id="12"/>
    </w:p>
    <w:p w14:paraId="283B4E50" w14:textId="77777777" w:rsidR="00773516" w:rsidRDefault="00773516">
      <w:pPr>
        <w:pStyle w:val="subtitel"/>
        <w:divId w:val="1477067237"/>
        <w:rPr>
          <w:lang w:val="nl-NL"/>
        </w:rPr>
      </w:pPr>
      <w:r>
        <w:rPr>
          <w:lang w:val="nl-NL"/>
        </w:rPr>
        <w:t>De Fiscale Muur en de Cirkelredenering</w:t>
      </w:r>
    </w:p>
    <w:p w14:paraId="06381155" w14:textId="77777777" w:rsidR="00773516" w:rsidRDefault="00773516">
      <w:pPr>
        <w:pStyle w:val="Normaalweb"/>
        <w:divId w:val="1477067237"/>
        <w:rPr>
          <w:lang w:val="nl-NL"/>
        </w:rPr>
      </w:pPr>
      <w:r>
        <w:rPr>
          <w:lang w:val="nl-NL"/>
        </w:rPr>
        <w:t xml:space="preserve">Terwijl het ziekenfonds de medische erkenning blokkeert, stuit het dossier bij de federale belastingdienst (FOD Financiën) op een vergelijkbare administratieve leegte. Deze instantie weigert echter niet expliciet om op te treden; zij verschuilt zich simpelweg achter een muur van bevoegdheden. Wanneer een burger door zware medische schade (zoals amputaties en ernstig visusverlies) zijn verdienvermogen verliest, heeft hij wettelijk recht op een financiële compensatie via de belastingen *1*. De fiscus weigert </w:t>
      </w:r>
      <w:r>
        <w:rPr>
          <w:lang w:val="nl-NL"/>
        </w:rPr>
        <w:t>echter om de onweerlegbare medische attesten van de huisarts en academische specialisten zelf in behandeling te nemen of te beoordelen.</w:t>
      </w:r>
    </w:p>
    <w:p w14:paraId="2FFD9B2F" w14:textId="77777777" w:rsidR="00773516" w:rsidRDefault="00773516">
      <w:pPr>
        <w:pStyle w:val="Normaalweb"/>
        <w:divId w:val="1477067237"/>
        <w:rPr>
          <w:lang w:val="nl-NL"/>
        </w:rPr>
      </w:pPr>
      <w:r>
        <w:rPr>
          <w:lang w:val="nl-NL"/>
        </w:rPr>
        <w:t>De belastingdienst stelt zich in dit dossier uitsluitend op als een procedurele rekenmachine. Om de belastingverlaging toe te passen, eisen zij een kant-en-klaar digitaal vinkje van een heel andere overheidsdienst: de FOD Sociale Zekerheid (DG Personen met een handicap). Omdat die instantie de medische erkenning maandenlang blokkeert, ontstaat er een klassiek en uitzichtloos 'van het kastje naar de muur'-scenario. De fiscus eist een document dat op dat moment niet geleverd kan worden, en weigert elke verant</w:t>
      </w:r>
      <w:r>
        <w:rPr>
          <w:lang w:val="nl-NL"/>
        </w:rPr>
        <w:t>woordelijkheid voor de impasse te nemen.</w:t>
      </w:r>
    </w:p>
    <w:p w14:paraId="2F37217B" w14:textId="77777777" w:rsidR="00773516" w:rsidRDefault="00773516">
      <w:pPr>
        <w:pStyle w:val="Normaalweb"/>
        <w:divId w:val="1477067237"/>
        <w:rPr>
          <w:lang w:val="nl-NL"/>
        </w:rPr>
      </w:pPr>
      <w:r>
        <w:rPr>
          <w:lang w:val="nl-NL"/>
        </w:rPr>
        <w:t>Wanneer de patiënt deze cirkelredenering probeert te doorbreken door de belastingdienst rechtstreeks een sluitend, overkoepelend invaliditeitsattest van de eigen huisarts te sturen, blijft de muur gesloten. De fiscus weigert niet alleen duidelijkheid te geven over de eigen beoordelingscriteria, maar levert zelfs het procedureel onuitvoerbare advies af om een Nederlandse arts de Belgische voorwaarden te laten evalueren. Een uitweg die wettelijk niet eens bestaat.</w:t>
      </w:r>
    </w:p>
    <w:p w14:paraId="710C497E" w14:textId="77777777" w:rsidR="00773516" w:rsidRDefault="00773516">
      <w:pPr>
        <w:pStyle w:val="Normaalweb"/>
        <w:divId w:val="1477067237"/>
        <w:rPr>
          <w:lang w:val="nl-NL"/>
        </w:rPr>
      </w:pPr>
      <w:r>
        <w:rPr>
          <w:lang w:val="nl-NL"/>
        </w:rPr>
        <w:t>Zelfs wanneer de blokkade in augustus 2026 deels wordt doorbroken en er na een fysieke keuring een officiële federale erkenning van de handicap wordt afgeleverd, verplaatst de belastingdienst simpelweg de doelpalen. De fiscus verwerpt het behaalde medische besluit, omdat het systeem voor dit specifieke fiscale voordeel net een fractie hogere score eist dan de toegekende 8 punten. De zware medische realiteit wordt hierdoor definitief ondergeschikt gemaakt aan een geprogrammeerde wiskundige drempel.</w:t>
      </w:r>
    </w:p>
    <w:p w14:paraId="7F6C507E" w14:textId="77777777" w:rsidR="00773516" w:rsidRDefault="00773516">
      <w:pPr>
        <w:pStyle w:val="Normaalweb"/>
        <w:divId w:val="1477067237"/>
        <w:rPr>
          <w:lang w:val="nl-NL"/>
        </w:rPr>
      </w:pPr>
      <w:r>
        <w:rPr>
          <w:lang w:val="nl-NL"/>
        </w:rPr>
        <w:t>Als ultieme tegenreactie op deze blinde, geautomatiseerde afwijzingen en het ontbreken van correcte internationale gegevensuitwisseling rondom het wereldinkomen, start de grensarbeider een formeel traject om de Europese datastromen op te eisen *2*. De fiscus, die blind vaart op falende digitale registers, wordt hierbij gedwongen om de eigen achterliggende techniek en de gebrekkige grensoverschrijdende communicatie met Nederland transparant te maken.</w:t>
      </w:r>
    </w:p>
    <w:p w14:paraId="7958FD5D" w14:textId="77777777" w:rsidR="00773516" w:rsidRDefault="00773516">
      <w:pPr>
        <w:pStyle w:val="Normaalweb"/>
        <w:divId w:val="1477067237"/>
        <w:rPr>
          <w:lang w:val="nl-NL"/>
        </w:rPr>
      </w:pPr>
      <w:r>
        <w:rPr>
          <w:lang w:val="nl-NL"/>
        </w:rPr>
        <w:t>Toch blijkt de muur niet absoluut. Via een handmatige bypass — een rechtstreeks medisch attest van de huisarts bij de BNI-aangifte, buiten de KSZ en buiten DG HAN om — wordt de verhoogde belastingvrije som alsnog geactiveerd. De aangifte is op 25 september 2026 ingediend met een berekend saldo van € 2.669,97 in het voordeel. Definitieve verwerking en aanslagbiljet van de FOD Financiën worden afgewacht. En in een onafhankelijke steekproef die een externe onderzoeker bij het Team Beheer en Dienstverlening van</w:t>
      </w:r>
      <w:r>
        <w:rPr>
          <w:lang w:val="nl-NL"/>
        </w:rPr>
        <w:t xml:space="preserve"> de Belasting Niet-Inwoners (PG15 Ledeberg) anoniem uitvoert, bevestigt de fiscus schriftelijk dat het spontaan toevoegen van medische verklaringen aan de aangifte een geldige route is om de fiscale handicapstatus naar Belgisch recht aan te tonen. De bypass is daarmee geen gok meer, maar een door de fiscus zelf gevalideerde weg.</w:t>
      </w:r>
    </w:p>
    <w:p w14:paraId="65FCC1E8" w14:textId="77777777" w:rsidR="00773516" w:rsidRDefault="00773516">
      <w:pPr>
        <w:divId w:val="764502504"/>
        <w:rPr>
          <w:color w:val="555555"/>
          <w:sz w:val="20"/>
          <w:szCs w:val="20"/>
          <w:lang w:val="nl-NL"/>
        </w:rPr>
      </w:pPr>
      <w:r>
        <w:rPr>
          <w:color w:val="555555"/>
          <w:sz w:val="20"/>
          <w:szCs w:val="20"/>
          <w:lang w:val="nl-NL"/>
        </w:rPr>
        <w:t>*1* Artikelen 131 en 135 van het Wetboek van de Inkomstenbelastingen 1992 (WIB 92), waarin de verhoogde belastingvrije som bij een zware handicap is vastgelegd.</w:t>
      </w:r>
    </w:p>
    <w:p w14:paraId="2CA7DB7E" w14:textId="77777777" w:rsidR="00773516" w:rsidRDefault="00773516">
      <w:pPr>
        <w:divId w:val="764502504"/>
        <w:rPr>
          <w:color w:val="555555"/>
          <w:sz w:val="20"/>
          <w:szCs w:val="20"/>
          <w:lang w:val="nl-NL"/>
        </w:rPr>
      </w:pPr>
      <w:r>
        <w:rPr>
          <w:color w:val="555555"/>
          <w:sz w:val="20"/>
          <w:szCs w:val="20"/>
          <w:lang w:val="nl-NL"/>
        </w:rPr>
        <w:t>*2* Verzoek tot inzage onder Artikel 15 van de Algemene Verordening Gegevensbescherming (AVG), specifiek gericht op de logbestanden van de Europese DAC-infrastructuur (Directive on Administrative Cooperation).</w:t>
      </w:r>
    </w:p>
    <w:p w14:paraId="0853D3E1" w14:textId="77777777" w:rsidR="00773516" w:rsidRDefault="00773516">
      <w:pPr>
        <w:pStyle w:val="marker"/>
        <w:ind w:left="800" w:right="800"/>
        <w:divId w:val="1477067237"/>
        <w:rPr>
          <w:lang w:val="nl-NL"/>
        </w:rPr>
      </w:pPr>
      <w:r>
        <w:br w:type="page"/>
      </w:r>
    </w:p>
    <w:p w14:paraId="08A00BFC" w14:textId="77777777" w:rsidR="00773516" w:rsidRDefault="00773516">
      <w:pPr>
        <w:pStyle w:val="Kop3"/>
        <w:divId w:val="1477067237"/>
        <w:rPr>
          <w:rFonts w:eastAsia="Times New Roman"/>
          <w:lang w:val="nl-NL"/>
        </w:rPr>
      </w:pPr>
      <w:bookmarkStart w:id="13" w:name="_Toc242189440"/>
      <w:r>
        <w:rPr>
          <w:rFonts w:eastAsia="Times New Roman"/>
          <w:lang w:val="nl-NL"/>
        </w:rPr>
        <w:t>FOD IBZ</w:t>
      </w:r>
      <w:bookmarkEnd w:id="13"/>
    </w:p>
    <w:p w14:paraId="7EF872CC" w14:textId="77777777" w:rsidR="00773516" w:rsidRDefault="00773516">
      <w:pPr>
        <w:pStyle w:val="subtitel"/>
        <w:divId w:val="1477067237"/>
        <w:rPr>
          <w:lang w:val="nl-NL"/>
        </w:rPr>
      </w:pPr>
      <w:r>
        <w:rPr>
          <w:lang w:val="nl-NL"/>
        </w:rPr>
        <w:t>De Beheerder van het Rijksregister en de Grensoverschrijdende Datastroom</w:t>
      </w:r>
    </w:p>
    <w:p w14:paraId="1C58FB6A" w14:textId="77777777" w:rsidR="00773516" w:rsidRDefault="00773516">
      <w:pPr>
        <w:pStyle w:val="Normaalweb"/>
        <w:divId w:val="1477067237"/>
        <w:rPr>
          <w:lang w:val="nl-NL"/>
        </w:rPr>
      </w:pPr>
      <w:r>
        <w:rPr>
          <w:lang w:val="nl-NL"/>
        </w:rPr>
        <w:t>De Algemene Directie Identiteit en Burgerzaken van de Federale Overheidsdienst Binnenlandse Zaken (FOD IBZ) beheert het Rijksregister, de centrale databank waarin alle bevolkingsgegevens van natuurlijke personen in België zijn opgeslagen *1*. Daarnaast is de dienst verantwoordelijk voor de productie en verdeling van de elektronische identiteitskaart (eID), de vreemdelingenkaart en de Kids-ID *2*. In het netwerk van de grensarbeider fungeert FOD IBZ als de bron van het Rijksregisternummer, dat de basis vormt</w:t>
      </w:r>
      <w:r>
        <w:rPr>
          <w:lang w:val="nl-NL"/>
        </w:rPr>
        <w:t xml:space="preserve"> voor alle administratieve processen in België.</w:t>
      </w:r>
    </w:p>
    <w:p w14:paraId="1CB1DC5D" w14:textId="77777777" w:rsidR="00773516" w:rsidRDefault="00773516">
      <w:pPr>
        <w:pStyle w:val="Normaalweb"/>
        <w:divId w:val="1477067237"/>
        <w:rPr>
          <w:lang w:val="nl-NL"/>
        </w:rPr>
      </w:pPr>
      <w:r>
        <w:rPr>
          <w:lang w:val="nl-NL"/>
        </w:rPr>
        <w:t>De frictie in dit dossier ontstaat bij de grensoverschrijdende gegevensuitwisseling. Wanneer een burger zich vanuit België in Nederland vestigt, verwacht het systeem een naadloze synchronisatie tussen het Belgische Rijksregister en de Nederlandse Basisregistratie Personen (BRP). In de praktijk blijkt deze interstatelijke datalink echter niet automatisch te functioneren. In september 2026 dient de patiënt een AVG-inzageverzoek in bij FOD IBZ om de elektronische logbestanden, systeemstempels en ruwe metagegev</w:t>
      </w:r>
      <w:r>
        <w:rPr>
          <w:lang w:val="nl-NL"/>
        </w:rPr>
        <w:t>ens van de uitschrijving naar Nederland in 2014 op te vragen *3*. Het verzoek is gericht op het verkrijgen van inzicht in de grensoverschrijdende gegevensstromen.</w:t>
      </w:r>
    </w:p>
    <w:p w14:paraId="6E5FA0DE" w14:textId="77777777" w:rsidR="00773516" w:rsidRDefault="00773516">
      <w:pPr>
        <w:pStyle w:val="Normaalweb"/>
        <w:divId w:val="1477067237"/>
        <w:rPr>
          <w:lang w:val="nl-NL"/>
        </w:rPr>
      </w:pPr>
      <w:r>
        <w:rPr>
          <w:lang w:val="nl-NL"/>
        </w:rPr>
        <w:t xml:space="preserve">De eerste poging om het verzoek per e-mail in te dienen, stuit op een serverblokkade (Access denied). Op 2 oktober 2026 wordt daarom een nieuwe aanvraag ingediend via de online website-interface van FOD Binnenlandse Zaken / Rijksregister *4*. De trage en gefragmenteerde afhandeling van het AVG-verzoek legt een bredere structurele breuk bloot: er bestaat geen geautomatiseerde, traceerbare synchronisatie tussen de Belgische en Nederlandse bevolkingsregisters bij een grensoverschrijdende verhuizing. De burger </w:t>
      </w:r>
      <w:r>
        <w:rPr>
          <w:lang w:val="nl-NL"/>
        </w:rPr>
        <w:t>blijft afhankelijk van handmatige procedures om zijn eigen registratiegegevens over de grens te laten kloppen.</w:t>
      </w:r>
    </w:p>
    <w:p w14:paraId="65AB509E" w14:textId="77777777" w:rsidR="00773516" w:rsidRDefault="00773516">
      <w:pPr>
        <w:divId w:val="514462579"/>
        <w:rPr>
          <w:color w:val="555555"/>
          <w:sz w:val="20"/>
          <w:szCs w:val="20"/>
          <w:lang w:val="nl-NL"/>
        </w:rPr>
      </w:pPr>
      <w:r>
        <w:rPr>
          <w:color w:val="555555"/>
          <w:sz w:val="20"/>
          <w:szCs w:val="20"/>
          <w:lang w:val="nl-NL"/>
        </w:rPr>
        <w:t>*1* FOD Binnenlandse Zaken, Algemene Directie Identiteit en Burgerzaken: beheer van het Rijksregister, de centrale databank met bevolkingsgegevens.</w:t>
      </w:r>
    </w:p>
    <w:p w14:paraId="7840B3DB" w14:textId="77777777" w:rsidR="00773516" w:rsidRDefault="00773516">
      <w:pPr>
        <w:divId w:val="514462579"/>
        <w:rPr>
          <w:color w:val="555555"/>
          <w:sz w:val="20"/>
          <w:szCs w:val="20"/>
          <w:lang w:val="nl-NL"/>
        </w:rPr>
      </w:pPr>
      <w:r>
        <w:rPr>
          <w:color w:val="555555"/>
          <w:sz w:val="20"/>
          <w:szCs w:val="20"/>
          <w:lang w:val="nl-NL"/>
        </w:rPr>
        <w:t>*2* FOD IBZ produceert en verdeelt de eID, vreemdelingenkaart en Kids-ID.</w:t>
      </w:r>
    </w:p>
    <w:p w14:paraId="6540DF6D" w14:textId="77777777" w:rsidR="00773516" w:rsidRDefault="00773516">
      <w:pPr>
        <w:divId w:val="514462579"/>
        <w:rPr>
          <w:color w:val="555555"/>
          <w:sz w:val="20"/>
          <w:szCs w:val="20"/>
          <w:lang w:val="nl-NL"/>
        </w:rPr>
      </w:pPr>
      <w:r>
        <w:rPr>
          <w:color w:val="555555"/>
          <w:sz w:val="20"/>
          <w:szCs w:val="20"/>
          <w:lang w:val="nl-NL"/>
        </w:rPr>
        <w:t>*3* Entry 02-09-2026: AVG-inzageverzoek bij FOD IBZ voor logbestanden en metagegevens van de uitschrijving naar Nederland in 2014.</w:t>
      </w:r>
    </w:p>
    <w:p w14:paraId="04C85701" w14:textId="77777777" w:rsidR="00773516" w:rsidRDefault="00773516">
      <w:pPr>
        <w:divId w:val="514462579"/>
        <w:rPr>
          <w:color w:val="555555"/>
          <w:sz w:val="20"/>
          <w:szCs w:val="20"/>
          <w:lang w:val="nl-NL"/>
        </w:rPr>
      </w:pPr>
      <w:r>
        <w:rPr>
          <w:color w:val="555555"/>
          <w:sz w:val="20"/>
          <w:szCs w:val="20"/>
          <w:lang w:val="nl-NL"/>
        </w:rPr>
        <w:t>*4* Entry 02-10-2026: nieuwe aanvraag via website-interface wegens e-mailbounce.</w:t>
      </w:r>
    </w:p>
    <w:p w14:paraId="3948EFB2" w14:textId="77777777" w:rsidR="00773516" w:rsidRDefault="00773516">
      <w:pPr>
        <w:pStyle w:val="marker"/>
        <w:ind w:left="800" w:right="800"/>
        <w:divId w:val="1477067237"/>
        <w:rPr>
          <w:lang w:val="nl-NL"/>
        </w:rPr>
      </w:pPr>
      <w:r>
        <w:br w:type="page"/>
      </w:r>
    </w:p>
    <w:p w14:paraId="6C0AB174" w14:textId="77777777" w:rsidR="00773516" w:rsidRDefault="00773516">
      <w:pPr>
        <w:pStyle w:val="Kop3"/>
        <w:divId w:val="1477067237"/>
        <w:rPr>
          <w:rFonts w:eastAsia="Times New Roman"/>
          <w:lang w:val="nl-NL"/>
        </w:rPr>
      </w:pPr>
      <w:bookmarkStart w:id="14" w:name="_Toc242189441"/>
      <w:r>
        <w:rPr>
          <w:rFonts w:eastAsia="Times New Roman"/>
          <w:lang w:val="nl-NL"/>
        </w:rPr>
        <w:t>FOD SOCIALE ZEKERHEID (DG HAN)</w:t>
      </w:r>
      <w:bookmarkEnd w:id="14"/>
    </w:p>
    <w:p w14:paraId="71469ABC" w14:textId="77777777" w:rsidR="00773516" w:rsidRDefault="00773516">
      <w:pPr>
        <w:pStyle w:val="subtitel"/>
        <w:divId w:val="1477067237"/>
        <w:rPr>
          <w:lang w:val="nl-NL"/>
        </w:rPr>
      </w:pPr>
      <w:r>
        <w:rPr>
          <w:lang w:val="nl-NL"/>
        </w:rPr>
        <w:t>De Territoriale Blokkade en Algoritmische Procedurefout</w:t>
      </w:r>
    </w:p>
    <w:p w14:paraId="3CAB1835" w14:textId="77777777" w:rsidR="00773516" w:rsidRDefault="00773516">
      <w:pPr>
        <w:pStyle w:val="Normaalweb"/>
        <w:divId w:val="1477067237"/>
        <w:rPr>
          <w:lang w:val="nl-NL"/>
        </w:rPr>
      </w:pPr>
      <w:r>
        <w:rPr>
          <w:lang w:val="nl-NL"/>
        </w:rPr>
        <w:t>Waar de belastingdienst zich verschool achter het ontbreken van een digitaal vinkje, toont het dossier bij de Directie-Generaal Personen met een Handicap (DG HAN) precies aan waarom dat vinkje onmogelijk te verkrijgen was. Deze federale instantie beheert de formele erkenning van invaliditeit. Het proces loopt hier echter direct bij de voordeur vast op een fundamentele architectuurfout in de software. Wanneer de grensarbeider via het online overheidsportaal wil inloggen om zijn medische situatie te registrer</w:t>
      </w:r>
      <w:r>
        <w:rPr>
          <w:lang w:val="nl-NL"/>
        </w:rPr>
        <w:t>en, genereert het systeem onmiddellijk een harde foutcode (Error 5124). De oorzaak is louter territoriaal: het portaal accepteert uitsluitend Belgische adressen. Het systeem bezit letterlijk geen digitale categorie voor een burger die eenentwintig jaar lang in België werkte en sociale bijdragen betaalde, maar aan de andere kant van de landsgrens slaapt.</w:t>
      </w:r>
    </w:p>
    <w:p w14:paraId="0ACC711D" w14:textId="77777777" w:rsidR="00773516" w:rsidRDefault="00773516">
      <w:pPr>
        <w:pStyle w:val="Normaalweb"/>
        <w:divId w:val="1477067237"/>
        <w:rPr>
          <w:lang w:val="nl-NL"/>
        </w:rPr>
      </w:pPr>
      <w:r>
        <w:rPr>
          <w:lang w:val="nl-NL"/>
        </w:rPr>
        <w:t>Deze digitale blokkade wordt door de instantie vervolgens vertaald naar een keihard beleidsstandpunt. Maandenlang weigert de dienst de aanvraag in behandeling te nemen. Zelfs wanneer er uitsluitend om een zuiver medische evaluatie voor fiscale doeleinden wordt verzocht — uitdrukkelijk losgekoppeld van enige vraag om een uitkering — stelt de overheid dat een Belgisch domicilie een absolute, onwrikbare voorwaarde is. Deze territoriale uitsluiting houdt pas op wanneer de patiënt via de Federale Ombudsman dwing</w:t>
      </w:r>
      <w:r>
        <w:rPr>
          <w:lang w:val="nl-NL"/>
        </w:rPr>
        <w:t>ende Europese rechtspraak op tafel legt *1*. Onder die juridische druk is de dienst uiteindelijk genoodzaakt toe te geven dat een landsgrens een medische diagnose niet mag uitsluiten, en wordt het dossier met zware terugwerkende kracht heropend.</w:t>
      </w:r>
    </w:p>
    <w:p w14:paraId="601C206D" w14:textId="77777777" w:rsidR="00773516" w:rsidRDefault="00773516">
      <w:pPr>
        <w:pStyle w:val="Normaalweb"/>
        <w:divId w:val="1477067237"/>
        <w:rPr>
          <w:lang w:val="nl-NL"/>
        </w:rPr>
      </w:pPr>
      <w:r>
        <w:rPr>
          <w:lang w:val="nl-NL"/>
        </w:rPr>
        <w:t>Toch blijft de uitvoering na deze doorbraak diep geworteld in stroperige administratieve processen. Terwijl academische ziekenhuizen hun klinische bevindingen real-time via nationale, beveiligde datanetwerken *2* delen, negeert de FOD deze digitale snelwegen volkomen. De patiënt wordt bestookt met papieren brieven waarin op straffe van procedure-afsluiting wordt geëist dat hij fysieke, handmatig ingevulde formulieren (zoals Formulier 5 voor het gezichtsonderzoek) binnen dertig dagen per post terugstuurt. De</w:t>
      </w:r>
      <w:r>
        <w:rPr>
          <w:lang w:val="nl-NL"/>
        </w:rPr>
        <w:t xml:space="preserve"> burger wordt zo ingezet als analoge koerier voor data die de overheid zelf met één muisklik veilig had kunnen ophalen.</w:t>
      </w:r>
    </w:p>
    <w:p w14:paraId="3214ECF6" w14:textId="77777777" w:rsidR="00773516" w:rsidRDefault="00773516">
      <w:pPr>
        <w:pStyle w:val="Normaalweb"/>
        <w:divId w:val="1477067237"/>
        <w:rPr>
          <w:lang w:val="nl-NL"/>
        </w:rPr>
      </w:pPr>
      <w:r>
        <w:rPr>
          <w:lang w:val="nl-NL"/>
        </w:rPr>
        <w:t>Het ultieme breekpunt volgt na de fysieke keuring in Gent. De controlearts documenteert de onomkeerbare fysieke schade en levert eindelijk het langverwachte medische attest af, gewaardeerd op 8 punten voor verminderde zelfredzaamheid. Een kritische audit van dit verslag onthult echter ernstige structurele ontwerpfouten. Recente en objectieve meetgegevens uit de academische sector worden compleet genegeerd, en een geconstateerd valrisico en ernstig visusverlies worden onverklaarbaar tot nul punten weggestree</w:t>
      </w:r>
      <w:r>
        <w:rPr>
          <w:lang w:val="nl-NL"/>
        </w:rPr>
        <w:t>pt. Bovendien voert het algoritme ongevraagd een inkomensbeoordeling uit. Het resultaat van dit rapport is wiskundig: de toegekende 8 punten erkennen weliswaar de zware fysieke uitval, maar vallen exact één punt onder de magische drempel van 9 punten die de belastingdienst (FOD Financiën) hanteert voor fiscale compensatie. De overheid levert hiermee een erkenning af die in de praktijk volstrekt onbruikbaar is, en dwingt de burger om het gehele, jarenlange bezwaartraject opnieuw op te starten.</w:t>
      </w:r>
    </w:p>
    <w:p w14:paraId="67D35A67" w14:textId="77777777" w:rsidR="00773516" w:rsidRDefault="00773516">
      <w:pPr>
        <w:divId w:val="609362275"/>
        <w:rPr>
          <w:color w:val="555555"/>
          <w:sz w:val="20"/>
          <w:szCs w:val="20"/>
          <w:lang w:val="nl-NL"/>
        </w:rPr>
      </w:pPr>
      <w:r>
        <w:rPr>
          <w:color w:val="555555"/>
          <w:sz w:val="20"/>
          <w:szCs w:val="20"/>
          <w:lang w:val="nl-NL"/>
        </w:rPr>
        <w:t>*1* Verordening (EG) 883/2004 en de dwingende jurisprudentie van het Europees Hof van Justitie, die garanderen dat Europese burgers niet mogen worden benadeeld op basis van hun woonplaats.</w:t>
      </w:r>
    </w:p>
    <w:p w14:paraId="324014BC" w14:textId="77777777" w:rsidR="00773516" w:rsidRDefault="00773516">
      <w:pPr>
        <w:divId w:val="609362275"/>
        <w:rPr>
          <w:color w:val="555555"/>
          <w:sz w:val="20"/>
          <w:szCs w:val="20"/>
          <w:lang w:val="nl-NL"/>
        </w:rPr>
      </w:pPr>
      <w:r>
        <w:rPr>
          <w:color w:val="555555"/>
          <w:sz w:val="20"/>
          <w:szCs w:val="20"/>
          <w:lang w:val="nl-NL"/>
        </w:rPr>
        <w:t>*2* Digitale infrastructuur zoals het eHealth-platform en het Collaboratief Zorgplatform (CoZo), waar medische verslagen centraal beschikbaar zijn voor geautoriseerde instanties.</w:t>
      </w:r>
    </w:p>
    <w:p w14:paraId="7875AE49" w14:textId="77777777" w:rsidR="00773516" w:rsidRDefault="00773516">
      <w:pPr>
        <w:pStyle w:val="marker"/>
        <w:ind w:left="800" w:right="800"/>
        <w:divId w:val="1477067237"/>
        <w:rPr>
          <w:lang w:val="nl-NL"/>
        </w:rPr>
      </w:pPr>
      <w:r>
        <w:br w:type="page"/>
      </w:r>
    </w:p>
    <w:p w14:paraId="3C533085" w14:textId="77777777" w:rsidR="00773516" w:rsidRDefault="00773516">
      <w:pPr>
        <w:pStyle w:val="Kop3"/>
        <w:divId w:val="1477067237"/>
        <w:rPr>
          <w:rFonts w:eastAsia="Times New Roman"/>
          <w:lang w:val="nl-NL"/>
        </w:rPr>
      </w:pPr>
      <w:bookmarkStart w:id="15" w:name="_Toc242189442"/>
      <w:r>
        <w:rPr>
          <w:rFonts w:eastAsia="Times New Roman"/>
          <w:lang w:val="nl-NL"/>
        </w:rPr>
        <w:t>PARENTIA</w:t>
      </w:r>
      <w:bookmarkEnd w:id="15"/>
    </w:p>
    <w:p w14:paraId="5E7938D4" w14:textId="77777777" w:rsidR="00773516" w:rsidRDefault="00773516">
      <w:pPr>
        <w:pStyle w:val="subtitel"/>
        <w:divId w:val="1477067237"/>
        <w:rPr>
          <w:lang w:val="nl-NL"/>
        </w:rPr>
      </w:pPr>
      <w:r>
        <w:rPr>
          <w:lang w:val="nl-NL"/>
        </w:rPr>
        <w:t>De Geautomatiseerde Patstelling en de Gesloten Cirkel</w:t>
      </w:r>
    </w:p>
    <w:p w14:paraId="6B860709" w14:textId="77777777" w:rsidR="00773516" w:rsidRDefault="00773516">
      <w:pPr>
        <w:pStyle w:val="Normaalweb"/>
        <w:divId w:val="1477067237"/>
        <w:rPr>
          <w:lang w:val="nl-NL"/>
        </w:rPr>
      </w:pPr>
      <w:r>
        <w:rPr>
          <w:lang w:val="nl-NL"/>
        </w:rPr>
        <w:t>De kwetsbaarheid van een volledig geautomatiseerde overheid wordt nergens zo zichtbaar als in het dossier van Parentia, de private uitbetaler van de Vlaamse kinderbijslag en sociale toeslagen. Het algoritme van dit fonds is voor inkomensbepaling blindelings aangesloten op één centrale federale databank *1*. Wanneer de grensarbeider in het voorjaar van 2025 door medische amputaties zijn inkomen volledig verliest, registreert dit systeem die actuele financiële val niet. De automatische processen kijken nameli</w:t>
      </w:r>
      <w:r>
        <w:rPr>
          <w:lang w:val="nl-NL"/>
        </w:rPr>
        <w:t>jk twee jaar terug in de tijd. Gevolg: precies op het moment dat de medische en financiële crisis het hevigst is, wordt de sociale toeslag onverbiddelijk stopgezet op basis van inkomensgegevens uit 2023.</w:t>
      </w:r>
    </w:p>
    <w:p w14:paraId="0FC8E54D" w14:textId="77777777" w:rsidR="00773516" w:rsidRDefault="00773516">
      <w:pPr>
        <w:pStyle w:val="Normaalweb"/>
        <w:divId w:val="1477067237"/>
        <w:rPr>
          <w:lang w:val="nl-NL"/>
        </w:rPr>
      </w:pPr>
      <w:r>
        <w:rPr>
          <w:lang w:val="nl-NL"/>
        </w:rPr>
        <w:t>Wanneer de patiënt in het voorjaar van 2026 deze algoritmische fout probeert te corrigeren door handmatig medische attesten en bewijzen van inkomensverlies aan te leveren, ontstaat er een klassieke institutionele patstelling. Parentia erkent de aangeleverde medische bewijzen wel degelijk, maar weigert uit te betalen. De instantie constateert dat het ziekenfonds (de CM) de ziektestatus doelbewust niet heeft doorgegeven aan de centrale databank. Omdat Parentia uit angst voor latere, retroactieve terugvorderin</w:t>
      </w:r>
      <w:r>
        <w:rPr>
          <w:lang w:val="nl-NL"/>
        </w:rPr>
        <w:t>gen geen handmatige uitzonderingen durft te maken, besluit men passief te wachten tot het ziekenfonds de data actualiseert. Het resultaat is dat een falende instantie (de CM) de uitbetaling van een andere instantie (Parentia) op afstand blokkeert, terwijl het gezin de financiële schade draagt.</w:t>
      </w:r>
    </w:p>
    <w:p w14:paraId="2911665C" w14:textId="77777777" w:rsidR="00773516" w:rsidRDefault="00773516">
      <w:pPr>
        <w:pStyle w:val="Normaalweb"/>
        <w:divId w:val="1477067237"/>
        <w:rPr>
          <w:lang w:val="nl-NL"/>
        </w:rPr>
      </w:pPr>
      <w:r>
        <w:rPr>
          <w:lang w:val="nl-NL"/>
        </w:rPr>
        <w:t>Deze administratieve stilstand bereikt zijn hoogtepunt in september 2026. Zelfs nadat de patiënt een sluitend federaal attest van zware handicap en een doktersverklaring van permanente invaliditeit indient ter overbrugging van de ontbrekende CM-data, volgt een definitieve weigering. Parentia toetst de inkomensvoorwaarde niet aan de harde realiteit van nul euro actueel inkomen, maar aan theoretisch verdienvermogen en verouderde fiscale data. Het systeem stempelt het huishouden administratief af als te welvar</w:t>
      </w:r>
      <w:r>
        <w:rPr>
          <w:lang w:val="nl-NL"/>
        </w:rPr>
        <w:t>end voor een toeslag, terwijl het in de fysieke werkelijkheid door het falen van de overheid in een diepe liquiditeitscrisis is gestort.</w:t>
      </w:r>
    </w:p>
    <w:p w14:paraId="1B90916B" w14:textId="77777777" w:rsidR="00773516" w:rsidRDefault="00773516">
      <w:pPr>
        <w:pStyle w:val="Normaalweb"/>
        <w:divId w:val="1477067237"/>
        <w:rPr>
          <w:lang w:val="nl-NL"/>
        </w:rPr>
      </w:pPr>
      <w:r>
        <w:rPr>
          <w:lang w:val="nl-NL"/>
        </w:rPr>
        <w:t>Om deze bestuurlijke laksheid en het gebrek aan automatische grensoverschrijdende communicatie bloot te leggen, wordt uiteindelijk de privacywetgeving *2* als breekijzer ingezet. Via de compliance-afdeling van het fonds wordt een formele eis ingediend om de interne logbestanden en de gebrekkige Europese gegevensuitwisseling transparant te maken. De burger wordt zo gedwongen om technische controle-instrumenten in te zetten voor het afdwingen van fundamentele bestaansrechten die een geautomatiseerd systeem ne</w:t>
      </w:r>
      <w:r>
        <w:rPr>
          <w:lang w:val="nl-NL"/>
        </w:rPr>
        <w:t>geert.</w:t>
      </w:r>
    </w:p>
    <w:p w14:paraId="14277FFA" w14:textId="77777777" w:rsidR="00773516" w:rsidRDefault="00773516">
      <w:pPr>
        <w:divId w:val="1548448377"/>
        <w:rPr>
          <w:color w:val="555555"/>
          <w:sz w:val="20"/>
          <w:szCs w:val="20"/>
          <w:lang w:val="nl-NL"/>
        </w:rPr>
      </w:pPr>
      <w:r>
        <w:rPr>
          <w:color w:val="555555"/>
          <w:sz w:val="20"/>
          <w:szCs w:val="20"/>
          <w:lang w:val="nl-NL"/>
        </w:rPr>
        <w:t>*1* De Kruispuntbank van de Sociale Zekerheid (KSZ), de digitale spil voor gegevensuitwisseling tussen Belgische sociale instellingen.</w:t>
      </w:r>
    </w:p>
    <w:p w14:paraId="4A6565F2" w14:textId="77777777" w:rsidR="00773516" w:rsidRDefault="00773516">
      <w:pPr>
        <w:divId w:val="1548448377"/>
        <w:rPr>
          <w:color w:val="555555"/>
          <w:sz w:val="20"/>
          <w:szCs w:val="20"/>
          <w:lang w:val="nl-NL"/>
        </w:rPr>
      </w:pPr>
      <w:r>
        <w:rPr>
          <w:color w:val="555555"/>
          <w:sz w:val="20"/>
          <w:szCs w:val="20"/>
          <w:lang w:val="nl-NL"/>
        </w:rPr>
        <w:t>*2* Artikel 15 van de Algemene Verordening Gegevensbescherming (AVG), dat burgers het recht geeft op volledige inzage in de verwerking en uitwisseling van hun data.</w:t>
      </w:r>
    </w:p>
    <w:p w14:paraId="45D555B8" w14:textId="77777777" w:rsidR="00773516" w:rsidRDefault="00773516">
      <w:pPr>
        <w:pStyle w:val="marker"/>
        <w:ind w:left="800" w:right="800"/>
        <w:divId w:val="1477067237"/>
        <w:rPr>
          <w:lang w:val="nl-NL"/>
        </w:rPr>
      </w:pPr>
      <w:r>
        <w:br w:type="page"/>
      </w:r>
    </w:p>
    <w:p w14:paraId="69A16F92" w14:textId="77777777" w:rsidR="00773516" w:rsidRDefault="00773516">
      <w:pPr>
        <w:pStyle w:val="Kop3"/>
        <w:divId w:val="1477067237"/>
        <w:rPr>
          <w:rFonts w:eastAsia="Times New Roman"/>
          <w:lang w:val="nl-NL"/>
        </w:rPr>
      </w:pPr>
      <w:bookmarkStart w:id="16" w:name="_Toc242189443"/>
      <w:r>
        <w:rPr>
          <w:rFonts w:eastAsia="Times New Roman"/>
          <w:lang w:val="nl-NL"/>
        </w:rPr>
        <w:t>RVA</w:t>
      </w:r>
      <w:bookmarkEnd w:id="16"/>
    </w:p>
    <w:p w14:paraId="714230CB" w14:textId="77777777" w:rsidR="00773516" w:rsidRDefault="00773516">
      <w:pPr>
        <w:pStyle w:val="subtitel"/>
        <w:divId w:val="1477067237"/>
        <w:rPr>
          <w:lang w:val="nl-NL"/>
        </w:rPr>
      </w:pPr>
      <w:r>
        <w:rPr>
          <w:lang w:val="nl-NL"/>
        </w:rPr>
        <w:t>De Eenrichtingszender en het Europese Systeemfalen</w:t>
      </w:r>
    </w:p>
    <w:p w14:paraId="1356C626" w14:textId="77777777" w:rsidR="00773516" w:rsidRDefault="00773516">
      <w:pPr>
        <w:pStyle w:val="Normaalweb"/>
        <w:divId w:val="1477067237"/>
        <w:rPr>
          <w:lang w:val="nl-NL"/>
        </w:rPr>
      </w:pPr>
      <w:r>
        <w:rPr>
          <w:lang w:val="nl-NL"/>
        </w:rPr>
        <w:t>De Rijksdienst voor Arbeidsvoorziening (RVA) fungeert in dit dossier als de beheerder van het arbeidsverleden. Om sociale rechten in het buitenland te kunnen claimen, is een Europees bewijs van de opgebouwde werkingsjaren vereist *1*. Bij de aanvraag toont de instantie onmiddellijk een blinde vlek voor afwijkende loopbanen. Wanneer de partner, een vastbenoemde leerkracht, dit attest aanvraagt, blokkeert de RVA de procedure met de harde eis om een C4-formulier aan te leveren. Dit is een standaard ontslagdocu</w:t>
      </w:r>
      <w:r>
        <w:rPr>
          <w:lang w:val="nl-NL"/>
        </w:rPr>
        <w:t>ment uit de privésector dat binnen het statuut van het onderwijs juridisch niet bestaat. De instantie perst een publieke loopbaan strikt in een private mal, wat de burger dwingt om zelf met regionale loonattesten de administratieve gaten tussen twee verschillende overheidsdiensten te dichten. Ook het eigen Belgische loopbaandossier blijkt incompleet, waarbij de patiënt vijf ontbrekende historische periodes handmatig moet laten aanvullen.</w:t>
      </w:r>
    </w:p>
    <w:p w14:paraId="02FC5096" w14:textId="77777777" w:rsidR="00773516" w:rsidRDefault="00773516">
      <w:pPr>
        <w:pStyle w:val="Normaalweb"/>
        <w:divId w:val="1477067237"/>
        <w:rPr>
          <w:lang w:val="nl-NL"/>
        </w:rPr>
      </w:pPr>
      <w:r>
        <w:rPr>
          <w:lang w:val="nl-NL"/>
        </w:rPr>
        <w:t>Het fundamentelere knelpunt betreft de absolute weigering om buitenlandse data te accepteren. Waar de RVA uiteindelijk wel de Belgische arbeidsjaren aanlevert, weigert de instantie categorisch om de eveneens aangeleverde Nederlandse loopbaangegevens in de centrale Belgische database op te nemen. De RVA stelt zich op het formele standpunt dat zij uitsluitend een zender van gegevens is en geen enkel mandaat heeft om inkomende Europese loopbaandata in de eigen systemen te integreren. De theorie van een naadloz</w:t>
      </w:r>
      <w:r>
        <w:rPr>
          <w:lang w:val="nl-NL"/>
        </w:rPr>
        <w:t>e Europese arbeidsmarkt fragmenteert hier in de praktijk. De patiënt transformeert ongewild tot een handmatige datakoerier die zijn buitenlandse werkdossiers fysiek moet overdragen aan een ander Belgisch ministerie (de FOD Sociale Zekerheid) om de gaten in zijn loopbaandossier te repareren.</w:t>
      </w:r>
    </w:p>
    <w:p w14:paraId="24AC477C" w14:textId="77777777" w:rsidR="00773516" w:rsidRDefault="00773516">
      <w:pPr>
        <w:pStyle w:val="Normaalweb"/>
        <w:divId w:val="1477067237"/>
        <w:rPr>
          <w:lang w:val="nl-NL"/>
        </w:rPr>
      </w:pPr>
      <w:r>
        <w:rPr>
          <w:lang w:val="nl-NL"/>
        </w:rPr>
        <w:t>Als ultieme reactie eist de burger via de privacywetgeving *2* de logbestanden van de haperende Europese datastromen op om de weigering tot geautomatiseerde samenwerking te objectiveren. Op 29 september 2026 levert de Functionaris voor Gegevensbescherming (DPO) van de RVA het sluitende bewijs: er heeft via het verplichte EESSI-netwerk *3* geen enkele elektronische gegevensuitwisseling met het Nederlandse UWV plaatsgevonden. De RVA legt de verantwoordelijkheid hiervoor feitelijk bij Nederland. De instantie s</w:t>
      </w:r>
      <w:r>
        <w:rPr>
          <w:lang w:val="nl-NL"/>
        </w:rPr>
        <w:t>telt dat de elektronische uitwisseling steeds op initiatief van de ontvangende partij gebeurt en dat het UWV de informatie nooit heeft opgevraagd. Zonder een door het UWV geïnitieerde koppeling tussen het Burgerservicenummer en het Rijksregisternummer weigert de RVA op eigen initiatief elektronische gegevens te verzenden *4*. Deze patstelling objectiveert de architectuurfout perfect: het UWV wijst de uitkeringsaanvraag af in afwachting van een Belgische beslissing, terwijl de RVA niets verstuurt omdat het U</w:t>
      </w:r>
      <w:r>
        <w:rPr>
          <w:lang w:val="nl-NL"/>
        </w:rPr>
        <w:t>WV niets opvraagt.</w:t>
      </w:r>
    </w:p>
    <w:p w14:paraId="003F3459" w14:textId="77777777" w:rsidR="00773516" w:rsidRDefault="00773516">
      <w:pPr>
        <w:divId w:val="735589997"/>
        <w:rPr>
          <w:color w:val="555555"/>
          <w:sz w:val="20"/>
          <w:szCs w:val="20"/>
          <w:lang w:val="nl-NL"/>
        </w:rPr>
      </w:pPr>
      <w:r>
        <w:rPr>
          <w:color w:val="555555"/>
          <w:sz w:val="20"/>
          <w:szCs w:val="20"/>
          <w:lang w:val="nl-NL"/>
        </w:rPr>
        <w:t>*1* Portable Document U1 (PD U1), het Europese formulier dat perioden van verzekering certificeert voor de vaststelling van werkloosheidsuitkeringen of samentelling van tijdvakken.</w:t>
      </w:r>
    </w:p>
    <w:p w14:paraId="13C7EBB6" w14:textId="77777777" w:rsidR="00773516" w:rsidRDefault="00773516">
      <w:pPr>
        <w:divId w:val="735589997"/>
        <w:rPr>
          <w:color w:val="555555"/>
          <w:sz w:val="20"/>
          <w:szCs w:val="20"/>
          <w:lang w:val="nl-NL"/>
        </w:rPr>
      </w:pPr>
      <w:r>
        <w:rPr>
          <w:color w:val="555555"/>
          <w:sz w:val="20"/>
          <w:szCs w:val="20"/>
          <w:lang w:val="nl-NL"/>
        </w:rPr>
        <w:t>*2* Algemene Verordening Gegevensbescherming (AVG), specifiek het inzagerecht conform Artikel 15 ter opvraging van de verwerkingslogboeken.</w:t>
      </w:r>
    </w:p>
    <w:p w14:paraId="77AA737E" w14:textId="77777777" w:rsidR="00773516" w:rsidRDefault="00773516">
      <w:pPr>
        <w:divId w:val="735589997"/>
        <w:rPr>
          <w:color w:val="555555"/>
          <w:sz w:val="20"/>
          <w:szCs w:val="20"/>
          <w:lang w:val="nl-NL"/>
        </w:rPr>
      </w:pPr>
      <w:r>
        <w:rPr>
          <w:color w:val="555555"/>
          <w:sz w:val="20"/>
          <w:szCs w:val="20"/>
          <w:lang w:val="nl-NL"/>
        </w:rPr>
        <w:t>*3* Electronic Exchange of Social Security Information (EESSI), het verplichte Europese netwerk voor geautomatiseerde gegevensuitwisseling tussen lidstaten volgens Verordening (EG) 987/2009.</w:t>
      </w:r>
    </w:p>
    <w:p w14:paraId="611D90D4" w14:textId="77777777" w:rsidR="00773516" w:rsidRDefault="00773516">
      <w:pPr>
        <w:divId w:val="735589997"/>
        <w:rPr>
          <w:color w:val="555555"/>
          <w:sz w:val="20"/>
          <w:szCs w:val="20"/>
          <w:lang w:val="nl-NL"/>
        </w:rPr>
      </w:pPr>
      <w:r>
        <w:rPr>
          <w:color w:val="555555"/>
          <w:sz w:val="20"/>
          <w:szCs w:val="20"/>
          <w:lang w:val="nl-NL"/>
        </w:rPr>
        <w:t>*4* Officiële brief Functionaris voor Gegevensbescherming RVA d.d. 29 september 2026, waarin het ontbreken van enig verzoek vanuit het UWV en de daaropvolgende weigering van de RVA tot spontane datatransmissie formeel wordt bevestigd.</w:t>
      </w:r>
    </w:p>
    <w:p w14:paraId="37CBA7FF" w14:textId="77777777" w:rsidR="00773516" w:rsidRDefault="00773516">
      <w:pPr>
        <w:pStyle w:val="marker"/>
        <w:ind w:left="800" w:right="800"/>
        <w:divId w:val="1477067237"/>
        <w:rPr>
          <w:lang w:val="nl-NL"/>
        </w:rPr>
      </w:pPr>
      <w:r>
        <w:br w:type="page"/>
      </w:r>
    </w:p>
    <w:p w14:paraId="2042B7DE" w14:textId="77777777" w:rsidR="00773516" w:rsidRDefault="00773516">
      <w:pPr>
        <w:pStyle w:val="Kop3"/>
        <w:divId w:val="1477067237"/>
        <w:rPr>
          <w:rFonts w:eastAsia="Times New Roman"/>
          <w:lang w:val="nl-NL"/>
        </w:rPr>
      </w:pPr>
      <w:bookmarkStart w:id="17" w:name="_Toc242189444"/>
      <w:r>
        <w:rPr>
          <w:rFonts w:eastAsia="Times New Roman"/>
          <w:lang w:val="nl-NL"/>
        </w:rPr>
        <w:t>SFPD</w:t>
      </w:r>
      <w:bookmarkEnd w:id="17"/>
    </w:p>
    <w:p w14:paraId="3A947D9D" w14:textId="77777777" w:rsidR="00773516" w:rsidRDefault="00773516">
      <w:pPr>
        <w:pStyle w:val="subtitel"/>
        <w:divId w:val="1477067237"/>
        <w:rPr>
          <w:lang w:val="nl-NL"/>
        </w:rPr>
      </w:pPr>
      <w:r>
        <w:rPr>
          <w:lang w:val="nl-NL"/>
        </w:rPr>
        <w:t>De Federale Pensioendienst en de Grensoverschrijdende Loopbaan</w:t>
      </w:r>
    </w:p>
    <w:p w14:paraId="6DA3D230" w14:textId="77777777" w:rsidR="00773516" w:rsidRDefault="00773516">
      <w:pPr>
        <w:pStyle w:val="Normaalweb"/>
        <w:divId w:val="1477067237"/>
        <w:rPr>
          <w:lang w:val="nl-NL"/>
        </w:rPr>
      </w:pPr>
      <w:r>
        <w:rPr>
          <w:lang w:val="nl-NL"/>
        </w:rPr>
        <w:t>De Federale Pensioendienst (SFPD) is de Belgische overheidsdienst die verantwoordelijk is voor de berekening en toekenning van wettelijke pensioenen voor werknemers en ambtenaren *1*. Tot de kerntaken behoren de toekenning van het rustpensioen, het overlevingspensioen en de overgangsuitkering van werknemers, evenals de betaling van pensioenen aan zelfstandigen en de inkomensgarantie voor ouderen *2*. Voor grensarbeiders is de SFPD een cruciale schakel, omdat zij de opgebouwde loopbaanjaren in België moet ce</w:t>
      </w:r>
      <w:r>
        <w:rPr>
          <w:lang w:val="nl-NL"/>
        </w:rPr>
        <w:t>rtificeren voor de berekening van pensioenrechten in het buitenland.</w:t>
      </w:r>
    </w:p>
    <w:p w14:paraId="40C379B1" w14:textId="77777777" w:rsidR="00773516" w:rsidRDefault="00773516">
      <w:pPr>
        <w:pStyle w:val="Normaalweb"/>
        <w:divId w:val="1477067237"/>
        <w:rPr>
          <w:lang w:val="nl-NL"/>
        </w:rPr>
      </w:pPr>
      <w:r>
        <w:rPr>
          <w:lang w:val="nl-NL"/>
        </w:rPr>
        <w:t>De frictie in dit dossier manifesteert zich bij de Europese gegevensuitwisseling. Om pensioenrechten in een andere lidstaat te kunnen vaststellen, is een uitwisseling van verzekeringstijdvakken via het EESSI-netwerk vereist. In september 2026 dient de patiënt een AVG-inzageverzoek in bij de SFPD om een afschrift te verkrijgen van alle verwerkte persoonsgegevens en de elektronische logbestanden, BUC's en SED's van de grensoverschrijdende gegevensuitwisseling inzake pensioenen *3*. Het doel is om te controler</w:t>
      </w:r>
      <w:r>
        <w:rPr>
          <w:lang w:val="nl-NL"/>
        </w:rPr>
        <w:t>en of de verplichte Europese gegevensuitwisseling daadwerkelijk heeft plaatsgevonden.</w:t>
      </w:r>
    </w:p>
    <w:p w14:paraId="262057B0" w14:textId="77777777" w:rsidR="00773516" w:rsidRDefault="00773516">
      <w:pPr>
        <w:pStyle w:val="Normaalweb"/>
        <w:divId w:val="1477067237"/>
        <w:rPr>
          <w:lang w:val="nl-NL"/>
        </w:rPr>
      </w:pPr>
      <w:r>
        <w:rPr>
          <w:lang w:val="nl-NL"/>
        </w:rPr>
        <w:t>De reactie van de SFPD bevestigt een structureel probleem. De Functionaris voor Gegevensbescherming deelt mee dat algemene persoonsgegevens via mypension.be te raadplegen zijn, maar dat EESSI-gegevens zich momenteel niet in de systemen van de SFPD bevinden. De burger wordt geadviseerd om contact op te nemen met buitenlandse organismen of met Sigedis *4*. Hiermee wordt de verantwoordelijkheid voor de grensoverschrijdende datastroom afgeschoven en blijft de burger verstoken van de noodzakelijke bevestiging da</w:t>
      </w:r>
      <w:r>
        <w:rPr>
          <w:lang w:val="nl-NL"/>
        </w:rPr>
        <w:t>t zijn Belgische loopbaanjaren correct zijn geregistreerd voor de Nederlandse pensioenopbouw.</w:t>
      </w:r>
    </w:p>
    <w:p w14:paraId="41D0D35A" w14:textId="77777777" w:rsidR="00773516" w:rsidRDefault="00773516">
      <w:pPr>
        <w:divId w:val="236401519"/>
        <w:rPr>
          <w:color w:val="555555"/>
          <w:sz w:val="20"/>
          <w:szCs w:val="20"/>
          <w:lang w:val="nl-NL"/>
        </w:rPr>
      </w:pPr>
      <w:r>
        <w:rPr>
          <w:color w:val="555555"/>
          <w:sz w:val="20"/>
          <w:szCs w:val="20"/>
          <w:lang w:val="nl-NL"/>
        </w:rPr>
        <w:t>*1* Federale Pensioendienst, taken: toekenning en betaling van wettelijke pensioenen voor werknemers, ambtenaren en zelfstandigen.</w:t>
      </w:r>
    </w:p>
    <w:p w14:paraId="03490A6D" w14:textId="77777777" w:rsidR="00773516" w:rsidRDefault="00773516">
      <w:pPr>
        <w:divId w:val="236401519"/>
        <w:rPr>
          <w:color w:val="555555"/>
          <w:sz w:val="20"/>
          <w:szCs w:val="20"/>
          <w:lang w:val="nl-NL"/>
        </w:rPr>
      </w:pPr>
      <w:r>
        <w:rPr>
          <w:color w:val="555555"/>
          <w:sz w:val="20"/>
          <w:szCs w:val="20"/>
          <w:lang w:val="nl-NL"/>
        </w:rPr>
        <w:t>*2* SFPD is belast met de toekenning van rustpensioen, overlevingspensioen, overgangsuitkering en inkomensgarantie voor ouderen.</w:t>
      </w:r>
    </w:p>
    <w:p w14:paraId="2421AC33" w14:textId="77777777" w:rsidR="00773516" w:rsidRDefault="00773516">
      <w:pPr>
        <w:divId w:val="236401519"/>
        <w:rPr>
          <w:color w:val="555555"/>
          <w:sz w:val="20"/>
          <w:szCs w:val="20"/>
          <w:lang w:val="nl-NL"/>
        </w:rPr>
      </w:pPr>
      <w:r>
        <w:rPr>
          <w:color w:val="555555"/>
          <w:sz w:val="20"/>
          <w:szCs w:val="20"/>
          <w:lang w:val="nl-NL"/>
        </w:rPr>
        <w:t>*3* Entry 02-09-2026: AVG-inzageverzoek bij SFPD voor EESSI-logbestanden en BUC/SED-berichten.</w:t>
      </w:r>
    </w:p>
    <w:p w14:paraId="3AD7E7A3" w14:textId="77777777" w:rsidR="00773516" w:rsidRDefault="00773516">
      <w:pPr>
        <w:divId w:val="236401519"/>
        <w:rPr>
          <w:color w:val="555555"/>
          <w:sz w:val="20"/>
          <w:szCs w:val="20"/>
          <w:lang w:val="nl-NL"/>
        </w:rPr>
      </w:pPr>
      <w:r>
        <w:rPr>
          <w:color w:val="555555"/>
          <w:sz w:val="20"/>
          <w:szCs w:val="20"/>
          <w:lang w:val="nl-NL"/>
        </w:rPr>
        <w:t>*4* Entry 02-10-2026: reactie DPO SFPD: EESSI-gegevens bevinden zich niet in de systemen van de SFPD; verwijzing naar Sigedis of buitenlandse organismen.</w:t>
      </w:r>
    </w:p>
    <w:p w14:paraId="53D56223" w14:textId="77777777" w:rsidR="00773516" w:rsidRDefault="00773516">
      <w:pPr>
        <w:pStyle w:val="marker"/>
        <w:ind w:left="800" w:right="800"/>
        <w:divId w:val="1477067237"/>
        <w:rPr>
          <w:lang w:val="nl-NL"/>
        </w:rPr>
      </w:pPr>
      <w:r>
        <w:br w:type="page"/>
      </w:r>
    </w:p>
    <w:p w14:paraId="7210964F" w14:textId="77777777" w:rsidR="00773516" w:rsidRDefault="00773516">
      <w:pPr>
        <w:pStyle w:val="Kop3"/>
        <w:divId w:val="1477067237"/>
        <w:rPr>
          <w:rFonts w:eastAsia="Times New Roman"/>
          <w:lang w:val="nl-NL"/>
        </w:rPr>
      </w:pPr>
      <w:bookmarkStart w:id="18" w:name="_Toc242189445"/>
      <w:r>
        <w:rPr>
          <w:rFonts w:eastAsia="Times New Roman"/>
          <w:lang w:val="nl-NL"/>
        </w:rPr>
        <w:t>VERTICO BUSINESS SOLUTIONS</w:t>
      </w:r>
      <w:bookmarkEnd w:id="18"/>
    </w:p>
    <w:p w14:paraId="0163392F" w14:textId="77777777" w:rsidR="00773516" w:rsidRDefault="00773516">
      <w:pPr>
        <w:pStyle w:val="subtitel"/>
        <w:divId w:val="1477067237"/>
        <w:rPr>
          <w:lang w:val="nl-NL"/>
        </w:rPr>
      </w:pPr>
      <w:r>
        <w:rPr>
          <w:lang w:val="nl-NL"/>
        </w:rPr>
        <w:t>De Normale Basis en het Contrast met de Overheid</w:t>
      </w:r>
    </w:p>
    <w:p w14:paraId="56956384" w14:textId="77777777" w:rsidR="00773516" w:rsidRDefault="00773516">
      <w:pPr>
        <w:pStyle w:val="Normaalweb"/>
        <w:divId w:val="1477067237"/>
        <w:rPr>
          <w:lang w:val="nl-NL"/>
        </w:rPr>
      </w:pPr>
      <w:r>
        <w:rPr>
          <w:lang w:val="nl-NL"/>
        </w:rPr>
        <w:t>Om te begrijpen waar een systeem faalt, moet eerst worden vastgesteld hoe het eruitziet wanneer het wel werkt. In dit grensoverschrijdende dossier is de private werkgever, Vertico Business Solutions, de actor die de norm bepaalt. De arbeidsrelatie start hier in het voorjaar van 2025. Wanneer de medische noodsituatie in april van dat jaar toeslaat, voert het bedrijf simpelweg de wet uit. De loondoorbetaling tijdens de eerste dertig ziektedagen verloopt foutloos, gevolgd door een correcte en tijdige administr</w:t>
      </w:r>
      <w:r>
        <w:rPr>
          <w:lang w:val="nl-NL"/>
        </w:rPr>
        <w:t>atieve overgang naar de status van onbetaald ziekteverlof. De loonbrieven registreren keurig nul euro, waarmee de financiële overdracht naar de sociale zekerheid zuiver wordt voorbereid.</w:t>
      </w:r>
    </w:p>
    <w:p w14:paraId="3C179592" w14:textId="77777777" w:rsidR="00773516" w:rsidRDefault="00773516">
      <w:pPr>
        <w:pStyle w:val="Normaalweb"/>
        <w:divId w:val="1477067237"/>
        <w:rPr>
          <w:lang w:val="nl-NL"/>
        </w:rPr>
      </w:pPr>
      <w:r>
        <w:rPr>
          <w:lang w:val="nl-NL"/>
        </w:rPr>
        <w:t>Wanneer het contract in september 2025 door de aanhoudende medische uitval formeel wordt beëindigd, levert het bedrijf direct de eindafrekening en de verplichte tewerkstellingsattesten af. Deze papieren zijn geen overbodige luxe; zij vormen de absolute juridische basis voor de latere opmaak van de Europese U1-formulieren *1*. Dit zijn de documenten die de werknemer nodig heeft om zijn arbeidsverleden en rechten in het buitenland te kunnen aantonen. De werkgever levert deze sleutels zonder enige vertraging o</w:t>
      </w:r>
      <w:r>
        <w:rPr>
          <w:lang w:val="nl-NL"/>
        </w:rPr>
        <w:t>f procedurele frictie af aan de werknemer.</w:t>
      </w:r>
    </w:p>
    <w:p w14:paraId="6FD1E671" w14:textId="77777777" w:rsidR="00773516" w:rsidRDefault="00773516">
      <w:pPr>
        <w:pStyle w:val="Normaalweb"/>
        <w:divId w:val="1477067237"/>
        <w:rPr>
          <w:lang w:val="nl-NL"/>
        </w:rPr>
      </w:pPr>
      <w:r>
        <w:rPr>
          <w:lang w:val="nl-NL"/>
        </w:rPr>
        <w:t>De ware betekenis van deze organisatie in de systeem-audit ligt dan ook niet in een interne fout, maar in het schrille contrast met de publieke sector. De private werkgever bewijst dat de basisregels van de administratie eenvoudig en correct kunnen worden toegepast. Zij leveren de perfecte, foutloze data aan. De breuk in het systeem ontstaat pas op het exacte moment dat deze correcte papieren de private sector verlaten en worden ingediend bij de overheid. Zodra de Belgische en Nederlandse sociale zekerheids</w:t>
      </w:r>
      <w:r>
        <w:rPr>
          <w:lang w:val="nl-NL"/>
        </w:rPr>
        <w:t>instanties de foutloze attesten in handen krijgen, loopt het proces direct vast in onverenigbare regels en datasilo's.</w:t>
      </w:r>
    </w:p>
    <w:p w14:paraId="6282662C" w14:textId="77777777" w:rsidR="00773516" w:rsidRDefault="00773516">
      <w:pPr>
        <w:divId w:val="1362125032"/>
        <w:rPr>
          <w:color w:val="555555"/>
          <w:sz w:val="20"/>
          <w:szCs w:val="20"/>
          <w:lang w:val="nl-NL"/>
        </w:rPr>
      </w:pPr>
      <w:r>
        <w:rPr>
          <w:color w:val="555555"/>
          <w:sz w:val="20"/>
          <w:szCs w:val="20"/>
          <w:lang w:val="nl-NL"/>
        </w:rPr>
        <w:t>*1* Het Portable Document U1 (PD U1) is het standaard Europese formulier dat perioden van verzekering of werkzaamheden in een EU-lidstaat bevestigt, essentieel voor de berekening van werkloosheids- of ziekte-uitkeringen in een ander land.</w:t>
      </w:r>
    </w:p>
    <w:p w14:paraId="1BDACFBB" w14:textId="77777777" w:rsidR="00773516" w:rsidRDefault="00773516">
      <w:pPr>
        <w:pStyle w:val="marker"/>
        <w:ind w:left="800" w:right="800"/>
        <w:divId w:val="1477067237"/>
        <w:rPr>
          <w:lang w:val="nl-NL"/>
        </w:rPr>
      </w:pPr>
      <w:r>
        <w:br w:type="page"/>
      </w:r>
    </w:p>
    <w:p w14:paraId="108C5B75" w14:textId="77777777" w:rsidR="00773516" w:rsidRDefault="00773516">
      <w:pPr>
        <w:pStyle w:val="Kop2"/>
        <w:divId w:val="1477067237"/>
        <w:rPr>
          <w:rFonts w:eastAsia="Times New Roman"/>
          <w:lang w:val="nl-NL"/>
        </w:rPr>
      </w:pPr>
      <w:bookmarkStart w:id="19" w:name="_Toc242189446"/>
      <w:r>
        <w:rPr>
          <w:rFonts w:eastAsia="Times New Roman"/>
          <w:lang w:val="nl-NL"/>
        </w:rPr>
        <w:t xml:space="preserve">Escalatie &amp; </w:t>
      </w:r>
      <w:r>
        <w:rPr>
          <w:rFonts w:eastAsia="Times New Roman"/>
          <w:lang w:val="nl-NL"/>
        </w:rPr>
        <w:t>Controle</w:t>
      </w:r>
      <w:bookmarkEnd w:id="19"/>
    </w:p>
    <w:p w14:paraId="739D614E" w14:textId="77777777" w:rsidR="00773516" w:rsidRDefault="00773516">
      <w:pPr>
        <w:pStyle w:val="Kop3"/>
        <w:divId w:val="1477067237"/>
        <w:rPr>
          <w:rFonts w:eastAsia="Times New Roman"/>
          <w:lang w:val="nl-NL"/>
        </w:rPr>
      </w:pPr>
      <w:bookmarkStart w:id="20" w:name="_Toc242189447"/>
      <w:r>
        <w:rPr>
          <w:rFonts w:eastAsia="Times New Roman"/>
          <w:lang w:val="nl-NL"/>
        </w:rPr>
        <w:t>CONTROLEDIENST VOOR DE ZIEKENFONDSEN (CDZ)</w:t>
      </w:r>
      <w:bookmarkEnd w:id="20"/>
    </w:p>
    <w:p w14:paraId="77AAEA50" w14:textId="77777777" w:rsidR="00773516" w:rsidRDefault="00773516">
      <w:pPr>
        <w:pStyle w:val="subtitel"/>
        <w:divId w:val="1477067237"/>
        <w:rPr>
          <w:lang w:val="nl-NL"/>
        </w:rPr>
      </w:pPr>
      <w:r>
        <w:rPr>
          <w:lang w:val="nl-NL"/>
        </w:rPr>
        <w:t>De Waakhond die Weigert te Bijten</w:t>
      </w:r>
    </w:p>
    <w:p w14:paraId="72EBFE5D" w14:textId="77777777" w:rsidR="00773516" w:rsidRDefault="00773516">
      <w:pPr>
        <w:pStyle w:val="Normaalweb"/>
        <w:divId w:val="1477067237"/>
        <w:rPr>
          <w:lang w:val="nl-NL"/>
        </w:rPr>
      </w:pPr>
      <w:r>
        <w:rPr>
          <w:lang w:val="nl-NL"/>
        </w:rPr>
        <w:t>Als het RIZIV faalt in haar regisseursrol, is er in de Belgische architectuur nog één gespecialiseerde toezichthouder: de Controledienst voor de Ziekenfondsen (CDZ). Deze administratieve waakhond heeft als kerntaak te controleren of ziekenfondsen de nationale wetten en Europese regels correct uitvoeren. Wanneer de CDZ in april 2026 formeel wordt aangeschreven over het feit dat de Christelijke Mutualiteit (CM) weigert het Europese Unierecht *1* toe te passen, demonstreert deze dienst echter de klassieke over</w:t>
      </w:r>
      <w:r>
        <w:rPr>
          <w:lang w:val="nl-NL"/>
        </w:rPr>
        <w:t>heidstactiek van jurisdictionele zelfdefinitie.</w:t>
      </w:r>
    </w:p>
    <w:p w14:paraId="628A2700" w14:textId="77777777" w:rsidR="00773516" w:rsidRDefault="00773516">
      <w:pPr>
        <w:pStyle w:val="Normaalweb"/>
        <w:divId w:val="1477067237"/>
        <w:rPr>
          <w:lang w:val="nl-NL"/>
        </w:rPr>
      </w:pPr>
      <w:r>
        <w:rPr>
          <w:lang w:val="nl-NL"/>
        </w:rPr>
        <w:t xml:space="preserve">De CDZ schuift de klacht onmiddellijk terzijde door zich onbevoegd te verklaren. Om deze weigering te legitimeren, gebruikt de toezichthouder een slimme administratieve truc: zij kwalificeert de structurele, grensoverschrijdende schending van Europese wetgeving door het ziekenfonds simpelweg als een 'individueel medisch geschil'. En omdat medische geschillen onder het RIZIV vallen, mag de CDZ het dossier officieel sluiten. Dit is een procedurele fout. De klacht ging immers niet over een medische diagnose — </w:t>
      </w:r>
      <w:r>
        <w:rPr>
          <w:lang w:val="nl-NL"/>
        </w:rPr>
        <w:t>amputaties zijn een onbetwistbaar fysiek feit — maar over het doelbewust negeren van administratieve dwingende wetgeving door een uitvoeringsorgaan.</w:t>
      </w:r>
    </w:p>
    <w:p w14:paraId="69071685" w14:textId="77777777" w:rsidR="00773516" w:rsidRDefault="00773516">
      <w:pPr>
        <w:pStyle w:val="Normaalweb"/>
        <w:divId w:val="1477067237"/>
        <w:rPr>
          <w:lang w:val="nl-NL"/>
        </w:rPr>
      </w:pPr>
      <w:r>
        <w:rPr>
          <w:lang w:val="nl-NL"/>
        </w:rPr>
        <w:t>Wanneer de patiënt krachtig protesteert tegen deze onterechte doorverwijzing en de CDZ herinnert aan haar wettelijke toezichtsplicht, trekt de waakhond zich volledig terug. In opeenvolgende correspondentie handhaaft de dienst haar standpunt, beschouwt zij de klacht eenzijdig als afgehandeld en weigert zij elke verdere inhoudelijke communicatie. De CDZ bewijst hiermee dat er in het Belgische stelsel geen enkel functionerend administratief toezichtorgaan bestaat dat in staat is om de ziekenfondsen dwingend te</w:t>
      </w:r>
      <w:r>
        <w:rPr>
          <w:lang w:val="nl-NL"/>
        </w:rPr>
        <w:t xml:space="preserve"> corrigeren wanneer zij op individueel niveau de Europese rechtsorde schenden.</w:t>
      </w:r>
    </w:p>
    <w:p w14:paraId="4FF7DF41" w14:textId="77777777" w:rsidR="00773516" w:rsidRDefault="00773516">
      <w:pPr>
        <w:divId w:val="1030185156"/>
        <w:rPr>
          <w:color w:val="555555"/>
          <w:sz w:val="20"/>
          <w:szCs w:val="20"/>
          <w:lang w:val="nl-NL"/>
        </w:rPr>
      </w:pPr>
      <w:r>
        <w:rPr>
          <w:color w:val="555555"/>
          <w:sz w:val="20"/>
          <w:szCs w:val="20"/>
          <w:lang w:val="nl-NL"/>
        </w:rPr>
        <w:t>*1* Specifiek het weigeren van de samentelling van verzekeringstijdvakken onder Verordening (EG) 883/2004 en het negeren van vaststaande rechtspraak (Vester-arrest C-134/18).</w:t>
      </w:r>
    </w:p>
    <w:p w14:paraId="6366F6FD" w14:textId="77777777" w:rsidR="00773516" w:rsidRDefault="00773516">
      <w:pPr>
        <w:pStyle w:val="marker"/>
        <w:ind w:left="800" w:right="800"/>
        <w:divId w:val="1477067237"/>
        <w:rPr>
          <w:lang w:val="nl-NL"/>
        </w:rPr>
      </w:pPr>
      <w:r>
        <w:br w:type="page"/>
      </w:r>
    </w:p>
    <w:p w14:paraId="7AA73BA6" w14:textId="77777777" w:rsidR="00773516" w:rsidRDefault="00773516">
      <w:pPr>
        <w:pStyle w:val="Kop3"/>
        <w:divId w:val="1477067237"/>
        <w:rPr>
          <w:rFonts w:eastAsia="Times New Roman"/>
          <w:lang w:val="nl-NL"/>
        </w:rPr>
      </w:pPr>
      <w:bookmarkStart w:id="21" w:name="_Toc242189448"/>
      <w:r>
        <w:rPr>
          <w:rFonts w:eastAsia="Times New Roman"/>
          <w:lang w:val="nl-NL"/>
        </w:rPr>
        <w:t>DE FEDERALE OMBUDSMAN</w:t>
      </w:r>
      <w:bookmarkEnd w:id="21"/>
    </w:p>
    <w:p w14:paraId="7CA84E4E" w14:textId="77777777" w:rsidR="00773516" w:rsidRDefault="00773516">
      <w:pPr>
        <w:pStyle w:val="subtitel"/>
        <w:divId w:val="1477067237"/>
        <w:rPr>
          <w:lang w:val="nl-NL"/>
        </w:rPr>
      </w:pPr>
      <w:r>
        <w:rPr>
          <w:lang w:val="nl-NL"/>
        </w:rPr>
        <w:t>De Gedesillusioneerde Bemiddelaar</w:t>
      </w:r>
    </w:p>
    <w:p w14:paraId="5FD1020A" w14:textId="77777777" w:rsidR="00773516" w:rsidRDefault="00773516">
      <w:pPr>
        <w:pStyle w:val="Normaalweb"/>
        <w:divId w:val="1477067237"/>
        <w:rPr>
          <w:lang w:val="nl-NL"/>
        </w:rPr>
      </w:pPr>
      <w:r>
        <w:rPr>
          <w:lang w:val="nl-NL"/>
        </w:rPr>
        <w:t>Binnen de escalatieladder van dit dossier is de Federale Ombudsman een uiterst zeldzame verschijning: het is de enige institutie die daadwerkelijk snelle en menselijke betrokkenheid toont. Wanneer deze parlementaire ombudsdienst in het voorjaar van 2026 wordt ingeschakeld, volgt er direct een inhoudelijke actie. De Ombudsman confronteert de Federale Overheidsdienst Sociale Zekerheid (FOD SZ) met de Europese regelgeving *1* rondom het woonplaatsvereiste, en forceert binnen enkele weken een doorbraak: de over</w:t>
      </w:r>
      <w:r>
        <w:rPr>
          <w:lang w:val="nl-NL"/>
        </w:rPr>
        <w:t>heid moet toegeven dat een buitenlands adres geen medische beoordeling in de weg mag staan. Het dossier wordt heropend.</w:t>
      </w:r>
    </w:p>
    <w:p w14:paraId="704835A3" w14:textId="77777777" w:rsidR="00773516" w:rsidRDefault="00773516">
      <w:pPr>
        <w:pStyle w:val="Normaalweb"/>
        <w:divId w:val="1477067237"/>
        <w:rPr>
          <w:lang w:val="nl-NL"/>
        </w:rPr>
      </w:pPr>
      <w:r>
        <w:rPr>
          <w:lang w:val="nl-NL"/>
        </w:rPr>
        <w:t>Deze kortstondige overwinning legt echter genadeloos de structurele beperkingen van een louter bemiddelende functie bloot. Zodra de FOD procedureel heeft gereageerd, beschouwt de Ombudsman zijn opdracht als volbracht en trekt hij zich terug uit de onderliggende financiële impasse bij de Christelijke Mutualiteit (CM). Omdat het ziekenfonds buiten de directe federale werkingssfeer valt, adviseert de Ombudsman de gedupeerde grensburger om het geschil dan maar voor de arbeidsrechtbank te brengen — een proces da</w:t>
      </w:r>
      <w:r>
        <w:rPr>
          <w:lang w:val="nl-NL"/>
        </w:rPr>
        <w:t>t de patiënt financieel en fysiek niet kan dragen.</w:t>
      </w:r>
    </w:p>
    <w:p w14:paraId="1D3E9FA9" w14:textId="77777777" w:rsidR="00773516" w:rsidRDefault="00773516">
      <w:pPr>
        <w:pStyle w:val="Normaalweb"/>
        <w:divId w:val="1477067237"/>
        <w:rPr>
          <w:lang w:val="nl-NL"/>
        </w:rPr>
      </w:pPr>
      <w:r>
        <w:rPr>
          <w:lang w:val="nl-NL"/>
        </w:rPr>
        <w:t>De ware tragedie van dit knooppunt ontvouwt zich echter in de zomer van 2026. Wanneer de burger aantoont dat zowel het RIZIV als de CDZ hun toezichtsplicht verzaken, en dat de interne ombudsdienst van het ziekenfonds aantoonbaar liegt over de medische bewijslast, activeert de Federale Ombudsman opnieuw een onderzoek. De attaché roept het weigerende ziekenfonds rechtstreeks ter verantwoording. Maar geconfronteerd met het taaie, onbeweeglijke administratieve verweer van de CM, capituleert de toezichthouder ui</w:t>
      </w:r>
      <w:r>
        <w:rPr>
          <w:lang w:val="nl-NL"/>
        </w:rPr>
        <w:t>teindelijk.</w:t>
      </w:r>
    </w:p>
    <w:p w14:paraId="067FCA2C" w14:textId="77777777" w:rsidR="00773516" w:rsidRDefault="00773516">
      <w:pPr>
        <w:pStyle w:val="Normaalweb"/>
        <w:divId w:val="1477067237"/>
        <w:rPr>
          <w:lang w:val="nl-NL"/>
        </w:rPr>
      </w:pPr>
      <w:r>
        <w:rPr>
          <w:lang w:val="nl-NL"/>
        </w:rPr>
        <w:t>In een houding die het best kan worden omschreven als een formele sluitingsreflex, sluit de Ombudsman het dossier definitief. Men wast de handen in onschuld door de administratieve fictie van het ziekenfonds klakkeloos te valideren. Ondanks de objectieve, academisch vastgestelde realiteit van amputaties en orgaanschade — fysieke toestanden die geen pauzeknop of tijdelijke genezing kennen — accepteert de Ombudsman het excuus dat er "medische hiaten" in het dossier zouden zitten. De meest competente en geënga</w:t>
      </w:r>
      <w:r>
        <w:rPr>
          <w:lang w:val="nl-NL"/>
        </w:rPr>
        <w:t>geerde instantie binnen de Belgische landsgrenzen eindigt haar interventie zo in absolute apathie, de burger onbeschermd achterlatend op een administratief niemandsland.</w:t>
      </w:r>
    </w:p>
    <w:p w14:paraId="6F7BC12A" w14:textId="77777777" w:rsidR="00773516" w:rsidRDefault="00773516">
      <w:pPr>
        <w:divId w:val="1733968215"/>
        <w:rPr>
          <w:color w:val="555555"/>
          <w:sz w:val="20"/>
          <w:szCs w:val="20"/>
          <w:lang w:val="nl-NL"/>
        </w:rPr>
      </w:pPr>
      <w:r>
        <w:rPr>
          <w:color w:val="555555"/>
          <w:sz w:val="20"/>
          <w:szCs w:val="20"/>
          <w:lang w:val="nl-NL"/>
        </w:rPr>
        <w:t>*1* Verordening (EG) 883/2004 en de dwingende Europese jurisprudentie die lidstaten verbiedt burgers uit te sluiten op basis van territoriale grenzen.</w:t>
      </w:r>
    </w:p>
    <w:p w14:paraId="23710157" w14:textId="77777777" w:rsidR="00773516" w:rsidRDefault="00773516">
      <w:pPr>
        <w:pStyle w:val="marker"/>
        <w:ind w:left="800" w:right="800"/>
        <w:divId w:val="1477067237"/>
        <w:rPr>
          <w:lang w:val="nl-NL"/>
        </w:rPr>
      </w:pPr>
      <w:r>
        <w:br w:type="page"/>
      </w:r>
    </w:p>
    <w:p w14:paraId="3060A5D8" w14:textId="77777777" w:rsidR="00773516" w:rsidRDefault="00773516">
      <w:pPr>
        <w:pStyle w:val="Kop3"/>
        <w:divId w:val="1477067237"/>
        <w:rPr>
          <w:rFonts w:eastAsia="Times New Roman"/>
          <w:lang w:val="nl-NL"/>
        </w:rPr>
      </w:pPr>
      <w:bookmarkStart w:id="22" w:name="_Toc242189449"/>
      <w:r>
        <w:rPr>
          <w:rFonts w:eastAsia="Times New Roman"/>
          <w:lang w:val="nl-NL"/>
        </w:rPr>
        <w:t>ARBEIDSAUDITORAAT GENT</w:t>
      </w:r>
      <w:bookmarkEnd w:id="22"/>
    </w:p>
    <w:p w14:paraId="06C7142F" w14:textId="77777777" w:rsidR="00773516" w:rsidRDefault="00773516">
      <w:pPr>
        <w:pStyle w:val="subtitel"/>
        <w:divId w:val="1477067237"/>
        <w:rPr>
          <w:lang w:val="nl-NL"/>
        </w:rPr>
      </w:pPr>
      <w:r>
        <w:rPr>
          <w:lang w:val="nl-NL"/>
        </w:rPr>
        <w:t>De Falende Noodrem en het Afschuiven van Toezicht</w:t>
      </w:r>
    </w:p>
    <w:p w14:paraId="1E5DF1D8" w14:textId="77777777" w:rsidR="00773516" w:rsidRDefault="00773516">
      <w:pPr>
        <w:pStyle w:val="Normaalweb"/>
        <w:divId w:val="1477067237"/>
        <w:rPr>
          <w:lang w:val="nl-NL"/>
        </w:rPr>
      </w:pPr>
      <w:r>
        <w:rPr>
          <w:lang w:val="nl-NL"/>
        </w:rPr>
        <w:t xml:space="preserve">Wanneer een machtige uitvoeringsinstantie zoals het ziekenfonds de wet systematisch weigert toe te passen, zou de rechtsstaat een snelle noodrem moeten hebben. Binnen de Belgische sociale zekerheid is die toezichthoudende rol in theorie weggelegd voor het sociaal parket: het Arbeidsauditoraat. Na maanden van administratieve blokkade door de mutualiteit escaleert de grensarbeider het dossier in het najaar van 2026 naar deze justitiële waakhond. De formele melding bevat sluitende bewijzen dat het ziekenfonds </w:t>
      </w:r>
      <w:r>
        <w:rPr>
          <w:lang w:val="nl-NL"/>
        </w:rPr>
        <w:t>structureel de Europese regels voor de optelling van gewerkte jaren negeert *1* en de eigen nationale richtlijnen aan de kant schuift.</w:t>
      </w:r>
    </w:p>
    <w:p w14:paraId="1513A9BD" w14:textId="77777777" w:rsidR="00773516" w:rsidRDefault="00773516">
      <w:pPr>
        <w:pStyle w:val="Normaalweb"/>
        <w:divId w:val="1477067237"/>
        <w:rPr>
          <w:lang w:val="nl-NL"/>
        </w:rPr>
      </w:pPr>
      <w:r>
        <w:rPr>
          <w:lang w:val="nl-NL"/>
        </w:rPr>
        <w:t>De reactie van het Arbeidsauditoraat legt echter een diepe weeffout in het toezicht bloot. In plaats van in te grijpen bij een instantie die de Europese wetgeving naast zich neerlegt, wast het parket zijn handen in onschuld. Het auditoraat verklaart zich per kerende e-mail simpelweg onbevoegd om toezicht te houden op de handelingen van de ziekenfondsen of de federale gezondheidsinstituten.</w:t>
      </w:r>
    </w:p>
    <w:p w14:paraId="2E6368F7" w14:textId="77777777" w:rsidR="00773516" w:rsidRDefault="00773516">
      <w:pPr>
        <w:pStyle w:val="Normaalweb"/>
        <w:divId w:val="1477067237"/>
        <w:rPr>
          <w:lang w:val="nl-NL"/>
        </w:rPr>
      </w:pPr>
      <w:r>
        <w:rPr>
          <w:lang w:val="nl-NL"/>
        </w:rPr>
        <w:t>Hier toont zich de tactiek van het bevoegdheidsvacuüm. Het justitiële systeem weigert de situatie te zien als een structureel probleem van institutioneel falen of machtsmisbruik. In plaats daarvan wordt de weigering van de mutualiteit gekwalificeerd als een simpel burgerlijk geschil tussen een ontevreden klant en een verzekeraar. Het auditoraat schuift de volledige verantwoordelijkheid daardoor genadeloos terug naar de burger, met de formele mededeling dat hij de zaak maar voor de Arbeidsrechtbank moet uitv</w:t>
      </w:r>
      <w:r>
        <w:rPr>
          <w:lang w:val="nl-NL"/>
        </w:rPr>
        <w:t>echten.</w:t>
      </w:r>
    </w:p>
    <w:p w14:paraId="36BE9323" w14:textId="77777777" w:rsidR="00773516" w:rsidRDefault="00773516">
      <w:pPr>
        <w:pStyle w:val="Normaalweb"/>
        <w:divId w:val="1477067237"/>
        <w:rPr>
          <w:lang w:val="nl-NL"/>
        </w:rPr>
      </w:pPr>
      <w:r>
        <w:rPr>
          <w:lang w:val="nl-NL"/>
        </w:rPr>
        <w:t>Hierdoor faalt het vangnet compleet: de structurele systeemfout wordt niet op een hoger, overkoepelend niveau opgelost, maar wordt gereduceerd tot een traag en uitputtend individueel proces dat de patiënt helemaal zelf moet dragen. Het instituut dat is opgericht om de regels te bewaken, kiest voor de weg van de minste weerstand en trekt zich terug.</w:t>
      </w:r>
    </w:p>
    <w:p w14:paraId="481F8386" w14:textId="77777777" w:rsidR="00773516" w:rsidRDefault="00773516">
      <w:pPr>
        <w:divId w:val="1364944602"/>
        <w:rPr>
          <w:color w:val="555555"/>
          <w:sz w:val="20"/>
          <w:szCs w:val="20"/>
          <w:lang w:val="nl-NL"/>
        </w:rPr>
      </w:pPr>
      <w:r>
        <w:rPr>
          <w:color w:val="555555"/>
          <w:sz w:val="20"/>
          <w:szCs w:val="20"/>
          <w:lang w:val="nl-NL"/>
        </w:rPr>
        <w:t>*1* De dwingende Europese regelgeving inzake de coördinatie van de socialezekerheidsstelsels (Verordening (EG) 883/2004), die voorschrijft dat lidstaten arbeidsverleden en sociale rechten over de landsgrenzen heen naadloos moeten erkennen.</w:t>
      </w:r>
    </w:p>
    <w:p w14:paraId="4921B2D4" w14:textId="77777777" w:rsidR="00773516" w:rsidRDefault="00773516">
      <w:pPr>
        <w:pStyle w:val="marker"/>
        <w:ind w:left="800" w:right="800"/>
        <w:divId w:val="1477067237"/>
        <w:rPr>
          <w:lang w:val="nl-NL"/>
        </w:rPr>
      </w:pPr>
      <w:r>
        <w:br w:type="page"/>
      </w:r>
    </w:p>
    <w:p w14:paraId="7D417591" w14:textId="77777777" w:rsidR="00773516" w:rsidRDefault="00773516">
      <w:pPr>
        <w:pStyle w:val="Kop3"/>
        <w:divId w:val="1477067237"/>
        <w:rPr>
          <w:rFonts w:eastAsia="Times New Roman"/>
          <w:lang w:val="nl-NL"/>
        </w:rPr>
      </w:pPr>
      <w:bookmarkStart w:id="23" w:name="_Toc242189450"/>
      <w:r>
        <w:rPr>
          <w:rFonts w:eastAsia="Times New Roman"/>
          <w:lang w:val="nl-NL"/>
        </w:rPr>
        <w:t>DE KAMER (COMMISSIE SOCIALE ZAKEN)</w:t>
      </w:r>
      <w:bookmarkEnd w:id="23"/>
    </w:p>
    <w:p w14:paraId="53484445" w14:textId="77777777" w:rsidR="00773516" w:rsidRDefault="00773516">
      <w:pPr>
        <w:pStyle w:val="subtitel"/>
        <w:divId w:val="1477067237"/>
        <w:rPr>
          <w:lang w:val="nl-NL"/>
        </w:rPr>
      </w:pPr>
      <w:r>
        <w:rPr>
          <w:lang w:val="nl-NL"/>
        </w:rPr>
        <w:t>De Zwijgende Volksvertegenwoordiging</w:t>
      </w:r>
    </w:p>
    <w:p w14:paraId="166FEA01" w14:textId="77777777" w:rsidR="00773516" w:rsidRDefault="00773516">
      <w:pPr>
        <w:pStyle w:val="Normaalweb"/>
        <w:divId w:val="1477067237"/>
        <w:rPr>
          <w:lang w:val="nl-NL"/>
        </w:rPr>
      </w:pPr>
      <w:r>
        <w:rPr>
          <w:lang w:val="nl-NL"/>
        </w:rPr>
        <w:t>Wanneer administratieve toezichthouders weigeren in te grijpen, is het democratisch parlement de ultieme verdedigingslinie. Binnen de Belgische Kamer is de Commissie Sociale Zaken, Werk en Pensioenen specifiek bevoegd om ministers en overheidsdiensten (zoals het RIZIV en de FOD Sociale Zekerheid) te controleren en ter verantwoording te roepen. In het voorjaar van 2026 wordt deze commissie formeel voorzien van een uitgebreid, objectief dossier dat aantoont hoe uitvoeringsinstanties de Europese regels voor gr</w:t>
      </w:r>
      <w:r>
        <w:rPr>
          <w:lang w:val="nl-NL"/>
        </w:rPr>
        <w:t>ensarbeiders structureel negeren en burgers in de financiële afgrond duwen.</w:t>
      </w:r>
    </w:p>
    <w:p w14:paraId="5E70E128" w14:textId="77777777" w:rsidR="00773516" w:rsidRDefault="00773516">
      <w:pPr>
        <w:pStyle w:val="Normaalweb"/>
        <w:divId w:val="1477067237"/>
        <w:rPr>
          <w:lang w:val="nl-NL"/>
        </w:rPr>
      </w:pPr>
      <w:r>
        <w:rPr>
          <w:lang w:val="nl-NL"/>
        </w:rPr>
        <w:t>De reactie van dit parlementaire controleorgaan is echter veelzeggend: een absolute radiostilte. De commissie ontvangt de data, maar er volgt geen enkele inhoudelijke respons. Geen enkel parlementslid activeert zijn of haar controlemandaat. Er worden geen kritische vragen gesteld aan de bevoegde minister, er wordt geen interpellatie gehouden en er volgt geen hoorzitting over het grensoverschrijdende bevoegdheidsvacuüm.</w:t>
      </w:r>
    </w:p>
    <w:p w14:paraId="2B7AAF99" w14:textId="77777777" w:rsidR="00773516" w:rsidRDefault="00773516">
      <w:pPr>
        <w:pStyle w:val="Normaalweb"/>
        <w:divId w:val="1477067237"/>
        <w:rPr>
          <w:lang w:val="nl-NL"/>
        </w:rPr>
      </w:pPr>
      <w:r>
        <w:rPr>
          <w:lang w:val="nl-NL"/>
        </w:rPr>
        <w:t>Deze totale afwezigheid van democratisch toezicht illustreert een diepgeworteld systeemfalen. De instantie die wettelijk is opgericht om de uitvoerende macht te controleren wanneer deze tekortschiet, weigert de aangeleverde bewijslast te behandelen. Door simpelweg te zwijgen, legitimeert de volksvertegenwoordiging de handelingen van de administratie en laat zij de burger — die als eenling tegen een georganiseerde staat vecht — definitief in de kou staan.</w:t>
      </w:r>
    </w:p>
    <w:p w14:paraId="3522DACF" w14:textId="77777777" w:rsidR="00773516" w:rsidRDefault="00773516">
      <w:pPr>
        <w:pStyle w:val="marker"/>
        <w:ind w:left="800" w:right="800"/>
        <w:divId w:val="1477067237"/>
        <w:rPr>
          <w:lang w:val="nl-NL"/>
        </w:rPr>
      </w:pPr>
      <w:r>
        <w:br w:type="page"/>
      </w:r>
    </w:p>
    <w:p w14:paraId="0A80BD33" w14:textId="77777777" w:rsidR="00773516" w:rsidRDefault="00773516">
      <w:pPr>
        <w:pStyle w:val="Kop3"/>
        <w:divId w:val="1477067237"/>
        <w:rPr>
          <w:rFonts w:eastAsia="Times New Roman"/>
          <w:lang w:val="nl-NL"/>
        </w:rPr>
      </w:pPr>
      <w:bookmarkStart w:id="24" w:name="_Toc242189451"/>
      <w:r>
        <w:rPr>
          <w:rFonts w:eastAsia="Times New Roman"/>
          <w:lang w:val="nl-NL"/>
        </w:rPr>
        <w:t>COMMISSIE VOOR VERZOEKSCHRIFTEN</w:t>
      </w:r>
      <w:bookmarkEnd w:id="24"/>
    </w:p>
    <w:p w14:paraId="07E7056D" w14:textId="77777777" w:rsidR="00773516" w:rsidRDefault="00773516">
      <w:pPr>
        <w:pStyle w:val="subtitel"/>
        <w:divId w:val="1477067237"/>
        <w:rPr>
          <w:lang w:val="nl-NL"/>
        </w:rPr>
      </w:pPr>
      <w:r>
        <w:rPr>
          <w:lang w:val="nl-NL"/>
        </w:rPr>
        <w:t>De Doorgeefluik-Democratie</w:t>
      </w:r>
    </w:p>
    <w:p w14:paraId="44C7ED68" w14:textId="77777777" w:rsidR="00773516" w:rsidRDefault="00773516">
      <w:pPr>
        <w:pStyle w:val="Normaalweb"/>
        <w:divId w:val="1477067237"/>
        <w:rPr>
          <w:lang w:val="nl-NL"/>
        </w:rPr>
      </w:pPr>
      <w:r>
        <w:rPr>
          <w:lang w:val="nl-NL"/>
        </w:rPr>
        <w:t>Waar de Commissie Sociale Zaken reageert met stilzwijgen, biedt de Commissie voor Verzoekschriften de formele 'klaagmuur' van de democratie. Hier kan de burger rechtstreeks petities indienen over falend overheidsbeleid. In het voorjaar van 2026 wordt de Systeem-Audit als formeel verzoekschrift ingediend, ter aanklacht tegen de administratieve blokkade en de schending van het Europese recht *1* door Belgische instellingen.</w:t>
      </w:r>
    </w:p>
    <w:p w14:paraId="44EB7B35" w14:textId="77777777" w:rsidR="00773516" w:rsidRDefault="00773516">
      <w:pPr>
        <w:pStyle w:val="Normaalweb"/>
        <w:divId w:val="1477067237"/>
        <w:rPr>
          <w:lang w:val="nl-NL"/>
        </w:rPr>
      </w:pPr>
      <w:r>
        <w:rPr>
          <w:lang w:val="nl-NL"/>
        </w:rPr>
        <w:t>De procedurele molen draait aanvankelijk volgens het boekje. Na een initiële afwijzing door de Kamervoorzitter, gebaseerd op de strikte scheiding der machten, wordt de kwantitatieve audit-data toch formeel ontvankelijk verklaard. Het dossier krijgt een officieel nummer en wordt meegenomen in de parlementaire processen. De afhandeling die daarop volgt, demonstreert echter pijnlijk hoe procedureel 'afvinken' in de praktijk werkt.</w:t>
      </w:r>
    </w:p>
    <w:p w14:paraId="18E28496" w14:textId="77777777" w:rsidR="00773516" w:rsidRDefault="00773516">
      <w:pPr>
        <w:pStyle w:val="Normaalweb"/>
        <w:divId w:val="1477067237"/>
        <w:rPr>
          <w:lang w:val="nl-NL"/>
        </w:rPr>
      </w:pPr>
      <w:r>
        <w:rPr>
          <w:lang w:val="nl-NL"/>
        </w:rPr>
        <w:t>In juni 2026 besluit de commissie het dossier eenvoudigweg door te zenden naar de bevoegde minister en de vakcommissie (Sociale Zaken). Met deze simpele administratieve handeling beschouwt de Commissie voor Verzoekschriften haar taak als volbracht. De hete aardappel is doorgegeven. Omdat de ontvangende partijen (de minister en de vakcommissie) het dossier vervolgens zonder inhoudelijke actie laten doodbloeden, fungeert het verzoekschriften-kanaal in de praktijk als niets meer dan een procedurele schokdemper</w:t>
      </w:r>
      <w:r>
        <w:rPr>
          <w:lang w:val="nl-NL"/>
        </w:rPr>
        <w:t>: het absorbeert de klacht van de burger, zet er een stempel op, en parkeert het in een laag waar niemand er politieke verantwoordelijkheid voor neemt.</w:t>
      </w:r>
    </w:p>
    <w:p w14:paraId="45052A49" w14:textId="77777777" w:rsidR="00773516" w:rsidRDefault="00773516">
      <w:pPr>
        <w:divId w:val="1911964888"/>
        <w:rPr>
          <w:color w:val="555555"/>
          <w:sz w:val="20"/>
          <w:szCs w:val="20"/>
          <w:lang w:val="nl-NL"/>
        </w:rPr>
      </w:pPr>
      <w:r>
        <w:rPr>
          <w:color w:val="555555"/>
          <w:sz w:val="20"/>
          <w:szCs w:val="20"/>
          <w:lang w:val="nl-NL"/>
        </w:rPr>
        <w:t>*1* Verordening (EG) 883/2004 en de principes van vrij verkeer van werknemers, waarbij burgers over de grens naadloze toegang moeten hebben tot sociale zekerheid.</w:t>
      </w:r>
    </w:p>
    <w:p w14:paraId="12A489A2" w14:textId="77777777" w:rsidR="00773516" w:rsidRDefault="00773516">
      <w:pPr>
        <w:pStyle w:val="marker"/>
        <w:ind w:left="800" w:right="800"/>
        <w:divId w:val="1477067237"/>
        <w:rPr>
          <w:lang w:val="nl-NL"/>
        </w:rPr>
      </w:pPr>
      <w:r>
        <w:br w:type="page"/>
      </w:r>
    </w:p>
    <w:p w14:paraId="51803A75" w14:textId="77777777" w:rsidR="00773516" w:rsidRDefault="00773516">
      <w:pPr>
        <w:pStyle w:val="Kop3"/>
        <w:divId w:val="1477067237"/>
        <w:rPr>
          <w:rFonts w:eastAsia="Times New Roman"/>
          <w:lang w:val="nl-NL"/>
        </w:rPr>
      </w:pPr>
      <w:bookmarkStart w:id="25" w:name="_Toc242189452"/>
      <w:r>
        <w:rPr>
          <w:rFonts w:eastAsia="Times New Roman"/>
          <w:lang w:val="nl-NL"/>
        </w:rPr>
        <w:t>KONINKLIJK PALEIS VAN BELGIË</w:t>
      </w:r>
      <w:bookmarkEnd w:id="25"/>
    </w:p>
    <w:p w14:paraId="3F4F6BF4" w14:textId="77777777" w:rsidR="00773516" w:rsidRDefault="00773516">
      <w:pPr>
        <w:pStyle w:val="subtitel"/>
        <w:divId w:val="1477067237"/>
        <w:rPr>
          <w:lang w:val="nl-NL"/>
        </w:rPr>
      </w:pPr>
      <w:r>
        <w:rPr>
          <w:lang w:val="nl-NL"/>
        </w:rPr>
        <w:t>De Symbolische Eindhalte</w:t>
      </w:r>
    </w:p>
    <w:p w14:paraId="64ED3420" w14:textId="77777777" w:rsidR="00773516" w:rsidRDefault="00773516">
      <w:pPr>
        <w:pStyle w:val="Normaalweb"/>
        <w:divId w:val="1477067237"/>
        <w:rPr>
          <w:lang w:val="nl-NL"/>
        </w:rPr>
      </w:pPr>
      <w:r>
        <w:rPr>
          <w:lang w:val="nl-NL"/>
        </w:rPr>
        <w:t xml:space="preserve">Als alle bestuurlijke, toezichthoudende en democratische paden doodlopen, rest er symbolisch nog één instantie: het staatshoofd. In mei 2026 wordt de geconsolideerde Systeem-Audit als formeel verzoekschrift naar het Koninklijk Paleis in Brussel gestuurd. Dit moment legt onbedoeld de letterlijke en figuurlijke onbereikbaarheid van het instituut bloot. Pogingen om het dossier via de officiële digitale kanalen van de monarchie aan te leveren, stuiten op harde netwerkfouten (DNS-falen); de e-mailserver van het </w:t>
      </w:r>
      <w:r>
        <w:rPr>
          <w:lang w:val="nl-NL"/>
        </w:rPr>
        <w:t>Paleis weigert dienst. De burger wordt gedwongen om de data via papieren, aangetekende post en versimpelde webformulieren binnen te loodsen.</w:t>
      </w:r>
    </w:p>
    <w:p w14:paraId="7AF58A36" w14:textId="77777777" w:rsidR="00773516" w:rsidRDefault="00773516">
      <w:pPr>
        <w:pStyle w:val="Normaalweb"/>
        <w:divId w:val="1477067237"/>
        <w:rPr>
          <w:lang w:val="nl-NL"/>
        </w:rPr>
      </w:pPr>
      <w:r>
        <w:rPr>
          <w:lang w:val="nl-NL"/>
        </w:rPr>
        <w:t xml:space="preserve">Wanneer de fysieke brief het Paleis bereikt, toont de afhandeling direct de grenzen van de constitutionele monarchie. Hoewel de Koning de eenheid van de staat vertegenwoordigt, heeft hij binnen een democratie absoluut geen uitvoerende macht om in te grijpen in het beleid van overheidsinstanties of ziekenfondsen. De reactie is dan ook een formele doorgeleiding: het Paleis bevestigt de ontvangst en stuurt het dossier rechtstreeks door naar de bevoegde bewindspersoon, de Vice-eersteminister. </w:t>
      </w:r>
    </w:p>
    <w:p w14:paraId="38C42A9C" w14:textId="77777777" w:rsidR="00773516" w:rsidRDefault="00773516">
      <w:pPr>
        <w:pStyle w:val="Normaalweb"/>
        <w:divId w:val="1477067237"/>
        <w:rPr>
          <w:lang w:val="nl-NL"/>
        </w:rPr>
      </w:pPr>
      <w:r>
        <w:rPr>
          <w:lang w:val="nl-NL"/>
        </w:rPr>
        <w:t>Met deze handeling stopt de interventie. Het Paleis functioneert niet als een breekijzer, maar als de hoogste symbolische postbus van het land. Zodra het dossier wordt teruggestuurd naar het ministerie — exact de politieke laag die het probleem eerder al had genegeerd — is de escalatieladder van de staat definitief en volledig uitgeput, zonder dat er ook maar één stap richting een inhoudelijke oplossing is gezet.</w:t>
      </w:r>
    </w:p>
    <w:p w14:paraId="47D36CDE" w14:textId="77777777" w:rsidR="00773516" w:rsidRDefault="00773516">
      <w:pPr>
        <w:pStyle w:val="marker"/>
        <w:ind w:left="800" w:right="800"/>
        <w:divId w:val="1477067237"/>
        <w:rPr>
          <w:lang w:val="nl-NL"/>
        </w:rPr>
      </w:pPr>
      <w:r>
        <w:br w:type="page"/>
      </w:r>
    </w:p>
    <w:p w14:paraId="126E04F5" w14:textId="77777777" w:rsidR="00773516" w:rsidRDefault="00773516">
      <w:pPr>
        <w:pStyle w:val="Kop3"/>
        <w:divId w:val="1477067237"/>
        <w:rPr>
          <w:rFonts w:eastAsia="Times New Roman"/>
          <w:lang w:val="nl-NL"/>
        </w:rPr>
      </w:pPr>
      <w:bookmarkStart w:id="26" w:name="_Toc242189453"/>
      <w:r>
        <w:rPr>
          <w:rFonts w:eastAsia="Times New Roman"/>
          <w:lang w:val="nl-NL"/>
        </w:rPr>
        <w:t>ORDE DER ARTSEN</w:t>
      </w:r>
      <w:bookmarkEnd w:id="26"/>
    </w:p>
    <w:p w14:paraId="21C0D38B" w14:textId="77777777" w:rsidR="00773516" w:rsidRDefault="00773516">
      <w:pPr>
        <w:pStyle w:val="subtitel"/>
        <w:divId w:val="1477067237"/>
        <w:rPr>
          <w:lang w:val="nl-NL"/>
        </w:rPr>
      </w:pPr>
      <w:r>
        <w:rPr>
          <w:lang w:val="nl-NL"/>
        </w:rPr>
        <w:t>De Tuchtrechtelijke Grens en de Individuele Verantwoordelijkheid</w:t>
      </w:r>
    </w:p>
    <w:p w14:paraId="7D80393C" w14:textId="77777777" w:rsidR="00773516" w:rsidRDefault="00773516">
      <w:pPr>
        <w:pStyle w:val="Normaalweb"/>
        <w:divId w:val="1477067237"/>
        <w:rPr>
          <w:lang w:val="nl-NL"/>
        </w:rPr>
      </w:pPr>
      <w:r>
        <w:rPr>
          <w:lang w:val="nl-NL"/>
        </w:rPr>
        <w:t>De Orde der Artsen is de wettelijke instantie die waakt over de medische deontologie, de ethiek en de professionele onafhankelijkheid van artsen in België. Haar tuchtrechtelijke bevoegdheid reikt uitsluitend tot het individuele handelen van de ingeschreven arts. De Orde heeft de macht om onafhankelijk onderzoek te voeren en kan tuchtsancties opleggen, variërend van een waarschuwing of berisping tot een schorsing of definitieve schrapping uit het artsenregister. De instantie heeft echter geen wettelijke bevo</w:t>
      </w:r>
      <w:r>
        <w:rPr>
          <w:lang w:val="nl-NL"/>
        </w:rPr>
        <w:t>egdheid over de administratieve besluitvorming van instellingen zoals ziekenfondsen, noch over de geautomatiseerde IT-systemen en algoritmes die deze organisaties inzetten.</w:t>
      </w:r>
    </w:p>
    <w:p w14:paraId="3B20A669" w14:textId="77777777" w:rsidR="00773516" w:rsidRDefault="00773516">
      <w:pPr>
        <w:pStyle w:val="Normaalweb"/>
        <w:divId w:val="1477067237"/>
        <w:rPr>
          <w:lang w:val="nl-NL"/>
        </w:rPr>
      </w:pPr>
      <w:r>
        <w:rPr>
          <w:lang w:val="nl-NL"/>
        </w:rPr>
        <w:t>In het najaar van 2026 wordt de casus formeel bij deze tuchtraad aanhangig gemaakt. Het ingediende dossier bevat de documentatie van tegengestelde beslissingen, gegenereerd onder een visueel identieke handtekening van één adviserend arts van de Christelijke Mutualiteit (CM), waarbij objectief beschikbare medische data (SumEHR via eHealth) onbenut bleef. De formele onderzoeksvraag richt zich op de deontologische verantwoordelijkheid: in hoeverre kan een arts haar onafhankelijkheid bewaren wanneer beslissinge</w:t>
      </w:r>
      <w:r>
        <w:rPr>
          <w:lang w:val="nl-NL"/>
        </w:rPr>
        <w:t>n en handtekeningen geautomatiseerd door het systeem van de werkgever worden gegenereerd.</w:t>
      </w:r>
    </w:p>
    <w:p w14:paraId="6E9CEE79" w14:textId="77777777" w:rsidR="00773516" w:rsidRDefault="00773516">
      <w:pPr>
        <w:pStyle w:val="Normaalweb"/>
        <w:divId w:val="1477067237"/>
        <w:rPr>
          <w:lang w:val="nl-NL"/>
        </w:rPr>
      </w:pPr>
      <w:r>
        <w:rPr>
          <w:lang w:val="nl-NL"/>
        </w:rPr>
        <w:t>Deze tuchtrechtelijke route objectiveert een structurele asymmetrie in het medisch-administratieve toezicht. Omdat het mandaat van de Orde strikt beperkt is tot de individuele zorgverlener, dwingt het systeem de burger om de arts als uitsluitende verantwoordelijke aan te spreken. Hierbij ontstaat een juridische blinde vlek: de procedure toetst de arts, maar kan niet vaststellen in hoeverre de IT-architectuur van de CM de beslissingen in werkelijkheid autonoom stuurt. De arts wordt tuchtrechtelijk afgerekend</w:t>
      </w:r>
      <w:r>
        <w:rPr>
          <w:lang w:val="nl-NL"/>
        </w:rPr>
        <w:t xml:space="preserve"> op documenten waarop zij mogelijk enkel nog als een digitaal stempel fungeert.</w:t>
      </w:r>
    </w:p>
    <w:p w14:paraId="15757A1E" w14:textId="77777777" w:rsidR="00773516" w:rsidRDefault="00773516">
      <w:pPr>
        <w:pStyle w:val="Normaalweb"/>
        <w:divId w:val="1477067237"/>
        <w:rPr>
          <w:lang w:val="nl-NL"/>
        </w:rPr>
      </w:pPr>
      <w:r>
        <w:rPr>
          <w:lang w:val="nl-NL"/>
        </w:rPr>
        <w:t xml:space="preserve">De functionele limiet van dit escalatiekanaal manifesteert zich in de gevolgen van een mogelijke veroordeling. Zelfs indien de Provinciale Raad de klacht valideert en de betrokken arts sanctioneert, heeft deze uitspraak geen opschortende of corrigerende werking op de administratieve beslissing van het ziekenfonds ten aanzien van de patiënt. Het ziekenfonds behoudt zijn systeemarchitectuur en kan de gesanctioneerde arts procedureel vervangen door een andere adviserend arts. Deze opvolger wordt vervolgens in </w:t>
      </w:r>
      <w:r>
        <w:rPr>
          <w:lang w:val="nl-NL"/>
        </w:rPr>
        <w:t>exact hetzelfde geautomatiseerde besluitvormingsproces ingeschakeld. De tuchtrechtelijke interventie treft hierdoor uitsluitend het individu en haar licentie, terwijl het achterliggende datanetwerk van de organisatie ongehinderd blijft functioneren.</w:t>
      </w:r>
    </w:p>
    <w:p w14:paraId="6546859A" w14:textId="77777777" w:rsidR="00773516" w:rsidRDefault="00773516">
      <w:pPr>
        <w:pStyle w:val="marker"/>
        <w:ind w:left="800" w:right="800"/>
        <w:divId w:val="1477067237"/>
        <w:rPr>
          <w:lang w:val="nl-NL"/>
        </w:rPr>
      </w:pPr>
      <w:r>
        <w:br w:type="page"/>
      </w:r>
    </w:p>
    <w:p w14:paraId="17D02BA7" w14:textId="77777777" w:rsidR="00773516" w:rsidRDefault="00773516">
      <w:pPr>
        <w:pStyle w:val="Kop3"/>
        <w:divId w:val="1477067237"/>
        <w:rPr>
          <w:rFonts w:eastAsia="Times New Roman"/>
          <w:lang w:val="nl-NL"/>
        </w:rPr>
      </w:pPr>
      <w:bookmarkStart w:id="27" w:name="_Toc242189454"/>
      <w:r>
        <w:rPr>
          <w:rFonts w:eastAsia="Times New Roman"/>
          <w:lang w:val="nl-NL"/>
        </w:rPr>
        <w:t>POLITIEKE PARTIJEN &amp; FRACTIES</w:t>
      </w:r>
      <w:bookmarkEnd w:id="27"/>
    </w:p>
    <w:p w14:paraId="28276EE0" w14:textId="77777777" w:rsidR="00773516" w:rsidRDefault="00773516">
      <w:pPr>
        <w:pStyle w:val="subtitel"/>
        <w:divId w:val="1477067237"/>
        <w:rPr>
          <w:lang w:val="nl-NL"/>
        </w:rPr>
      </w:pPr>
      <w:r>
        <w:rPr>
          <w:lang w:val="nl-NL"/>
        </w:rPr>
        <w:t>De Uitzichtloze Beleidsmolen</w:t>
      </w:r>
    </w:p>
    <w:p w14:paraId="0BD54C9D" w14:textId="77777777" w:rsidR="00773516" w:rsidRDefault="00773516">
      <w:pPr>
        <w:pStyle w:val="Normaalweb"/>
        <w:divId w:val="1477067237"/>
        <w:rPr>
          <w:lang w:val="nl-NL"/>
        </w:rPr>
      </w:pPr>
      <w:r>
        <w:rPr>
          <w:lang w:val="nl-NL"/>
        </w:rPr>
        <w:t xml:space="preserve">De cirkel van stilstand eindigt bij de enigen die daadwerkelijk de macht hebben om falende wetten te herschrijven: de politieke partijen en hun verkozen fracties. In april en juni 2026 wordt de Systeem-Audit verzonden naar de voorzitters en secretariaten van alle grote partijen in België. Wat volgt is een consequent patroon van politieke niet-inmenging. Het merendeel van de partijen (zoals Ecolo, MR, Vooruit en Open VLD) produceert helemaal geen antwoord en laat het dossier ongelezen achter in de politieke </w:t>
      </w:r>
      <w:r>
        <w:rPr>
          <w:lang w:val="nl-NL"/>
        </w:rPr>
        <w:t>mailbox.</w:t>
      </w:r>
    </w:p>
    <w:p w14:paraId="10E8D038" w14:textId="77777777" w:rsidR="00773516" w:rsidRDefault="00773516">
      <w:pPr>
        <w:pStyle w:val="Normaalweb"/>
        <w:divId w:val="1477067237"/>
        <w:rPr>
          <w:lang w:val="nl-NL"/>
        </w:rPr>
      </w:pPr>
      <w:r>
        <w:rPr>
          <w:lang w:val="nl-NL"/>
        </w:rPr>
        <w:t>De partijen die wel reageren, bedienen zich van standaard protocollen om onmiddellijke actie te vermijden. Zo stelt de regeringspartij N-VA simpelweg geen individuele dossiers te kunnen beoordelen en verwijst zij de burger simpelweg terug naar de administratieve diensten die de klok rond precies de bron van het probleem zijn. Anderen, zoals de PS en de CD&amp;V, tonen begrip of zelfs empathie voor de situatie, maar weigeren parlementaire instrumenten in te zetten. Zij schuiven het dossier stilletjes door naar h</w:t>
      </w:r>
      <w:r>
        <w:rPr>
          <w:lang w:val="nl-NL"/>
        </w:rPr>
        <w:t>un eigen 'studiediensten'. Daar wordt de actuele noodsituatie van de burger omgevormd tot een abstract theoretisch knelpunt voor langetermijnbeleid.</w:t>
      </w:r>
    </w:p>
    <w:p w14:paraId="4E88BC20" w14:textId="77777777" w:rsidR="00773516" w:rsidRDefault="00773516">
      <w:pPr>
        <w:pStyle w:val="Normaalweb"/>
        <w:divId w:val="1477067237"/>
        <w:rPr>
          <w:lang w:val="nl-NL"/>
        </w:rPr>
      </w:pPr>
      <w:r>
        <w:rPr>
          <w:lang w:val="nl-NL"/>
        </w:rPr>
        <w:t xml:space="preserve">Opvallend genoeg volgt de enige snelle, inhoudelijke en actiegerichte reactie niet vanuit het nationale partijhoofdkwartier, maar via het Europese kanaal van een aangeschreven Europarlementariër, die de weeffouten herkent en toezegt deze mee te nemen in de herziening van de Europese regels. De brede nationale politiek weigert echter categorisch om de acute systeemfout politiek te agenderen. Zij schrijven de wetten die de grensarbeider uitsluiten, maar zodra die burger aantoont dat de theorie in de praktijk </w:t>
      </w:r>
      <w:r>
        <w:rPr>
          <w:lang w:val="nl-NL"/>
        </w:rPr>
        <w:t>levens verwoest, verbergen de wetgevers zich veilig achter de ondoorgrondelijke molens van hun eigen studiediensten.</w:t>
      </w:r>
    </w:p>
    <w:p w14:paraId="20B55FFD" w14:textId="77777777" w:rsidR="00773516" w:rsidRDefault="00773516">
      <w:pPr>
        <w:pStyle w:val="marker"/>
        <w:ind w:left="800" w:right="800"/>
        <w:divId w:val="1477067237"/>
        <w:rPr>
          <w:lang w:val="nl-NL"/>
        </w:rPr>
      </w:pPr>
      <w:r>
        <w:br w:type="page"/>
      </w:r>
    </w:p>
    <w:p w14:paraId="6F3E7320" w14:textId="77777777" w:rsidR="00773516" w:rsidRDefault="00773516">
      <w:pPr>
        <w:pStyle w:val="Kop3"/>
        <w:divId w:val="1477067237"/>
        <w:rPr>
          <w:rFonts w:eastAsia="Times New Roman"/>
          <w:lang w:val="nl-NL"/>
        </w:rPr>
      </w:pPr>
      <w:bookmarkStart w:id="28" w:name="_Toc242189455"/>
      <w:r>
        <w:rPr>
          <w:rFonts w:eastAsia="Times New Roman"/>
          <w:lang w:val="nl-NL"/>
        </w:rPr>
        <w:t>RIZIV</w:t>
      </w:r>
      <w:bookmarkEnd w:id="28"/>
    </w:p>
    <w:p w14:paraId="49D379A7" w14:textId="77777777" w:rsidR="00773516" w:rsidRDefault="00773516">
      <w:pPr>
        <w:pStyle w:val="subtitel"/>
        <w:divId w:val="1477067237"/>
        <w:rPr>
          <w:lang w:val="nl-NL"/>
        </w:rPr>
      </w:pPr>
      <w:r>
        <w:rPr>
          <w:lang w:val="nl-NL"/>
        </w:rPr>
        <w:t>De Ontwerper van de Cirkelredenering en het Toezichtsvacuüm</w:t>
      </w:r>
    </w:p>
    <w:p w14:paraId="50EECC37" w14:textId="77777777" w:rsidR="00773516" w:rsidRDefault="00773516">
      <w:pPr>
        <w:pStyle w:val="Normaalweb"/>
        <w:divId w:val="1477067237"/>
        <w:rPr>
          <w:lang w:val="nl-NL"/>
        </w:rPr>
      </w:pPr>
      <w:r>
        <w:rPr>
          <w:lang w:val="nl-NL"/>
        </w:rPr>
        <w:t>Wanneer de uitvoerende instanties en het sociaal parket geen doorgang bieden, verschuift het administratieve traject naar de regisseur van het systeem: het Rijksinstituut voor Ziekte- en Invaliditeitsverzekering (RIZIV). Deze federale overheidsdienst beheert de budgetten en bepaalt de regels waaraan ziekenfondsen zich dienen te houden. In het voorjaar van 2026 wordt de afdeling Internationale Zaken formeel aangeschreven met het verzoek de toepassing van de Europese regels voor grensarbeiders *1* te handhave</w:t>
      </w:r>
      <w:r>
        <w:rPr>
          <w:lang w:val="nl-NL"/>
        </w:rPr>
        <w:t>n en de medische erkenning formeel los te koppelen van het recht op een financiële uitkering.</w:t>
      </w:r>
    </w:p>
    <w:p w14:paraId="741D3DEF" w14:textId="77777777" w:rsidR="00773516" w:rsidRDefault="00773516">
      <w:pPr>
        <w:pStyle w:val="Normaalweb"/>
        <w:divId w:val="1477067237"/>
        <w:rPr>
          <w:lang w:val="nl-NL"/>
        </w:rPr>
      </w:pPr>
      <w:r>
        <w:rPr>
          <w:lang w:val="nl-NL"/>
        </w:rPr>
        <w:t>De schriftelijke reactie in mei 2026 bevestigt principieel dat een medische vaststelling wettelijk mogelijk is zonder dat daar een financiële uitkering aan gekoppeld is. Hiermee wordt het procedurele verweer van het ziekenfonds – dat deze koppeling dwingend zou zijn – feitelijk ontkracht. Desondanks weigert het instituut deze vaststelling om te zetten in een bindende correctie naar de uitvoerende instantie toe.</w:t>
      </w:r>
    </w:p>
    <w:p w14:paraId="20DDDF81" w14:textId="77777777" w:rsidR="00773516" w:rsidRDefault="00773516">
      <w:pPr>
        <w:pStyle w:val="Normaalweb"/>
        <w:divId w:val="1477067237"/>
        <w:rPr>
          <w:lang w:val="nl-NL"/>
        </w:rPr>
      </w:pPr>
      <w:r>
        <w:rPr>
          <w:lang w:val="nl-NL"/>
        </w:rPr>
        <w:t>In plaats van sturend op te treden, verwijst de toezichthouder naar de eigen procedurele richtlijnen. Om de onafhankelijke Geneeskundige Raad voor Invaliditeit (GRI) in te schakelen, dicteert de regelgeving dat de aanvraag verplicht via het ziekenfonds moet verlopen. Hiermee ontstaat een gesloten administratieve cirkel: de burger wordt verplicht de instantie in te schakelen die de procedure blokkeert, om de blokkade te laten onderzoeken. Het RIZIV gebruikt zijn bevoegdheid als beheerder van de ziekteverzeke</w:t>
      </w:r>
      <w:r>
        <w:rPr>
          <w:lang w:val="nl-NL"/>
        </w:rPr>
        <w:t>ring niet om een weigerende instantie te passeren, waardoor de procedure feitelijk stagneert.</w:t>
      </w:r>
    </w:p>
    <w:p w14:paraId="7AD41E11" w14:textId="77777777" w:rsidR="00773516" w:rsidRDefault="00773516">
      <w:pPr>
        <w:pStyle w:val="Normaalweb"/>
        <w:divId w:val="1477067237"/>
        <w:rPr>
          <w:lang w:val="nl-NL"/>
        </w:rPr>
      </w:pPr>
      <w:r>
        <w:rPr>
          <w:lang w:val="nl-NL"/>
        </w:rPr>
        <w:t xml:space="preserve">In september 2026 objectiveert de functionaris voor gegevensbescherming (DPO) van het RIZIV een bijkomend structureel falen binnen het netwerk. Uit een onafhankelijke raadpleging van het nationale EESSI-knooppunt *2* blijkt dat er in de voorafgaande zes maanden geen enkel elektronisch bericht inzake de verdragspolis of invaliditeit is uitgewisseld tussen het betrokken Belgische ziekenfonds en de Nederlandse instanties. Hoewel de toezichthouder hiermee het verzuim van de verplichte geautomatiseerde Europese </w:t>
      </w:r>
      <w:r>
        <w:rPr>
          <w:lang w:val="nl-NL"/>
        </w:rPr>
        <w:t>gegevensuitwisseling *3* feitelijk vaststelt, verklaart het RIZIV geen tussenkomst of directe toegang tot deze specifieke uitwisseling te hebben. De instantie registreert de radiostilte, maar neemt geen handhavende stappen tegen het ziekenfonds. Hierdoor blijft de burger genoodzaakt de transnationale gegevensstroom handmatig te faciliteren.</w:t>
      </w:r>
    </w:p>
    <w:p w14:paraId="369279F2" w14:textId="77777777" w:rsidR="00773516" w:rsidRDefault="00773516">
      <w:pPr>
        <w:divId w:val="1077633994"/>
        <w:rPr>
          <w:color w:val="555555"/>
          <w:sz w:val="20"/>
          <w:szCs w:val="20"/>
          <w:lang w:val="nl-NL"/>
        </w:rPr>
      </w:pPr>
      <w:r>
        <w:rPr>
          <w:color w:val="555555"/>
          <w:sz w:val="20"/>
          <w:szCs w:val="20"/>
          <w:lang w:val="nl-NL"/>
        </w:rPr>
        <w:t>*1* Verordening (EG) 883/2004 en de dwingende jurisprudentie van het Hof van Justitie van de Europese Unie (waaronder het Vester-arrest C-134/18), die de coördinatie van socialezekerheidsstelsels en de naadloze samentelling van verzekeringstijdvakken voorschrijven.</w:t>
      </w:r>
    </w:p>
    <w:p w14:paraId="2C5D17DA" w14:textId="77777777" w:rsidR="00773516" w:rsidRDefault="00773516">
      <w:pPr>
        <w:divId w:val="1077633994"/>
        <w:rPr>
          <w:color w:val="555555"/>
          <w:sz w:val="20"/>
          <w:szCs w:val="20"/>
          <w:lang w:val="nl-NL"/>
        </w:rPr>
      </w:pPr>
      <w:r>
        <w:rPr>
          <w:color w:val="555555"/>
          <w:sz w:val="20"/>
          <w:szCs w:val="20"/>
          <w:lang w:val="nl-NL"/>
        </w:rPr>
        <w:t>*2* Electronic Exchange of Social Security Information (EESSI), het beveiligde Europese IT-netwerk voor de geautomatiseerde uitwisseling van gestructureerde elektronische documenten (SED's) tussen nationale instanties.</w:t>
      </w:r>
    </w:p>
    <w:p w14:paraId="0A68BEFF" w14:textId="77777777" w:rsidR="00773516" w:rsidRDefault="00773516">
      <w:pPr>
        <w:divId w:val="1077633994"/>
        <w:rPr>
          <w:color w:val="555555"/>
          <w:sz w:val="20"/>
          <w:szCs w:val="20"/>
          <w:lang w:val="nl-NL"/>
        </w:rPr>
      </w:pPr>
      <w:r>
        <w:rPr>
          <w:color w:val="555555"/>
          <w:sz w:val="20"/>
          <w:szCs w:val="20"/>
          <w:lang w:val="nl-NL"/>
        </w:rPr>
        <w:t>*3* Uitvoeringsverordening (EG) 987/2009, die de verplichte en onverwijlde elektronische uitwisseling van gegevens (via EESSI) tussen de bevoegde organen van de lidstaten wettelijk verankert.</w:t>
      </w:r>
    </w:p>
    <w:p w14:paraId="797F034B" w14:textId="77777777" w:rsidR="00773516" w:rsidRDefault="00773516">
      <w:pPr>
        <w:pStyle w:val="marker"/>
        <w:ind w:left="800" w:right="800"/>
        <w:divId w:val="1477067237"/>
        <w:rPr>
          <w:lang w:val="nl-NL"/>
        </w:rPr>
      </w:pPr>
      <w:r>
        <w:br w:type="page"/>
      </w:r>
    </w:p>
    <w:p w14:paraId="4BFDAF28" w14:textId="77777777" w:rsidR="00773516" w:rsidRDefault="00773516">
      <w:pPr>
        <w:pStyle w:val="Kop3"/>
        <w:divId w:val="1477067237"/>
        <w:rPr>
          <w:rFonts w:eastAsia="Times New Roman"/>
          <w:lang w:val="nl-NL"/>
        </w:rPr>
      </w:pPr>
      <w:bookmarkStart w:id="29" w:name="_Toc242189456"/>
      <w:r>
        <w:rPr>
          <w:rFonts w:eastAsia="Times New Roman"/>
          <w:lang w:val="nl-NL"/>
        </w:rPr>
        <w:t>UNIA</w:t>
      </w:r>
      <w:bookmarkEnd w:id="29"/>
    </w:p>
    <w:p w14:paraId="5E357A5B" w14:textId="77777777" w:rsidR="00773516" w:rsidRDefault="00773516">
      <w:pPr>
        <w:pStyle w:val="subtitel"/>
        <w:divId w:val="1477067237"/>
        <w:rPr>
          <w:lang w:val="nl-NL"/>
        </w:rPr>
      </w:pPr>
      <w:r>
        <w:rPr>
          <w:lang w:val="nl-NL"/>
        </w:rPr>
        <w:t>De Geketende Waakhond en Gelegaliseerde Discriminatie</w:t>
      </w:r>
    </w:p>
    <w:p w14:paraId="44A3D352" w14:textId="77777777" w:rsidR="00773516" w:rsidRDefault="00773516">
      <w:pPr>
        <w:pStyle w:val="Normaalweb"/>
        <w:divId w:val="1477067237"/>
        <w:rPr>
          <w:lang w:val="nl-NL"/>
        </w:rPr>
      </w:pPr>
      <w:r>
        <w:rPr>
          <w:lang w:val="nl-NL"/>
        </w:rPr>
        <w:t>Wanneer uitvoerende instanties een burger bewust uitsluiten op basis van zijn woonplaats in een buurland, rijst onmiddellijk de vraag naar discriminatie. In België is UNIA (het Interfederaal Gelijkekansencentrum) de onafhankelijke waakhond die zulke situaties moet onderzoeken. In april 2026 ontvangt deze instantie de volledige dossieropbouw rondom de uitsluiting van de grensarbeider, waarbij de weigering van medische erkenningen puur vanwege een Nederlands domicilie wordt aangekaart.</w:t>
      </w:r>
    </w:p>
    <w:p w14:paraId="5BEEB798" w14:textId="77777777" w:rsidR="00773516" w:rsidRDefault="00773516">
      <w:pPr>
        <w:pStyle w:val="Normaalweb"/>
        <w:divId w:val="1477067237"/>
        <w:rPr>
          <w:lang w:val="nl-NL"/>
        </w:rPr>
      </w:pPr>
      <w:r>
        <w:rPr>
          <w:lang w:val="nl-NL"/>
        </w:rPr>
        <w:t>De beoordeling door UNIA ontmaskert echter een tekort in de Belgische antidiscriminatiewetgeving. De waakhond verklaart zich namelijk formeel onbevoegd, en wel om twee dodelijke redenen. Ten eerste: in de wet is 'woonplaats' simpelweg geen beschermd criterium. Men mag een burger dus probleemloos anders behandelen of uitsluiten puur omdat hij net over de grens slaapt. Ten tweede, en nog veel fundamenteler: UNIA mag geen actie ondernemen als de uitsluiting direct voortvloeit uit een wet of een decreet.</w:t>
      </w:r>
    </w:p>
    <w:p w14:paraId="70063502" w14:textId="77777777" w:rsidR="00773516" w:rsidRDefault="00773516">
      <w:pPr>
        <w:pStyle w:val="Normaalweb"/>
        <w:divId w:val="1477067237"/>
        <w:rPr>
          <w:lang w:val="nl-NL"/>
        </w:rPr>
      </w:pPr>
      <w:r>
        <w:rPr>
          <w:lang w:val="nl-NL"/>
        </w:rPr>
        <w:t>Dit is de ultieme paradox van institutionele rechtvaardigheid: als een ambtenaar discrimineert, kan de waakhond ingrijpen, maar als de wet zelf discrimineert, is de waakhond machteloos. De enige instantie die discriminerende wetten mag toetsen en vernietigen is het Grondwettelijk Hof. Voor de burger betekent dit een situatie zonder uitweg, want dit Hof is alleen toegankelijk via loodzware en kostbare juridische rechtszaken. UNIA sluit het dossier, en bevestigt daarmee ongewild dat structurele uitsluiting va</w:t>
      </w:r>
      <w:r>
        <w:rPr>
          <w:lang w:val="nl-NL"/>
        </w:rPr>
        <w:t>n grensarbeiders binnen het huidige systeem volkomen gelegaliseerd is.</w:t>
      </w:r>
    </w:p>
    <w:p w14:paraId="71C83EA9" w14:textId="77777777" w:rsidR="00773516" w:rsidRDefault="00773516">
      <w:pPr>
        <w:pStyle w:val="marker"/>
        <w:ind w:left="800" w:right="800"/>
        <w:divId w:val="1477067237"/>
        <w:rPr>
          <w:lang w:val="nl-NL"/>
        </w:rPr>
      </w:pPr>
      <w:r>
        <w:br w:type="page"/>
      </w:r>
    </w:p>
    <w:p w14:paraId="79206550" w14:textId="77777777" w:rsidR="00773516" w:rsidRDefault="00773516">
      <w:pPr>
        <w:pStyle w:val="Kop1"/>
        <w:divId w:val="1477067237"/>
        <w:rPr>
          <w:rFonts w:eastAsia="Times New Roman"/>
          <w:lang w:val="nl-NL"/>
        </w:rPr>
      </w:pPr>
      <w:bookmarkStart w:id="30" w:name="_Toc242189457"/>
      <w:r>
        <w:rPr>
          <w:rFonts w:eastAsia="Times New Roman"/>
          <w:lang w:val="nl-NL"/>
        </w:rPr>
        <w:t>II. Nederland</w:t>
      </w:r>
      <w:bookmarkEnd w:id="30"/>
    </w:p>
    <w:p w14:paraId="6ADBB348" w14:textId="77777777" w:rsidR="00773516" w:rsidRDefault="00773516">
      <w:pPr>
        <w:pStyle w:val="Kop2"/>
        <w:divId w:val="1477067237"/>
        <w:rPr>
          <w:rFonts w:eastAsia="Times New Roman"/>
          <w:lang w:val="nl-NL"/>
        </w:rPr>
      </w:pPr>
      <w:bookmarkStart w:id="31" w:name="_Toc242189458"/>
      <w:r>
        <w:rPr>
          <w:rFonts w:eastAsia="Times New Roman"/>
          <w:lang w:val="nl-NL"/>
        </w:rPr>
        <w:t>Zorg &amp; Verzekering</w:t>
      </w:r>
      <w:bookmarkEnd w:id="31"/>
    </w:p>
    <w:p w14:paraId="0979CFDD" w14:textId="77777777" w:rsidR="00773516" w:rsidRDefault="00773516">
      <w:pPr>
        <w:pStyle w:val="Kop3"/>
        <w:divId w:val="1477067237"/>
        <w:rPr>
          <w:rFonts w:eastAsia="Times New Roman"/>
          <w:lang w:val="nl-NL"/>
        </w:rPr>
      </w:pPr>
      <w:bookmarkStart w:id="32" w:name="_Toc242189459"/>
      <w:r>
        <w:rPr>
          <w:rFonts w:eastAsia="Times New Roman"/>
          <w:lang w:val="nl-NL"/>
        </w:rPr>
        <w:t>CAK</w:t>
      </w:r>
      <w:bookmarkEnd w:id="32"/>
    </w:p>
    <w:p w14:paraId="21280AC2" w14:textId="77777777" w:rsidR="00773516" w:rsidRDefault="00773516">
      <w:pPr>
        <w:pStyle w:val="subtitel"/>
        <w:divId w:val="1477067237"/>
        <w:rPr>
          <w:lang w:val="nl-NL"/>
        </w:rPr>
      </w:pPr>
      <w:r>
        <w:rPr>
          <w:lang w:val="nl-NL"/>
        </w:rPr>
        <w:t>De Ontbrekende Categorie in de Databank</w:t>
      </w:r>
    </w:p>
    <w:p w14:paraId="1831742B" w14:textId="77777777" w:rsidR="00773516" w:rsidRDefault="00773516">
      <w:pPr>
        <w:pStyle w:val="Normaalweb"/>
        <w:divId w:val="1477067237"/>
        <w:rPr>
          <w:lang w:val="nl-NL"/>
        </w:rPr>
      </w:pPr>
      <w:r>
        <w:rPr>
          <w:lang w:val="nl-NL"/>
        </w:rPr>
        <w:t>Het falen van CZ bij het doorgeven van de verdragspolis vindt zijn oorzaak bij de ontvangende partij: het Centraal Administratie Kantoor (CAK). Deze Nederlandse overheidsinstantie is de landelijke beheerder van het verzekeringsregister. Dit register fungeert als de absolute waarheid voor de Belastingdienst: wie hier niet als verzekerd staat aangemerkt, krijgt geen zorgtoeslag. Wanneer de burger in april 2026 formeel eist dat zijn actieve en betaalde verdragspolis in deze databank wordt bijgeschreven, legt h</w:t>
      </w:r>
      <w:r>
        <w:rPr>
          <w:lang w:val="nl-NL"/>
        </w:rPr>
        <w:t>et CAK een fundamentele architectuurfout in de eigen systemen bloot.</w:t>
      </w:r>
    </w:p>
    <w:p w14:paraId="3C42583C" w14:textId="77777777" w:rsidR="00773516" w:rsidRDefault="00773516">
      <w:pPr>
        <w:pStyle w:val="Normaalweb"/>
        <w:divId w:val="1477067237"/>
        <w:rPr>
          <w:lang w:val="nl-NL"/>
        </w:rPr>
      </w:pPr>
      <w:r>
        <w:rPr>
          <w:lang w:val="nl-NL"/>
        </w:rPr>
        <w:t>De instantie weigert de polis te registreren met een uiterst procedureel argument. Het CAK stelt dat zij uitsluitend de 'standaard' grensarbeider registreren: de persoon die in Nederland werkt en in het buitenland woont. Voor de omgekeerde situatie — wonen in Nederland, werken in het buitenland — is er simpelweg geen categorie in het systeem geprogrammeerd. De wet staat het toe, het verdrag regelt het, maar de computer kent het formulierveld niet.</w:t>
      </w:r>
    </w:p>
    <w:p w14:paraId="583FBBA1" w14:textId="77777777" w:rsidR="00773516" w:rsidRDefault="00773516">
      <w:pPr>
        <w:pStyle w:val="Normaalweb"/>
        <w:divId w:val="1477067237"/>
        <w:rPr>
          <w:lang w:val="nl-NL"/>
        </w:rPr>
      </w:pPr>
      <w:r>
        <w:rPr>
          <w:lang w:val="nl-NL"/>
        </w:rPr>
        <w:t>In plaats van deze administratieve fout te herstellen en de Europese burgerrechten te borgen, kiest de overheidsdienst voor de eenvoudigste weg: men sluit het dossier en weigert verdere actie. Door het ontbreken van één digitaal label wordt een inwoner van Nederland door de eigen overheid structureel als 'onverzekerd' bestempeld, waardoor financiële tegemoetkomingen op de nul-stand worden bevroren.</w:t>
      </w:r>
    </w:p>
    <w:p w14:paraId="11C8E94D" w14:textId="77777777" w:rsidR="00773516" w:rsidRDefault="00773516">
      <w:pPr>
        <w:pStyle w:val="marker"/>
        <w:ind w:left="800" w:right="800"/>
        <w:divId w:val="1477067237"/>
        <w:rPr>
          <w:lang w:val="nl-NL"/>
        </w:rPr>
      </w:pPr>
      <w:r>
        <w:br w:type="page"/>
      </w:r>
    </w:p>
    <w:p w14:paraId="52667A0C" w14:textId="77777777" w:rsidR="00773516" w:rsidRDefault="00773516">
      <w:pPr>
        <w:pStyle w:val="Kop3"/>
        <w:divId w:val="1477067237"/>
        <w:rPr>
          <w:rFonts w:eastAsia="Times New Roman"/>
          <w:lang w:val="nl-NL"/>
        </w:rPr>
      </w:pPr>
      <w:bookmarkStart w:id="33" w:name="_Toc242189460"/>
      <w:r>
        <w:rPr>
          <w:rFonts w:eastAsia="Times New Roman"/>
          <w:lang w:val="nl-NL"/>
        </w:rPr>
        <w:t>CZ</w:t>
      </w:r>
      <w:bookmarkEnd w:id="33"/>
    </w:p>
    <w:p w14:paraId="4064FBA5" w14:textId="77777777" w:rsidR="00773516" w:rsidRDefault="00773516">
      <w:pPr>
        <w:pStyle w:val="subtitel"/>
        <w:divId w:val="1477067237"/>
        <w:rPr>
          <w:lang w:val="nl-NL"/>
        </w:rPr>
      </w:pPr>
      <w:r>
        <w:rPr>
          <w:lang w:val="nl-NL"/>
        </w:rPr>
        <w:t>De Verdragspolis en Incompatibele Protocollen</w:t>
      </w:r>
    </w:p>
    <w:p w14:paraId="7D16C83F" w14:textId="77777777" w:rsidR="00773516" w:rsidRDefault="00773516">
      <w:pPr>
        <w:pStyle w:val="Normaalweb"/>
        <w:divId w:val="1477067237"/>
        <w:rPr>
          <w:lang w:val="nl-NL"/>
        </w:rPr>
      </w:pPr>
      <w:r>
        <w:rPr>
          <w:lang w:val="nl-NL"/>
        </w:rPr>
        <w:t>Voor een inwoner van Nederland die in België werkt, verloopt de ziektekostendekking via een zogenaamde verdragspolis *1*, in dit dossier uitgevoerd door verzekeraar CZ. Deze instantie bevindt zich direct op het kruispunt van twee nationale systemen en illustreert de striktheid van protocollen. CZ vergoedt de fysieke medische rekeningen van zowel de Belgische ziekenhuizen als de Nederlandse thuiszorg probleemloos. De frictie ontstaat pas wanneer er logistieke ondersteuning nodig is in de vorm van zittend zie</w:t>
      </w:r>
      <w:r>
        <w:rPr>
          <w:lang w:val="nl-NL"/>
        </w:rPr>
        <w:t>kenvervoer.</w:t>
      </w:r>
    </w:p>
    <w:p w14:paraId="6E0D1AE3" w14:textId="77777777" w:rsidR="00773516" w:rsidRDefault="00773516">
      <w:pPr>
        <w:pStyle w:val="Normaalweb"/>
        <w:divId w:val="1477067237"/>
        <w:rPr>
          <w:lang w:val="nl-NL"/>
        </w:rPr>
      </w:pPr>
      <w:r>
        <w:rPr>
          <w:lang w:val="nl-NL"/>
        </w:rPr>
        <w:t>Ondanks de objectief vastgestelde amputaties en het kritieke visusverlies, wijst CZ het medisch transport af. De verzekeraar baseert deze afwijzing op één ontbrekend controlevinkje: een gezichtsveldonderzoek. Het probleem is dat dit specifieke onderzoek binnen de klinische protocollen van het Belgische ziekenhuis bij deze aandoening helemaal niet standaard wordt uitgevoerd. CZ eist dus een administratief bewijsstuk dat in het behandelende land niet bestaat. Zelfs wanneer de patiënt sluitende alternatieve be</w:t>
      </w:r>
      <w:r>
        <w:rPr>
          <w:lang w:val="nl-NL"/>
        </w:rPr>
        <w:t>wijzen uit een universitair ziekenhuis overlegt en een beroep doet op de hardheidsclausule, weigert de verzekeraar af te wijken van zijn wiskundige rekenmethode. Het algoritme dicteert de uitkomst en de patiënt wordt letterlijk stilgezet.</w:t>
      </w:r>
    </w:p>
    <w:p w14:paraId="07CD5601" w14:textId="77777777" w:rsidR="00773516" w:rsidRDefault="00773516">
      <w:pPr>
        <w:pStyle w:val="Normaalweb"/>
        <w:divId w:val="1477067237"/>
        <w:rPr>
          <w:lang w:val="nl-NL"/>
        </w:rPr>
      </w:pPr>
      <w:r>
        <w:rPr>
          <w:lang w:val="nl-NL"/>
        </w:rPr>
        <w:t>Daarnaast veroorzaakt CZ een massale administratieve kettingbotsing op de achtergrond. De verzekeraar verzuimt om de actieve verdragspolis succesvol door te sluizen naar het landelijke Nederlandse verzekeringsregister *2*. Hierdoor 'denkt' de Nederlandse belastingdienst dat de burger onverzekerd is, wat onmiddellijk leidt tot de stopzetting van de wettelijke zorgtoeslag. Een interne datafout bij de verzekeraar vertaalt zich zo direct in een inkomensverlies voor de patiënt.</w:t>
      </w:r>
    </w:p>
    <w:p w14:paraId="6B690840" w14:textId="77777777" w:rsidR="00773516" w:rsidRDefault="00773516">
      <w:pPr>
        <w:pStyle w:val="Normaalweb"/>
        <w:divId w:val="1477067237"/>
        <w:rPr>
          <w:lang w:val="nl-NL"/>
        </w:rPr>
      </w:pPr>
      <w:r>
        <w:rPr>
          <w:lang w:val="nl-NL"/>
        </w:rPr>
        <w:t>Op 22 september 2026 bevestigt CZ (Divisie Operations) met formele excuses voor de vertraging de ontvangst van het op 7 september 2026 ingediende inzageverzoek aan de Functionaris voor Gegevensbescherming. De instantie verklaart dat het verzoek in behandeling is genomen en zegt een inhoudelijke reactie toe binnen dertig dagen na de originele ontvangstdatum.</w:t>
      </w:r>
    </w:p>
    <w:p w14:paraId="376E7FAE" w14:textId="77777777" w:rsidR="00773516" w:rsidRDefault="00773516">
      <w:pPr>
        <w:divId w:val="1387754875"/>
        <w:rPr>
          <w:color w:val="555555"/>
          <w:sz w:val="20"/>
          <w:szCs w:val="20"/>
          <w:lang w:val="nl-NL"/>
        </w:rPr>
      </w:pPr>
      <w:r>
        <w:rPr>
          <w:color w:val="555555"/>
          <w:sz w:val="20"/>
          <w:szCs w:val="20"/>
          <w:lang w:val="nl-NL"/>
        </w:rPr>
        <w:t>*1* Een polis gebaseerd op Europese afspraken waarbij de grensarbeider in het werkland premie betaalt, maar via een verdrag in het woonland aanspraak maakt op medische zorg.</w:t>
      </w:r>
    </w:p>
    <w:p w14:paraId="2524F694" w14:textId="77777777" w:rsidR="00773516" w:rsidRDefault="00773516">
      <w:pPr>
        <w:divId w:val="1387754875"/>
        <w:rPr>
          <w:color w:val="555555"/>
          <w:sz w:val="20"/>
          <w:szCs w:val="20"/>
          <w:lang w:val="nl-NL"/>
        </w:rPr>
      </w:pPr>
      <w:r>
        <w:rPr>
          <w:color w:val="555555"/>
          <w:sz w:val="20"/>
          <w:szCs w:val="20"/>
          <w:lang w:val="nl-NL"/>
        </w:rPr>
        <w:t>*2* Het Referentiebestand Verzekerden Zorgverzekeringswet (RIV).</w:t>
      </w:r>
    </w:p>
    <w:p w14:paraId="2F64B471" w14:textId="77777777" w:rsidR="00773516" w:rsidRDefault="00773516">
      <w:pPr>
        <w:pStyle w:val="marker"/>
        <w:ind w:left="800" w:right="800"/>
        <w:divId w:val="1477067237"/>
        <w:rPr>
          <w:lang w:val="nl-NL"/>
        </w:rPr>
      </w:pPr>
      <w:r>
        <w:br w:type="page"/>
      </w:r>
    </w:p>
    <w:p w14:paraId="21F61D42" w14:textId="77777777" w:rsidR="00773516" w:rsidRDefault="00773516">
      <w:pPr>
        <w:pStyle w:val="Kop3"/>
        <w:divId w:val="1477067237"/>
        <w:rPr>
          <w:rFonts w:eastAsia="Times New Roman"/>
          <w:lang w:val="nl-NL"/>
        </w:rPr>
      </w:pPr>
      <w:bookmarkStart w:id="34" w:name="_Toc242189461"/>
      <w:r>
        <w:rPr>
          <w:rFonts w:eastAsia="Times New Roman"/>
          <w:lang w:val="nl-NL"/>
        </w:rPr>
        <w:t>ONAFHANKELIJKE EXPERTS (NL)</w:t>
      </w:r>
      <w:bookmarkEnd w:id="34"/>
    </w:p>
    <w:p w14:paraId="79CD2EE9" w14:textId="77777777" w:rsidR="00773516" w:rsidRDefault="00773516">
      <w:pPr>
        <w:pStyle w:val="subtitel"/>
        <w:divId w:val="1477067237"/>
        <w:rPr>
          <w:lang w:val="nl-NL"/>
        </w:rPr>
      </w:pPr>
      <w:r>
        <w:rPr>
          <w:lang w:val="nl-NL"/>
        </w:rPr>
        <w:t>Het Falen van de Private Uitwijkmogelijkheid</w:t>
      </w:r>
    </w:p>
    <w:p w14:paraId="4F8D9ADA" w14:textId="77777777" w:rsidR="00773516" w:rsidRDefault="00773516">
      <w:pPr>
        <w:pStyle w:val="Normaalweb"/>
        <w:divId w:val="1477067237"/>
        <w:rPr>
          <w:lang w:val="nl-NL"/>
        </w:rPr>
      </w:pPr>
      <w:r>
        <w:rPr>
          <w:lang w:val="nl-NL"/>
        </w:rPr>
        <w:t>De weigering van de reguliere Nederlandse huisartsenzorg dwingt de grensarbeider richting de private en semi-publieke keuringsmarkt. Nederlandse bedrijven en overheden vereisen geregeld onafhankelijke gezondheidsverklaringen. Zo eist de Nederlandse energieleverancier in het voorjaar van 2026 een lokaal medisch bewijs om de patiënt als 'medisch kwetsbare consument' te beschermen tegen afsluiting, en eist de uitkeringsinstantie een objectieve nulmeting van de fysieke belastbaarheid. Wanneer de burger in de le</w:t>
      </w:r>
      <w:r>
        <w:rPr>
          <w:lang w:val="nl-NL"/>
        </w:rPr>
        <w:t>nte van 2026 probeert deze bewijzen buiten de gesloten ziekenhuizen om te verzamelen, wordt de illusoire aard van het private alternatief snel duidelijk.</w:t>
      </w:r>
    </w:p>
    <w:p w14:paraId="067A80EE" w14:textId="77777777" w:rsidR="00773516" w:rsidRDefault="00773516">
      <w:pPr>
        <w:pStyle w:val="Normaalweb"/>
        <w:divId w:val="1477067237"/>
        <w:rPr>
          <w:lang w:val="nl-NL"/>
        </w:rPr>
      </w:pPr>
      <w:r>
        <w:rPr>
          <w:lang w:val="nl-NL"/>
        </w:rPr>
        <w:t>Elke aangeschreven instantie sluit de deur met een ander excuus. De GGD, de publieke gezondheidsdienst van de regio, weigert particuliere verzoeken en verwijst door naar een huisarts, wetende dat diezelfde huisarts de patiënt zojuist heeft geweigerd wegens de dubbele-inschrijvingswet. Commerciële keuringsartsen en gespecialiseerde instituten blijken al even ontoegankelijk. De markt opereert als een los zand van private silo's, zonder enige verbinding met de Europese of nationale patiëntendossiers.</w:t>
      </w:r>
    </w:p>
    <w:p w14:paraId="24B0D4DF" w14:textId="77777777" w:rsidR="00773516" w:rsidRDefault="00773516">
      <w:pPr>
        <w:pStyle w:val="Normaalweb"/>
        <w:divId w:val="1477067237"/>
        <w:rPr>
          <w:lang w:val="nl-NL"/>
        </w:rPr>
      </w:pPr>
      <w:r>
        <w:rPr>
          <w:lang w:val="nl-NL"/>
        </w:rPr>
        <w:t>De ultieme belemmering openbaart zich echter in het kostenplaatje. De enkele onafhankelijke expert die wél bereid is om een grensoverschrijdend, complex medisch profiel te beoordelen, legt een offerte neer van meer dan tweeduizend euro. Dit bedrag wordt bovendien gevraagd voor een onderzoek dat louter via een videoverbinding zou plaatsvinden, zonder fysieke beoordeling van de amputatiewonden of het visusverlies. Dit objectiveert het failliet van de keuringsmarkt: het systeem dwingt de burger om een Nederlan</w:t>
      </w:r>
      <w:r>
        <w:rPr>
          <w:lang w:val="nl-NL"/>
        </w:rPr>
        <w:t>dse nulmeting aan te leveren ter voorkoming van financiële ruïnering, maar biedt uitsluitend uitwijkmogelijkheden die de financieel uitgeputte patiënt onmogelijk kan betalen.</w:t>
      </w:r>
    </w:p>
    <w:p w14:paraId="37088DA7" w14:textId="77777777" w:rsidR="00773516" w:rsidRDefault="00773516">
      <w:pPr>
        <w:pStyle w:val="marker"/>
        <w:ind w:left="800" w:right="800"/>
        <w:divId w:val="1477067237"/>
        <w:rPr>
          <w:lang w:val="nl-NL"/>
        </w:rPr>
      </w:pPr>
      <w:r>
        <w:br w:type="page"/>
      </w:r>
    </w:p>
    <w:p w14:paraId="5F54F18A" w14:textId="77777777" w:rsidR="00773516" w:rsidRDefault="00773516">
      <w:pPr>
        <w:pStyle w:val="Kop3"/>
        <w:divId w:val="1477067237"/>
        <w:rPr>
          <w:rFonts w:eastAsia="Times New Roman"/>
          <w:lang w:val="nl-NL"/>
        </w:rPr>
      </w:pPr>
      <w:bookmarkStart w:id="35" w:name="_Toc242189462"/>
      <w:r>
        <w:rPr>
          <w:rFonts w:eastAsia="Times New Roman"/>
          <w:lang w:val="nl-NL"/>
        </w:rPr>
        <w:t>PALLION HUISARTSENPRAKTIJK</w:t>
      </w:r>
      <w:bookmarkEnd w:id="35"/>
    </w:p>
    <w:p w14:paraId="58C328C0" w14:textId="77777777" w:rsidR="00773516" w:rsidRDefault="00773516">
      <w:pPr>
        <w:pStyle w:val="subtitel"/>
        <w:divId w:val="1477067237"/>
        <w:rPr>
          <w:lang w:val="nl-NL"/>
        </w:rPr>
      </w:pPr>
      <w:r>
        <w:rPr>
          <w:lang w:val="nl-NL"/>
        </w:rPr>
        <w:t>De Wettelijke Grens van de Lokale Zorg</w:t>
      </w:r>
    </w:p>
    <w:p w14:paraId="51FF43FC" w14:textId="77777777" w:rsidR="00773516" w:rsidRDefault="00773516">
      <w:pPr>
        <w:pStyle w:val="Normaalweb"/>
        <w:divId w:val="1477067237"/>
        <w:rPr>
          <w:lang w:val="nl-NL"/>
        </w:rPr>
      </w:pPr>
      <w:r>
        <w:rPr>
          <w:lang w:val="nl-NL"/>
        </w:rPr>
        <w:t>Wanneer de patiënt beseft dat de Nederlandse overheidsinstanties structureel weigeren om de klinische documentatie van zijn Belgische huisarts te integreren, volgt in mei 2026 een logische tegenzet: de poging om een lokale medische achterwacht in het eigen woonland in te stellen. De patiënt dient een verzoek in bij een Nederlandse huisartsenpraktijk (Pallion) voor een zuiver informatieve inschrijving. Het doel is niet om de dagelijkse medische behandeling uit België weg te halen, maar louter om het complexe</w:t>
      </w:r>
      <w:r>
        <w:rPr>
          <w:lang w:val="nl-NL"/>
        </w:rPr>
        <w:t xml:space="preserve"> dossier te spiegelen in de Nederlandse zorgmatrix, zodat uitkerende en commerciële instanties de diagnoses kunnen verifiëren via een binnenlandse bron.</w:t>
      </w:r>
    </w:p>
    <w:p w14:paraId="48E00C83" w14:textId="77777777" w:rsidR="00773516" w:rsidRDefault="00773516">
      <w:pPr>
        <w:pStyle w:val="Normaalweb"/>
        <w:divId w:val="1477067237"/>
        <w:rPr>
          <w:lang w:val="nl-NL"/>
        </w:rPr>
      </w:pPr>
      <w:r>
        <w:rPr>
          <w:lang w:val="nl-NL"/>
        </w:rPr>
        <w:t>De aanvraag stuit echter onmiddellijk op een harde juridische grens. De Nederlandse Zorgverzekeringswet en de administratieve reglementen van de huisartsenzorg verbieden een dubbele inschrijving over de landsgrenzen heen. Een huisarts mag een burger alleen inschrijven als hij ook daadwerkelijk de primaire en actieve medische verantwoordelijkheid draagt. Het concept van een 'administratieve medische back-up' bestaat juridisch niet.</w:t>
      </w:r>
    </w:p>
    <w:p w14:paraId="564CE1FE" w14:textId="77777777" w:rsidR="00773516" w:rsidRDefault="00773516">
      <w:pPr>
        <w:pStyle w:val="Normaalweb"/>
        <w:divId w:val="1477067237"/>
        <w:rPr>
          <w:lang w:val="nl-NL"/>
        </w:rPr>
      </w:pPr>
      <w:r>
        <w:rPr>
          <w:lang w:val="nl-NL"/>
        </w:rPr>
        <w:t>Deze formele afwijzing illustreert de starheid van de natiestaat. De theorie van het vrije verkeer in de grensstreek botst frontaal op systemen die exclusiviteit eisen. Doordat een administratieve koppeling onmogelijk is, wordt de patiënt in zijn eigen land medisch onzichtbaar gehouden. Hij heeft in zijn woonland geen enkele lokale zorgverlener die zijn dossier kent of zijn toestand officieel kan vertalen voor Nederlandse instanties, waardoor de papieren muur rondom zijn uitkeringen en sociale rechten ondoo</w:t>
      </w:r>
      <w:r>
        <w:rPr>
          <w:lang w:val="nl-NL"/>
        </w:rPr>
        <w:t>rbreekbaar blijft.</w:t>
      </w:r>
    </w:p>
    <w:p w14:paraId="50BE78B7" w14:textId="77777777" w:rsidR="00773516" w:rsidRDefault="00773516">
      <w:pPr>
        <w:pStyle w:val="marker"/>
        <w:ind w:left="800" w:right="800"/>
        <w:divId w:val="1477067237"/>
        <w:rPr>
          <w:lang w:val="nl-NL"/>
        </w:rPr>
      </w:pPr>
      <w:r>
        <w:br w:type="page"/>
      </w:r>
    </w:p>
    <w:p w14:paraId="71103AD2" w14:textId="77777777" w:rsidR="00773516" w:rsidRDefault="00773516">
      <w:pPr>
        <w:pStyle w:val="Kop3"/>
        <w:divId w:val="1477067237"/>
        <w:rPr>
          <w:rFonts w:eastAsia="Times New Roman"/>
          <w:lang w:val="nl-NL"/>
        </w:rPr>
      </w:pPr>
      <w:bookmarkStart w:id="36" w:name="_Toc242189463"/>
      <w:r>
        <w:rPr>
          <w:rFonts w:eastAsia="Times New Roman"/>
          <w:lang w:val="nl-NL"/>
        </w:rPr>
        <w:t>ZORGINSTITUUT NEDERLAND (ZIN)</w:t>
      </w:r>
      <w:bookmarkEnd w:id="36"/>
    </w:p>
    <w:p w14:paraId="16AD8D57" w14:textId="77777777" w:rsidR="00773516" w:rsidRDefault="00773516">
      <w:pPr>
        <w:pStyle w:val="subtitel"/>
        <w:divId w:val="1477067237"/>
        <w:rPr>
          <w:lang w:val="nl-NL"/>
        </w:rPr>
      </w:pPr>
      <w:r>
        <w:rPr>
          <w:lang w:val="nl-NL"/>
        </w:rPr>
        <w:t>De Gesloten Driehoek</w:t>
      </w:r>
    </w:p>
    <w:p w14:paraId="1B14109C" w14:textId="77777777" w:rsidR="00773516" w:rsidRDefault="00773516">
      <w:pPr>
        <w:pStyle w:val="Normaalweb"/>
        <w:divId w:val="1477067237"/>
        <w:rPr>
          <w:lang w:val="nl-NL"/>
        </w:rPr>
      </w:pPr>
      <w:r>
        <w:rPr>
          <w:lang w:val="nl-NL"/>
        </w:rPr>
        <w:t>Wanneer een burger vastloopt tussen een weigerende verzekeraar (CZ) en een gebrekkige overheidsdatabank (CAK), schrijft de logica voor dat men zich wendt tot de toezichthouder. In Nederland is het Zorginstituut Nederland (ZIN) de waakhond die toezicht houdt op de correcte uitvoering van de Zorgverzekeringswet en de datastromen daarbinnen. In april 2026 wordt dit instituut aangeschreven met het dwingende verzoek om de uitsluiting in het verzekeringsregister te onderzoeken en te corrigeren.</w:t>
      </w:r>
    </w:p>
    <w:p w14:paraId="6BCDE784" w14:textId="77777777" w:rsidR="00773516" w:rsidRDefault="00773516">
      <w:pPr>
        <w:pStyle w:val="Normaalweb"/>
        <w:divId w:val="1477067237"/>
        <w:rPr>
          <w:lang w:val="nl-NL"/>
        </w:rPr>
      </w:pPr>
      <w:r>
        <w:rPr>
          <w:lang w:val="nl-NL"/>
        </w:rPr>
        <w:t>Het antwoord van het Zorginstituut voltooit echter de vicieuze cirkel. De instantie die wettelijk is belast met het beheer van het register, verklaart dat zij vanwege privacy- en bevoegdheidsregels geen inzage mag nemen in individuele dossiers. Zij weigert het systeem te controleren en geeft de burger het formele advies om dit probleem maar op te lossen met CZ en het CAK.</w:t>
      </w:r>
    </w:p>
    <w:p w14:paraId="5537B1A8" w14:textId="77777777" w:rsidR="00773516" w:rsidRDefault="00773516">
      <w:pPr>
        <w:pStyle w:val="Normaalweb"/>
        <w:divId w:val="1477067237"/>
        <w:rPr>
          <w:lang w:val="nl-NL"/>
        </w:rPr>
      </w:pPr>
      <w:r>
        <w:rPr>
          <w:lang w:val="nl-NL"/>
        </w:rPr>
        <w:t>Hiermee is de driehoek volledig en potdicht gesloten. De verzekeraar wijst naar het systeem, de registerbeheerder zegt dat het systeem de patiënt niet kent, en de toezichthouder weigert in het systeem te kijken en verwijst terug naar de eerste twee. Geen enkele actor binnen deze keten neemt eigenaarschap over de uitkomst. Het resultaat is een perfecte, geautomatiseerde stilstand waarbij de burger als enige de financiële consequenties draagt.</w:t>
      </w:r>
    </w:p>
    <w:p w14:paraId="0156898A" w14:textId="77777777" w:rsidR="00773516" w:rsidRDefault="00773516">
      <w:pPr>
        <w:pStyle w:val="marker"/>
        <w:ind w:left="800" w:right="800"/>
        <w:divId w:val="1477067237"/>
        <w:rPr>
          <w:lang w:val="nl-NL"/>
        </w:rPr>
      </w:pPr>
      <w:r>
        <w:br w:type="page"/>
      </w:r>
    </w:p>
    <w:p w14:paraId="332F5957" w14:textId="77777777" w:rsidR="00773516" w:rsidRDefault="00773516">
      <w:pPr>
        <w:pStyle w:val="Kop3"/>
        <w:divId w:val="1477067237"/>
        <w:rPr>
          <w:rFonts w:eastAsia="Times New Roman"/>
          <w:lang w:val="nl-NL"/>
        </w:rPr>
      </w:pPr>
      <w:bookmarkStart w:id="37" w:name="_Toc242189464"/>
      <w:r>
        <w:rPr>
          <w:rFonts w:eastAsia="Times New Roman"/>
          <w:lang w:val="nl-NL"/>
        </w:rPr>
        <w:t>ZORGSAAM</w:t>
      </w:r>
      <w:bookmarkEnd w:id="37"/>
    </w:p>
    <w:p w14:paraId="3A832138" w14:textId="77777777" w:rsidR="00773516" w:rsidRDefault="00773516">
      <w:pPr>
        <w:pStyle w:val="subtitel"/>
        <w:divId w:val="1477067237"/>
        <w:rPr>
          <w:lang w:val="nl-NL"/>
        </w:rPr>
      </w:pPr>
      <w:r>
        <w:rPr>
          <w:lang w:val="nl-NL"/>
        </w:rPr>
        <w:t>De Fysieke Zorg en de Onzichtbare Data</w:t>
      </w:r>
    </w:p>
    <w:p w14:paraId="539E272D" w14:textId="77777777" w:rsidR="00773516" w:rsidRDefault="00773516">
      <w:pPr>
        <w:pStyle w:val="Normaalweb"/>
        <w:divId w:val="1477067237"/>
        <w:rPr>
          <w:lang w:val="nl-NL"/>
        </w:rPr>
      </w:pPr>
      <w:r>
        <w:rPr>
          <w:lang w:val="nl-NL"/>
        </w:rPr>
        <w:t>De Nederlandse thuiszorgorganisatie ZorgSaam illustreert feilloos de breuklijn tussen fysieke medische handelingen en de digitalisering daarvan. Na het ontslag uit het Belgische ziekenhuis in mei 2025 levert deze instantie maandenlang de noodzakelijke, complexe wondzorg voor de amputaties aan huis. Deze zorg wordt methodisch gedocumenteerd: het interne cliëntenportaal registreert meer dan honderdtwintig klinische verslagen van Nederlandse zorgverleners over de zware fysieke toestand van de patiënt. Dit bewi</w:t>
      </w:r>
      <w:r>
        <w:rPr>
          <w:lang w:val="nl-NL"/>
        </w:rPr>
        <w:t>jst dat de medische realiteit op Nederlands grondgebied onweerlegbaar is vastgesteld.</w:t>
      </w:r>
    </w:p>
    <w:p w14:paraId="7551CE46" w14:textId="77777777" w:rsidR="00773516" w:rsidRDefault="00773516">
      <w:pPr>
        <w:pStyle w:val="Normaalweb"/>
        <w:divId w:val="1477067237"/>
        <w:rPr>
          <w:lang w:val="nl-NL"/>
        </w:rPr>
      </w:pPr>
      <w:r>
        <w:rPr>
          <w:lang w:val="nl-NL"/>
        </w:rPr>
        <w:t>Toch is deze schat aan informatie volstrekt nutteloos voor de rest van de overheid. De systemen van ZorgSaam zijn niet gekoppeld aan de Belgische ziekenhuizen, noch aan Nederlandse uitkeringsinstanties. Wanneer de Nederlandse arbeidsongeschiktheidsinstantie (UWV) de exacte ziektedatum betwist, stroomt de data van de eigen Nederlandse thuiszorg niet automatisch door om dit te corrigeren. De data bestaat, maar de overheid kan (of wil) er niet bij.</w:t>
      </w:r>
    </w:p>
    <w:p w14:paraId="5E6346F8" w14:textId="77777777" w:rsidR="00773516" w:rsidRDefault="00773516">
      <w:pPr>
        <w:pStyle w:val="Normaalweb"/>
        <w:divId w:val="1477067237"/>
        <w:rPr>
          <w:lang w:val="nl-NL"/>
        </w:rPr>
      </w:pPr>
      <w:r>
        <w:rPr>
          <w:lang w:val="nl-NL"/>
        </w:rPr>
        <w:t>Deze isolatie bereikt een dieptepunt wanneer de patiënt besluit om zélf als data-koerier te fungeren. Om de behandelende Nederlandse verpleegkundigen inzicht te geven in de Belgische ziekenhuisgeschiedenis, uploadt hij in het voorjaar van 2026 handmatig de complete medische dossiers in het Nederlandse portaal. ZorgSaam ontvangt de data, maar de software weigert deze te integreren in de gestructureerde medische velden. De zware diagnoses — zoals amputaties en weefselafbraak — worden door het systeem simpelwe</w:t>
      </w:r>
      <w:r>
        <w:rPr>
          <w:lang w:val="nl-NL"/>
        </w:rPr>
        <w:t>g weggestopt onder een onopvallend tabblad 'Multimedia'. Hierdoor blijft de werkelijke medische geschiedenis voor elke meekijkende arts of keuringsinstantie verborgen achter een digitale dode hoek.</w:t>
      </w:r>
    </w:p>
    <w:p w14:paraId="126A98B8" w14:textId="77777777" w:rsidR="00773516" w:rsidRDefault="00773516">
      <w:pPr>
        <w:pStyle w:val="marker"/>
        <w:ind w:left="800" w:right="800"/>
        <w:divId w:val="1477067237"/>
        <w:rPr>
          <w:lang w:val="nl-NL"/>
        </w:rPr>
      </w:pPr>
      <w:r>
        <w:br w:type="page"/>
      </w:r>
    </w:p>
    <w:p w14:paraId="09F7A94B" w14:textId="77777777" w:rsidR="00773516" w:rsidRDefault="00773516">
      <w:pPr>
        <w:pStyle w:val="Kop2"/>
        <w:divId w:val="1477067237"/>
        <w:rPr>
          <w:rFonts w:eastAsia="Times New Roman"/>
          <w:lang w:val="nl-NL"/>
        </w:rPr>
      </w:pPr>
      <w:bookmarkStart w:id="38" w:name="_Toc242189465"/>
      <w:r>
        <w:rPr>
          <w:rFonts w:eastAsia="Times New Roman"/>
          <w:lang w:val="nl-NL"/>
        </w:rPr>
        <w:t>Financiën &amp; Sociale Zekerheid</w:t>
      </w:r>
      <w:bookmarkEnd w:id="38"/>
    </w:p>
    <w:p w14:paraId="7D264F46" w14:textId="77777777" w:rsidR="00773516" w:rsidRDefault="00773516">
      <w:pPr>
        <w:pStyle w:val="Kop3"/>
        <w:divId w:val="1477067237"/>
        <w:rPr>
          <w:rFonts w:eastAsia="Times New Roman"/>
          <w:lang w:val="nl-NL"/>
        </w:rPr>
      </w:pPr>
      <w:bookmarkStart w:id="39" w:name="_Toc242189466"/>
      <w:r>
        <w:rPr>
          <w:rFonts w:eastAsia="Times New Roman"/>
          <w:lang w:val="nl-NL"/>
        </w:rPr>
        <w:t>BELASTINGDIENST</w:t>
      </w:r>
      <w:bookmarkEnd w:id="39"/>
    </w:p>
    <w:p w14:paraId="41BC3700" w14:textId="77777777" w:rsidR="00773516" w:rsidRDefault="00773516">
      <w:pPr>
        <w:pStyle w:val="subtitel"/>
        <w:divId w:val="1477067237"/>
        <w:rPr>
          <w:lang w:val="nl-NL"/>
        </w:rPr>
      </w:pPr>
      <w:r>
        <w:rPr>
          <w:lang w:val="nl-NL"/>
        </w:rPr>
        <w:t>Het Digitale Doolhof en de Toeslagenval</w:t>
      </w:r>
    </w:p>
    <w:p w14:paraId="6C96DD87" w14:textId="77777777" w:rsidR="00773516" w:rsidRDefault="00773516">
      <w:pPr>
        <w:pStyle w:val="Normaalweb"/>
        <w:divId w:val="1477067237"/>
        <w:rPr>
          <w:lang w:val="nl-NL"/>
        </w:rPr>
      </w:pPr>
      <w:r>
        <w:rPr>
          <w:lang w:val="nl-NL"/>
        </w:rPr>
        <w:t>De Belastingdienst en de daaraan gekoppelde Dienst Toeslagen vormen in theorie het sociale vangnet van de Nederlandse staat, maar in de praktijk blijken zij een feitelijke fuik voor grensarbeiders. Het online aangifteportaal is uitsluitend ingericht op een huishouden met een stabiel, binnenlands belastbaar inkomen. Zodra een grensarbeider met uitsluitend een buitenlands inkomen en een plotselinge medische uitval de gegevens probeert in te voeren, produceert het systeem een vastgelopen nulresultaat. Het nood</w:t>
      </w:r>
      <w:r>
        <w:rPr>
          <w:lang w:val="nl-NL"/>
        </w:rPr>
        <w:t>zakelijke toetsingsinkomen voor toeslagen kan hierdoor niet berekend worden.</w:t>
      </w:r>
    </w:p>
    <w:p w14:paraId="72BD7EC6" w14:textId="77777777" w:rsidR="00773516" w:rsidRDefault="00773516">
      <w:pPr>
        <w:pStyle w:val="Normaalweb"/>
        <w:divId w:val="1477067237"/>
        <w:rPr>
          <w:lang w:val="nl-NL"/>
        </w:rPr>
      </w:pPr>
      <w:r>
        <w:rPr>
          <w:lang w:val="nl-NL"/>
        </w:rPr>
        <w:t>Dit vertaalt zich direct in een vicieuze cirkel van financiële onteigening. Omdat het CAK weigert de verdragspolis te registreren, weigert de Dienst Toeslagen om de zorgtoeslag uit te keren; deze wordt structureel op nul euro gezet. Het kindgebonden budget valt aanvankelijk weg door de ontbrekende SVB-koppeling, maar wordt op 22 mei 2026 alsnog toegekend (€ 1.415 voor 2026 en € 739 nabetaling voor eind 2025) nadat de SVB-koppeling is geactiveerd. De huurtoeslag werkt deels (€ 1.401), met een verrekening van</w:t>
      </w:r>
      <w:r>
        <w:rPr>
          <w:lang w:val="nl-NL"/>
        </w:rPr>
        <w:t xml:space="preserve"> € 526,00 op een openstaande schuld uit 2025, waardoor een resterend saldo van € 912,00 blijft. De zorgtoeslag blijft bevroren op € 0 door de RIV-blokkade; tegen die blokkade loopt sinds 31 augustus 2026 een formeel herzieningsverzoek bij Dienst Toeslagen (kenmerk TL080 08B R) op basis van het betaalde Nederlandse eigen risico (€ 57,07) bij CZ. De burger wordt zo geconfronteerd met het stopzetten van vitale inkomensondersteuning, terwijl de oorzaak volledig ligt bij administratieve fouten en ontbrekende vin</w:t>
      </w:r>
      <w:r>
        <w:rPr>
          <w:lang w:val="nl-NL"/>
        </w:rPr>
        <w:t>kjes in de registers van andere overheden.</w:t>
      </w:r>
    </w:p>
    <w:p w14:paraId="6AB56026" w14:textId="77777777" w:rsidR="00773516" w:rsidRDefault="00773516">
      <w:pPr>
        <w:pStyle w:val="Normaalweb"/>
        <w:divId w:val="1477067237"/>
        <w:rPr>
          <w:lang w:val="nl-NL"/>
        </w:rPr>
      </w:pPr>
      <w:r>
        <w:rPr>
          <w:lang w:val="nl-NL"/>
        </w:rPr>
        <w:t>Wanneer de patiënt om uitstel vraagt voor de inkomstenbelasting omdat de noodzakelijke buitenlandse attesten ontbreken, erkent de fiscus indirect de chaos door dit uitstel te verlenen. Toch blijft de geautomatiseerde incasso- en verrekeningsmachine onverminderd doorraten. Eerdere (onterecht uitgekeerde) toeslagen worden met harde hand ingehouden op openstaande bedragen, en bezwaarschriften worden stelselmatig ongegrond verklaard met als argument dat het toetsingsinkomen niet klopt — een afwijking die het di</w:t>
      </w:r>
      <w:r>
        <w:rPr>
          <w:lang w:val="nl-NL"/>
        </w:rPr>
        <w:t>rect gevolg is van het feit dat het eigen systeem geen raad weet met de grensoverschrijdende realiteit. Als ultieme tegenreactie dwingt de burger via de privacywetgeving volledige transparantie af over de geautomatiseerde internationale gegevensuitwisseling via de Europese infrastructuur.</w:t>
      </w:r>
      <w:r>
        <w:rPr>
          <w:vertAlign w:val="superscript"/>
          <w:lang w:val="nl-NL"/>
        </w:rPr>
        <w:t>*1*</w:t>
      </w:r>
    </w:p>
    <w:p w14:paraId="4B367323" w14:textId="77777777" w:rsidR="00773516" w:rsidRDefault="00773516">
      <w:pPr>
        <w:divId w:val="661347539"/>
        <w:rPr>
          <w:color w:val="555555"/>
          <w:sz w:val="20"/>
          <w:szCs w:val="20"/>
          <w:lang w:val="nl-NL"/>
        </w:rPr>
      </w:pPr>
      <w:r>
        <w:rPr>
          <w:color w:val="555555"/>
          <w:sz w:val="20"/>
          <w:szCs w:val="20"/>
          <w:lang w:val="nl-NL"/>
        </w:rPr>
        <w:t>*1* Verzoek ingediend op grond van Artikel 15 van de Algemene Verordening Gegevensbescherming (AVG) gericht op de logbestanden van de Europese DAC-infrastructuur (Directive on Administrative Cooperation).</w:t>
      </w:r>
    </w:p>
    <w:p w14:paraId="02C2E492" w14:textId="77777777" w:rsidR="00773516" w:rsidRDefault="00773516">
      <w:pPr>
        <w:pStyle w:val="marker"/>
        <w:ind w:left="800" w:right="800"/>
        <w:divId w:val="1477067237"/>
        <w:rPr>
          <w:lang w:val="nl-NL"/>
        </w:rPr>
      </w:pPr>
      <w:r>
        <w:br w:type="page"/>
      </w:r>
    </w:p>
    <w:p w14:paraId="2DA43F7E" w14:textId="77777777" w:rsidR="00773516" w:rsidRDefault="00773516">
      <w:pPr>
        <w:pStyle w:val="Kop3"/>
        <w:divId w:val="1477067237"/>
        <w:rPr>
          <w:rFonts w:eastAsia="Times New Roman"/>
          <w:lang w:val="nl-NL"/>
        </w:rPr>
      </w:pPr>
      <w:bookmarkStart w:id="40" w:name="_Toc242189467"/>
      <w:r>
        <w:rPr>
          <w:rFonts w:eastAsia="Times New Roman"/>
          <w:lang w:val="nl-NL"/>
        </w:rPr>
        <w:t>GEMEENTE HULST &amp; HULST VOOR ELKAAR</w:t>
      </w:r>
      <w:bookmarkEnd w:id="40"/>
    </w:p>
    <w:p w14:paraId="1124921B" w14:textId="77777777" w:rsidR="00773516" w:rsidRDefault="00773516">
      <w:pPr>
        <w:pStyle w:val="subtitel"/>
        <w:divId w:val="1477067237"/>
        <w:rPr>
          <w:lang w:val="nl-NL"/>
        </w:rPr>
      </w:pPr>
      <w:r>
        <w:rPr>
          <w:lang w:val="nl-NL"/>
        </w:rPr>
        <w:t>De Digitale Muur en de GPK-Weigering</w:t>
      </w:r>
    </w:p>
    <w:p w14:paraId="4305CB4F" w14:textId="77777777" w:rsidR="00773516" w:rsidRDefault="00773516">
      <w:pPr>
        <w:pStyle w:val="Normaalweb"/>
        <w:divId w:val="1477067237"/>
        <w:rPr>
          <w:lang w:val="nl-NL"/>
        </w:rPr>
      </w:pPr>
      <w:r>
        <w:rPr>
          <w:lang w:val="nl-NL"/>
        </w:rPr>
        <w:t>Als lokaal overheidsorgaan zou de Gemeente Hulst (in de praktijk uitgevoerd door stichting Hulst voor Elkaar) het dichtst bij de burger moeten staan. In de feitelijke praktijk functioneert dit lokale bestuur echter als een ondoordringbare vesting. Gedurende het volledige traject stuit de communicatie op een actieve, technische muur. E-mails en formele AVG-inzageverzoeken gericht aan het bestuur of de functionaris gegevensbescherming botst structureel op harde netwerk- en DNS-fouten, waardoor inkomende corre</w:t>
      </w:r>
      <w:r>
        <w:rPr>
          <w:lang w:val="nl-NL"/>
        </w:rPr>
        <w:t>spondentie simpelweg expireert. Wanneer hulpverzoeken via e-loketten of formulieren binnenkomen, worden ze door de frontoffice na maanden van stilzwijgen simpelweg ongelezen uit de mailbox verwijderd.</w:t>
      </w:r>
    </w:p>
    <w:p w14:paraId="505563B3" w14:textId="77777777" w:rsidR="00773516" w:rsidRDefault="00773516">
      <w:pPr>
        <w:pStyle w:val="Normaalweb"/>
        <w:divId w:val="1477067237"/>
        <w:rPr>
          <w:lang w:val="nl-NL"/>
        </w:rPr>
      </w:pPr>
      <w:r>
        <w:rPr>
          <w:lang w:val="nl-NL"/>
        </w:rPr>
        <w:t>Het meest treffende voorbeeld van de lokale afschuiving manifesteert zich rond de aanvraag van een Nederlandse Gehandicaptenparkeerkaart (GPK) in de zomer van 2026. De grensarbeider beschikt over een officiële, permanente Europese parkeerkaart en een bindend medisch evaluatieverslag van de Belgische federale overheid (8 punten, erkende mobiliteitsbeperking). Omdat Nederlandse gemeenten steeds vaker digitaal op kenteken handhaven, vraagt de burger om een administratieve overname van deze status voor zijn aut</w:t>
      </w:r>
      <w:r>
        <w:rPr>
          <w:lang w:val="nl-NL"/>
        </w:rPr>
        <w:t>o met Nederlands kenteken, om onterechte boetes te voorkomen.</w:t>
      </w:r>
    </w:p>
    <w:p w14:paraId="76DEA73C" w14:textId="77777777" w:rsidR="00773516" w:rsidRDefault="00773516">
      <w:pPr>
        <w:pStyle w:val="Normaalweb"/>
        <w:divId w:val="1477067237"/>
        <w:rPr>
          <w:lang w:val="nl-NL"/>
        </w:rPr>
      </w:pPr>
      <w:r>
        <w:rPr>
          <w:lang w:val="nl-NL"/>
        </w:rPr>
        <w:t xml:space="preserve">De gemeente Hulst weigert dit categorisch. Ondanks de overhandiging van officiële Europese overheidsdocumentatie, stelt de frontoffice dat deze onvoldoende zijn. De gemeente eist dat de burger zich onderwerpt aan een lokaal, door hen aangewezen medisch onderzoek, inclusief de betaling van bijbehorende leges. Hiermee negeert de gemeente de kern van de Europese wederzijdse erkenning. In een grensgemeente die volop meeprofiteert van Europese kaders, weigert men op lokaal niveau de geldigheid van een officieel </w:t>
      </w:r>
      <w:r>
        <w:rPr>
          <w:lang w:val="nl-NL"/>
        </w:rPr>
        <w:t>EU-document te accepteren. Men eist een dubbele keuring, creëert daarmee onnodige financiële en administratieve frictie voor een gehandicapte grensarbeider, en legt de bestuurlijke paradox van de grensregio bloot in al haar facetten.</w:t>
      </w:r>
    </w:p>
    <w:p w14:paraId="56C2A780" w14:textId="77777777" w:rsidR="00773516" w:rsidRDefault="00773516">
      <w:pPr>
        <w:pStyle w:val="Normaalweb"/>
        <w:divId w:val="1477067237"/>
        <w:rPr>
          <w:lang w:val="nl-NL"/>
        </w:rPr>
      </w:pPr>
      <w:r>
        <w:rPr>
          <w:lang w:val="nl-NL"/>
        </w:rPr>
        <w:t>Op 21 september 2026 bevestigt de gemeente Hulst per formele brief (kenmerk 1064153) de ontvangst op 22 juli 2026 van het bezwaarschrift tegen de beschikking van 22 juni 2026 inzake de bijzondere bijstand. De gemeente verdaagt de beslissing op bezwaar op grond van artikel 7:10 lid 3 Awb met zes weken en verzoekt om retournering van het antwoordformulier horen vóór 30 september 2026. Betrokkene retourneert het formulier ondertekend op 24 september 2026 met de kennisgeving geen gebruik te maken van een mondel</w:t>
      </w:r>
      <w:r>
        <w:rPr>
          <w:lang w:val="nl-NL"/>
        </w:rPr>
        <w:t>inge toelichting.</w:t>
      </w:r>
    </w:p>
    <w:p w14:paraId="3F833E57" w14:textId="77777777" w:rsidR="00773516" w:rsidRDefault="00773516">
      <w:pPr>
        <w:pStyle w:val="marker"/>
        <w:ind w:left="800" w:right="800"/>
        <w:divId w:val="1477067237"/>
        <w:rPr>
          <w:lang w:val="nl-NL"/>
        </w:rPr>
      </w:pPr>
      <w:r>
        <w:br w:type="page"/>
      </w:r>
    </w:p>
    <w:p w14:paraId="24F2D7EF" w14:textId="77777777" w:rsidR="00773516" w:rsidRDefault="00773516">
      <w:pPr>
        <w:pStyle w:val="Kop3"/>
        <w:divId w:val="1477067237"/>
        <w:rPr>
          <w:rFonts w:eastAsia="Times New Roman"/>
          <w:lang w:val="nl-NL"/>
        </w:rPr>
      </w:pPr>
      <w:bookmarkStart w:id="41" w:name="_Toc242189468"/>
      <w:r>
        <w:rPr>
          <w:rFonts w:eastAsia="Times New Roman"/>
          <w:lang w:val="nl-NL"/>
        </w:rPr>
        <w:t>ING NEDERLAND</w:t>
      </w:r>
      <w:bookmarkEnd w:id="41"/>
    </w:p>
    <w:p w14:paraId="1352AE70" w14:textId="77777777" w:rsidR="00773516" w:rsidRDefault="00773516">
      <w:pPr>
        <w:pStyle w:val="subtitel"/>
        <w:divId w:val="1477067237"/>
        <w:rPr>
          <w:lang w:val="nl-NL"/>
        </w:rPr>
      </w:pPr>
      <w:r>
        <w:rPr>
          <w:lang w:val="nl-NL"/>
        </w:rPr>
        <w:t>De Commerciële Redding en de Prijzige Schaduw</w:t>
      </w:r>
    </w:p>
    <w:p w14:paraId="65FAC485" w14:textId="77777777" w:rsidR="00773516" w:rsidRDefault="00773516">
      <w:pPr>
        <w:pStyle w:val="Normaalweb"/>
        <w:divId w:val="1477067237"/>
        <w:rPr>
          <w:lang w:val="nl-NL"/>
        </w:rPr>
      </w:pPr>
      <w:r>
        <w:rPr>
          <w:lang w:val="nl-NL"/>
        </w:rPr>
        <w:t>Terwijl de overheid en de uitkeringsinstanties maandenlang weigeren om over de brug te komen met de wettelijk verschuldigde uitkeringen en toeslagen, tikt de dagelijkse economische realiteit door. Door het stilvallen van de inkomensstromen ontstaat er op de betaalrekening een gigantisch liquiditeitsprobleem, resulterend in een opgelopen roodstand en een torenhoge creditcardschuld. In het voorjaar van 2026 biedt de private huisbank, ING Nederland, hiervoor een even pragmatische als pijnlijke commerciële oplo</w:t>
      </w:r>
      <w:r>
        <w:rPr>
          <w:lang w:val="nl-NL"/>
        </w:rPr>
        <w:t>ssing: de totale opgelopen schuldenlast wordt geparkeerd in een afzonderlijke betalingsregeling.</w:t>
      </w:r>
    </w:p>
    <w:p w14:paraId="6052073E" w14:textId="77777777" w:rsidR="00773516" w:rsidRDefault="00773516">
      <w:pPr>
        <w:pStyle w:val="Normaalweb"/>
        <w:divId w:val="1477067237"/>
        <w:rPr>
          <w:lang w:val="nl-NL"/>
        </w:rPr>
      </w:pPr>
      <w:r>
        <w:rPr>
          <w:lang w:val="nl-NL"/>
        </w:rPr>
        <w:t xml:space="preserve">De bank toont zich hiermee flexibeler dan de gehele overheid bij elkaar. Er wordt een strak aflossingsplan van vierentwintig maanden opgesteld, waardoor een dreigend bankroet acuut wordt afgewend. Maar deze reddingsboei komt met een hard prijskaartje en strenge private sancties. De roodstandfaciliteit wordt per direct ingetrokken en het gebruik van de creditcard wordt voor lange tijd verboden. Als direct gevolg hiervan beginnen essentiële automatische incasso's — zoals de betaling aan het waterbedrijf — te </w:t>
      </w:r>
      <w:r>
        <w:rPr>
          <w:lang w:val="nl-NL"/>
        </w:rPr>
        <w:t>mislukken, wat de dagelijkse huishoudelijke stress nog verder opvoert.</w:t>
      </w:r>
    </w:p>
    <w:p w14:paraId="45ECC910" w14:textId="77777777" w:rsidR="00773516" w:rsidRDefault="00773516">
      <w:pPr>
        <w:pStyle w:val="Normaalweb"/>
        <w:divId w:val="1477067237"/>
        <w:rPr>
          <w:lang w:val="nl-NL"/>
        </w:rPr>
      </w:pPr>
      <w:r>
        <w:rPr>
          <w:lang w:val="nl-NL"/>
        </w:rPr>
        <w:t>Dit knooppunt fungeert als de ultieme weerspiegeling van de maatschappelijke scheefstand. De commerciële bank lost het acute financiële brandje op dat door het tekortschieten van de overheid is ontstaan, maar zij incasseert daarvoor de rente en legt de burger zware sancties op. De overheidsinstanties die de administratieve crisis hebben veroorzaakt, dragen geen enkele verantwoordelijkheid voor de gemaakte bancaire kosten en verschuilen zich achter hun digitale loketten, terwijl de private bank de rol van de</w:t>
      </w:r>
      <w:r>
        <w:rPr>
          <w:lang w:val="nl-NL"/>
        </w:rPr>
        <w:t xml:space="preserve"> facto schuldeiser van de falende verzorgingsstaat overneemt.</w:t>
      </w:r>
    </w:p>
    <w:p w14:paraId="4CC9F573" w14:textId="77777777" w:rsidR="00773516" w:rsidRDefault="00773516">
      <w:pPr>
        <w:pStyle w:val="marker"/>
        <w:ind w:left="800" w:right="800"/>
        <w:divId w:val="1477067237"/>
        <w:rPr>
          <w:lang w:val="nl-NL"/>
        </w:rPr>
      </w:pPr>
      <w:r>
        <w:br w:type="page"/>
      </w:r>
    </w:p>
    <w:p w14:paraId="61DCC664" w14:textId="77777777" w:rsidR="00773516" w:rsidRDefault="00773516">
      <w:pPr>
        <w:pStyle w:val="Kop3"/>
        <w:divId w:val="1477067237"/>
        <w:rPr>
          <w:rFonts w:eastAsia="Times New Roman"/>
          <w:lang w:val="nl-NL"/>
        </w:rPr>
      </w:pPr>
      <w:bookmarkStart w:id="42" w:name="_Toc242189469"/>
      <w:r>
        <w:rPr>
          <w:rFonts w:eastAsia="Times New Roman"/>
          <w:lang w:val="nl-NL"/>
        </w:rPr>
        <w:t>REIZEN DOOR ZEELAND</w:t>
      </w:r>
      <w:bookmarkEnd w:id="42"/>
    </w:p>
    <w:p w14:paraId="6DB3C5F7" w14:textId="77777777" w:rsidR="00773516" w:rsidRDefault="00773516">
      <w:pPr>
        <w:pStyle w:val="subtitel"/>
        <w:divId w:val="1477067237"/>
        <w:rPr>
          <w:lang w:val="nl-NL"/>
        </w:rPr>
      </w:pPr>
      <w:r>
        <w:rPr>
          <w:lang w:val="nl-NL"/>
        </w:rPr>
        <w:t>Het Vervoersnetwerk</w:t>
      </w:r>
    </w:p>
    <w:p w14:paraId="24BE7431" w14:textId="77777777" w:rsidR="00773516" w:rsidRDefault="00773516">
      <w:pPr>
        <w:pStyle w:val="Normaalweb"/>
        <w:divId w:val="1477067237"/>
        <w:rPr>
          <w:lang w:val="nl-NL"/>
        </w:rPr>
      </w:pPr>
      <w:r>
        <w:rPr>
          <w:lang w:val="nl-NL"/>
        </w:rPr>
        <w:t>Het collectieve Wmo-vervoer in de regio, uitgevoerd onder de naam Reizen door Zeeland, vormt de logistieke navelstreng voor een burger die door amputaties en visusverlies niet meer zelfstandig kan reizen. De praktijk van dit vervoerssysteem wordt echter gekenmerkt door interne tegenspraak en strikte planningsregels. Zo meldt het lokale loket in eerste instantie dat de regiotaxi absoluut niet over de grens naar België rijdt, terwijl de centrale planningsdienst even later bevestigt dat ritten naar goedgekeurd</w:t>
      </w:r>
      <w:r>
        <w:rPr>
          <w:lang w:val="nl-NL"/>
        </w:rPr>
        <w:t>e academische ziekenhuizen over de grens (zoals het UZ Gent) operationeel wél mogelijk zijn.</w:t>
      </w:r>
    </w:p>
    <w:p w14:paraId="397C3F29" w14:textId="77777777" w:rsidR="00773516" w:rsidRDefault="00773516">
      <w:pPr>
        <w:pStyle w:val="Normaalweb"/>
        <w:divId w:val="1477067237"/>
        <w:rPr>
          <w:lang w:val="nl-NL"/>
        </w:rPr>
      </w:pPr>
      <w:r>
        <w:rPr>
          <w:lang w:val="nl-NL"/>
        </w:rPr>
        <w:t>Het onderscheid dat de centrale maakt, is even procedureel als belastend. Ritten naar een academisch ziekenhuis voor medische behandeling worden goedgekeurd, maar wanneer de burger een rit aanvraagt naar een officiële Belgische overheidsinstantie (zoals de keuringsartsen van de FOD) op exact dezelfde afstand, wordt de rit resoluut geweigerd. Het systeem dicteert waar een gehandicapte grensarbeider mag komen; medische noodzaak weegt minder zwaar dan de administratieve bestemming.</w:t>
      </w:r>
    </w:p>
    <w:p w14:paraId="6E8FED0C" w14:textId="77777777" w:rsidR="00773516" w:rsidRDefault="00773516">
      <w:pPr>
        <w:pStyle w:val="Normaalweb"/>
        <w:divId w:val="1477067237"/>
        <w:rPr>
          <w:lang w:val="nl-NL"/>
        </w:rPr>
      </w:pPr>
      <w:r>
        <w:rPr>
          <w:lang w:val="nl-NL"/>
        </w:rPr>
        <w:t xml:space="preserve">Daarnaast faalt de operationele uitvoering op elementaire onderdelen. Specifieke zorgvragen — zoals het verzoek om begeleiding van het voertuig naar de ziekenhuisingang bij ernstig visusverlies — worden door de planning consequent genegeerd en geregistreerd alsof het een valide reiziger betreft. Wanneer betalingsproblemen ontstaan door de algemene inkomensstagnatie, blokkeert de vervoerder bovendien per direct de Wmo-pas zonder enige coulance voor de specifieke betalingsritmes van grensarbeiders. De burger </w:t>
      </w:r>
      <w:r>
        <w:rPr>
          <w:lang w:val="nl-NL"/>
        </w:rPr>
        <w:t>is zo voor zijn mobiliteit overgeleverd aan een weinig flexibel logistiek apparaat dat medische realiteit ondergeschikt maakt aan platte kilometerregels en planningsreglementen.</w:t>
      </w:r>
    </w:p>
    <w:p w14:paraId="1B82DE7F" w14:textId="77777777" w:rsidR="00773516" w:rsidRDefault="00773516">
      <w:pPr>
        <w:pStyle w:val="marker"/>
        <w:ind w:left="800" w:right="800"/>
        <w:divId w:val="1477067237"/>
        <w:rPr>
          <w:lang w:val="nl-NL"/>
        </w:rPr>
      </w:pPr>
      <w:r>
        <w:br w:type="page"/>
      </w:r>
    </w:p>
    <w:p w14:paraId="01410B0D" w14:textId="77777777" w:rsidR="00773516" w:rsidRDefault="00773516">
      <w:pPr>
        <w:pStyle w:val="Kop3"/>
        <w:divId w:val="1477067237"/>
        <w:rPr>
          <w:rFonts w:eastAsia="Times New Roman"/>
          <w:lang w:val="nl-NL"/>
        </w:rPr>
      </w:pPr>
      <w:bookmarkStart w:id="43" w:name="_Toc242189470"/>
      <w:r>
        <w:rPr>
          <w:rFonts w:eastAsia="Times New Roman"/>
          <w:lang w:val="nl-NL"/>
        </w:rPr>
        <w:t>RvIG</w:t>
      </w:r>
      <w:bookmarkEnd w:id="43"/>
    </w:p>
    <w:p w14:paraId="3751B2C3" w14:textId="77777777" w:rsidR="00773516" w:rsidRDefault="00773516">
      <w:pPr>
        <w:pStyle w:val="subtitel"/>
        <w:divId w:val="1477067237"/>
        <w:rPr>
          <w:lang w:val="nl-NL"/>
        </w:rPr>
      </w:pPr>
      <w:r>
        <w:rPr>
          <w:lang w:val="nl-NL"/>
        </w:rPr>
        <w:t>De Beheerder van de Basisregistratie Personen en de Interstatelijke Datastroom</w:t>
      </w:r>
    </w:p>
    <w:p w14:paraId="5443AFCB" w14:textId="77777777" w:rsidR="00773516" w:rsidRDefault="00773516">
      <w:pPr>
        <w:pStyle w:val="Normaalweb"/>
        <w:divId w:val="1477067237"/>
        <w:rPr>
          <w:lang w:val="nl-NL"/>
        </w:rPr>
      </w:pPr>
      <w:r>
        <w:rPr>
          <w:lang w:val="nl-NL"/>
        </w:rPr>
        <w:t>De Rijksdienst voor Identiteitsgegevens (RvIG) is de landelijke beheerder van de Basisregistratie Personen (BRP) *1*. De dienst is verantwoordelijk voor de registratie en verstrekking van identiteitsgegevens aan Nederlandse overheidsinstanties, waaronder de Sociale Verzekeringsbank, het Uitvoeringsinstituut Werknemersverzekeringen, het Centraal Administratie Kantoor en de Belastingdienst *2*. Voor elke burger die in Nederland woont, fungeert het Burgerservicenummer (BSN) dat via de BRP wordt toegekend als d</w:t>
      </w:r>
      <w:r>
        <w:rPr>
          <w:lang w:val="nl-NL"/>
        </w:rPr>
        <w:t>e primaire sleutel voor alle administratieve processen. In het netwerk van de grensarbeider is RvIG daarmee de Nederlandse tegenhanger van het Belgische Rijksregister.</w:t>
      </w:r>
    </w:p>
    <w:p w14:paraId="43BBD297" w14:textId="77777777" w:rsidR="00773516" w:rsidRDefault="00773516">
      <w:pPr>
        <w:pStyle w:val="Normaalweb"/>
        <w:divId w:val="1477067237"/>
        <w:rPr>
          <w:lang w:val="nl-NL"/>
        </w:rPr>
      </w:pPr>
      <w:r>
        <w:rPr>
          <w:lang w:val="nl-NL"/>
        </w:rPr>
        <w:t xml:space="preserve">De frictie in dit dossier manifesteert zich op het snijvlak van twee nationale bevolkingsregisters. Wanneer een burger zich vanuit België in Nederland vestigt, is een geautomatiseerde overdracht van identiteitsgegevens tussen het Belgische Rijksregister en de Nederlandse BRP vereist. In de praktijk blijkt deze interstatelijke datalink echter niet automatisch te functioneren. De gemeente Hulst, als eerste inschrijvingsloket, voert de registratie uit, maar de koppeling met het Belgische bronregister verloopt </w:t>
      </w:r>
      <w:r>
        <w:rPr>
          <w:lang w:val="nl-NL"/>
        </w:rPr>
        <w:t>manueel en niet-traceerbaar. De burger moet zelf aantonen welke gegevens zijn overgedragen en welke niet *3*.</w:t>
      </w:r>
    </w:p>
    <w:p w14:paraId="178ACE83" w14:textId="77777777" w:rsidR="00773516" w:rsidRDefault="00773516">
      <w:pPr>
        <w:pStyle w:val="Normaalweb"/>
        <w:divId w:val="1477067237"/>
        <w:rPr>
          <w:lang w:val="nl-NL"/>
        </w:rPr>
      </w:pPr>
      <w:r>
        <w:rPr>
          <w:lang w:val="nl-NL"/>
        </w:rPr>
        <w:t>Om deze lacune te onderzoeken dient de patiënt op 16 september 2026 een AVG-inzageverzoek in bij RvIG, gericht op de BRP-registratie en de bijbehorende internationale logbestanden uit 2014 *4*. Het verzoek betreft de elektronische mutaties, systeemstempels en metagegevens rondom de initiële inschrijving vanuit België. De eerste communicatie met de privacyjurist van RvIG verloopt moeizaam: de dienst verwijst naar de gemeente Hulst als bronhouder, terwijl de gemeente op haar beurt stelt dat de nationale doorg</w:t>
      </w:r>
      <w:r>
        <w:rPr>
          <w:lang w:val="nl-NL"/>
        </w:rPr>
        <w:t>ifte via de systemen van RvIG loopt *5*. Hierdoor ontstaat een bevoegdheidsvraag die dezelfde structuur vertoont als bij FOD IBZ aan Belgische zijde: geen van beide overheidsniveaus acht zich volledig verantwoordelijk voor de grensoverschrijdende datastroom.</w:t>
      </w:r>
    </w:p>
    <w:p w14:paraId="43214165" w14:textId="77777777" w:rsidR="00773516" w:rsidRDefault="00773516">
      <w:pPr>
        <w:pStyle w:val="Normaalweb"/>
        <w:divId w:val="1477067237"/>
        <w:rPr>
          <w:lang w:val="nl-NL"/>
        </w:rPr>
      </w:pPr>
      <w:r>
        <w:rPr>
          <w:lang w:val="nl-NL"/>
        </w:rPr>
        <w:t>Op 1 oktober 2026 bevestigt RvIG de formele ontvangst van het gecorrigeerde inzageverzoek en zegt een inhoudelijk besluit toe uiterlijk op 16 oktober 2026 *6*. De uitkomst van dat besluit is op het moment van deze audit nog niet bekend. Wat de casus echter al heeft blootgelegd, is structureel: er bestaat geen geautomatiseerde, traceerbare synchronisatie tussen de Belgische en Nederlandse bevolkingsregisters bij een grensoverschrijdende verhuizing. De burger blijft afhankelijk van handmatige procedures om zi</w:t>
      </w:r>
      <w:r>
        <w:rPr>
          <w:lang w:val="nl-NL"/>
        </w:rPr>
        <w:t>jn eigen registratiegegevens over de grens kloppend te houden.</w:t>
      </w:r>
    </w:p>
    <w:p w14:paraId="6DD6964E" w14:textId="77777777" w:rsidR="00773516" w:rsidRDefault="00773516">
      <w:pPr>
        <w:divId w:val="956910805"/>
        <w:rPr>
          <w:color w:val="555555"/>
          <w:sz w:val="20"/>
          <w:szCs w:val="20"/>
          <w:lang w:val="nl-NL"/>
        </w:rPr>
      </w:pPr>
      <w:r>
        <w:rPr>
          <w:color w:val="555555"/>
          <w:sz w:val="20"/>
          <w:szCs w:val="20"/>
          <w:lang w:val="nl-NL"/>
        </w:rPr>
        <w:t>*1* Rijksdienst voor Identiteitsgegevens: landelijke beheerder van de Basisregistratie Personen (BRP).</w:t>
      </w:r>
    </w:p>
    <w:p w14:paraId="5C512DA3" w14:textId="77777777" w:rsidR="00773516" w:rsidRDefault="00773516">
      <w:pPr>
        <w:divId w:val="956910805"/>
        <w:rPr>
          <w:color w:val="555555"/>
          <w:sz w:val="20"/>
          <w:szCs w:val="20"/>
          <w:lang w:val="nl-NL"/>
        </w:rPr>
      </w:pPr>
      <w:r>
        <w:rPr>
          <w:color w:val="555555"/>
          <w:sz w:val="20"/>
          <w:szCs w:val="20"/>
          <w:lang w:val="nl-NL"/>
        </w:rPr>
        <w:t>*2* RvIG verstrekt identiteitsgegevens aan Nederlandse overheidsinstanties; het Burgerservicenummer (BSN) wordt via de BRP toegekend.</w:t>
      </w:r>
    </w:p>
    <w:p w14:paraId="3150B76F" w14:textId="77777777" w:rsidR="00773516" w:rsidRDefault="00773516">
      <w:pPr>
        <w:divId w:val="956910805"/>
        <w:rPr>
          <w:color w:val="555555"/>
          <w:sz w:val="20"/>
          <w:szCs w:val="20"/>
          <w:lang w:val="nl-NL"/>
        </w:rPr>
      </w:pPr>
      <w:r>
        <w:rPr>
          <w:color w:val="555555"/>
          <w:sz w:val="20"/>
          <w:szCs w:val="20"/>
          <w:lang w:val="nl-NL"/>
        </w:rPr>
        <w:t>*3* Entry 01-10-2026: de gemeente Hulst v</w:t>
      </w:r>
      <w:r>
        <w:rPr>
          <w:color w:val="555555"/>
          <w:sz w:val="20"/>
          <w:szCs w:val="20"/>
          <w:lang w:val="nl-NL"/>
        </w:rPr>
        <w:t>erwijst voor de internationale logbestanden naar RvIG; RvIG verwijst terug naar de gemeente als bronhouder.</w:t>
      </w:r>
    </w:p>
    <w:p w14:paraId="0099E26A" w14:textId="77777777" w:rsidR="00773516" w:rsidRDefault="00773516">
      <w:pPr>
        <w:divId w:val="956910805"/>
        <w:rPr>
          <w:color w:val="555555"/>
          <w:sz w:val="20"/>
          <w:szCs w:val="20"/>
          <w:lang w:val="nl-NL"/>
        </w:rPr>
      </w:pPr>
      <w:r>
        <w:rPr>
          <w:color w:val="555555"/>
          <w:sz w:val="20"/>
          <w:szCs w:val="20"/>
          <w:lang w:val="nl-NL"/>
        </w:rPr>
        <w:t>*4* Entry 16-09-2026: indiening AVG-inzageverzoek BRP-registratie en internationale logbestanden 2014.</w:t>
      </w:r>
    </w:p>
    <w:p w14:paraId="2A8F9BC1" w14:textId="77777777" w:rsidR="00773516" w:rsidRDefault="00773516">
      <w:pPr>
        <w:divId w:val="956910805"/>
        <w:rPr>
          <w:color w:val="555555"/>
          <w:sz w:val="20"/>
          <w:szCs w:val="20"/>
          <w:lang w:val="nl-NL"/>
        </w:rPr>
      </w:pPr>
      <w:r>
        <w:rPr>
          <w:color w:val="555555"/>
          <w:sz w:val="20"/>
          <w:szCs w:val="20"/>
          <w:lang w:val="nl-NL"/>
        </w:rPr>
        <w:t>*5* Entry 01-10-2026: RvIG sluit de initiële melding af en bevestigt de ontvangst van het gecorrigeerde inzageverzoek.</w:t>
      </w:r>
    </w:p>
    <w:p w14:paraId="62570B23" w14:textId="77777777" w:rsidR="00773516" w:rsidRDefault="00773516">
      <w:pPr>
        <w:divId w:val="956910805"/>
        <w:rPr>
          <w:color w:val="555555"/>
          <w:sz w:val="20"/>
          <w:szCs w:val="20"/>
          <w:lang w:val="nl-NL"/>
        </w:rPr>
      </w:pPr>
      <w:r>
        <w:rPr>
          <w:color w:val="555555"/>
          <w:sz w:val="20"/>
          <w:szCs w:val="20"/>
          <w:lang w:val="nl-NL"/>
        </w:rPr>
        <w:t>*6* Besluittermijn: uiterlijk 16-10-2026.</w:t>
      </w:r>
    </w:p>
    <w:p w14:paraId="06108A55" w14:textId="77777777" w:rsidR="00773516" w:rsidRDefault="00773516">
      <w:pPr>
        <w:pStyle w:val="marker"/>
        <w:ind w:left="800" w:right="800"/>
        <w:divId w:val="1477067237"/>
        <w:rPr>
          <w:lang w:val="nl-NL"/>
        </w:rPr>
      </w:pPr>
      <w:r>
        <w:br w:type="page"/>
      </w:r>
    </w:p>
    <w:p w14:paraId="506930F6" w14:textId="77777777" w:rsidR="00773516" w:rsidRDefault="00773516">
      <w:pPr>
        <w:pStyle w:val="Kop3"/>
        <w:divId w:val="1477067237"/>
        <w:rPr>
          <w:rFonts w:eastAsia="Times New Roman"/>
          <w:lang w:val="nl-NL"/>
        </w:rPr>
      </w:pPr>
      <w:bookmarkStart w:id="44" w:name="_Toc242189471"/>
      <w:r>
        <w:rPr>
          <w:rFonts w:eastAsia="Times New Roman"/>
          <w:lang w:val="nl-NL"/>
        </w:rPr>
        <w:t>STEDIN</w:t>
      </w:r>
      <w:bookmarkEnd w:id="44"/>
    </w:p>
    <w:p w14:paraId="6E8827F4" w14:textId="77777777" w:rsidR="00773516" w:rsidRDefault="00773516">
      <w:pPr>
        <w:pStyle w:val="subtitel"/>
        <w:divId w:val="1477067237"/>
        <w:rPr>
          <w:lang w:val="nl-NL"/>
        </w:rPr>
      </w:pPr>
      <w:r>
        <w:rPr>
          <w:lang w:val="nl-NL"/>
        </w:rPr>
        <w:t>De Netbeheerder en de Herstart van de Administratie</w:t>
      </w:r>
    </w:p>
    <w:p w14:paraId="7871ACA1" w14:textId="77777777" w:rsidR="00773516" w:rsidRDefault="00773516">
      <w:pPr>
        <w:pStyle w:val="Normaalweb"/>
        <w:divId w:val="1477067237"/>
        <w:rPr>
          <w:lang w:val="nl-NL"/>
        </w:rPr>
      </w:pPr>
      <w:r>
        <w:rPr>
          <w:lang w:val="nl-NL"/>
        </w:rPr>
        <w:t>Na de late en misleidende doorverwijzing door energieleverancier Vattenfall in de zomer van 2026, belandt het dossier over de bescherming van de medisch kwetsbare consument bij de regionale netbeheerder, Stedin. Omdat de netbeheerder in Nederland wettelijk verantwoordelijk is voor de fysieke leverings- en afsluitgarantie van het energienetwerk, is dit de enige partij die de stroomtoevoer voor de noodzakelijke koeling van de insuline daadwerkelijk kan waarborgen.</w:t>
      </w:r>
    </w:p>
    <w:p w14:paraId="3BF89965" w14:textId="77777777" w:rsidR="00773516" w:rsidRDefault="00773516">
      <w:pPr>
        <w:pStyle w:val="Normaalweb"/>
        <w:divId w:val="1477067237"/>
        <w:rPr>
          <w:lang w:val="nl-NL"/>
        </w:rPr>
      </w:pPr>
      <w:r>
        <w:rPr>
          <w:lang w:val="nl-NL"/>
        </w:rPr>
        <w:t>De overgang naar deze nieuwe instantie brengt echter een frustrerende administratieve realiteit met zich mee. Er bestaat geen enkele automatische datadoorgifte of communicatielijn tussen de energieleverancier en de netbeheerder. Dit betekent dat de patiënt de volledige, moeizaam opgebouwde medische bewijslast — inclusief de gezondheidsverklaring van de huisarts en het officiële Belgische evaluatierapport — opnieuw vanaf nul moet indienen bij een volledig nieuwe, private partij in de keten.</w:t>
      </w:r>
    </w:p>
    <w:p w14:paraId="4B2189BD" w14:textId="77777777" w:rsidR="00773516" w:rsidRDefault="00773516">
      <w:pPr>
        <w:pStyle w:val="Normaalweb"/>
        <w:divId w:val="1477067237"/>
        <w:rPr>
          <w:lang w:val="nl-NL"/>
        </w:rPr>
      </w:pPr>
      <w:r>
        <w:rPr>
          <w:lang w:val="nl-NL"/>
        </w:rPr>
        <w:t>Dit knooppunt legt de versnippering van de private nutsector bloot. De burger wordt gedwongen om in een kwetsbare medische toestand een uitputtende rondgang langs verschillende commerciële loketten te maken, puur om een basisrecht op nutsvoorzieningen veilig te stellen. Elke nieuwe schakel in de keten vraagt om dezelfde bewijzen, verwerpt deze op basis van eigen protocollen, en laat de administratieve druk onverminderd op de schouders van de grensarbeider rusten.</w:t>
      </w:r>
    </w:p>
    <w:p w14:paraId="262A5D83" w14:textId="77777777" w:rsidR="00773516" w:rsidRDefault="00773516">
      <w:pPr>
        <w:pStyle w:val="marker"/>
        <w:ind w:left="800" w:right="800"/>
        <w:divId w:val="1477067237"/>
        <w:rPr>
          <w:lang w:val="nl-NL"/>
        </w:rPr>
      </w:pPr>
      <w:r>
        <w:br w:type="page"/>
      </w:r>
    </w:p>
    <w:p w14:paraId="0B7E3408" w14:textId="77777777" w:rsidR="00773516" w:rsidRDefault="00773516">
      <w:pPr>
        <w:pStyle w:val="Kop3"/>
        <w:divId w:val="1477067237"/>
        <w:rPr>
          <w:rFonts w:eastAsia="Times New Roman"/>
          <w:lang w:val="nl-NL"/>
        </w:rPr>
      </w:pPr>
      <w:bookmarkStart w:id="45" w:name="_Toc242189472"/>
      <w:r>
        <w:rPr>
          <w:rFonts w:eastAsia="Times New Roman"/>
          <w:lang w:val="nl-NL"/>
        </w:rPr>
        <w:t>SVB &amp; BBZ</w:t>
      </w:r>
      <w:bookmarkEnd w:id="45"/>
    </w:p>
    <w:p w14:paraId="039EBE2C" w14:textId="77777777" w:rsidR="00773516" w:rsidRDefault="00773516">
      <w:pPr>
        <w:pStyle w:val="subtitel"/>
        <w:divId w:val="1477067237"/>
        <w:rPr>
          <w:lang w:val="nl-NL"/>
        </w:rPr>
      </w:pPr>
      <w:r>
        <w:rPr>
          <w:lang w:val="nl-NL"/>
        </w:rPr>
        <w:t>De Machteloze Bemiddelaar en Digitale Striktheid</w:t>
      </w:r>
    </w:p>
    <w:p w14:paraId="7BF2585A" w14:textId="77777777" w:rsidR="00773516" w:rsidRDefault="00773516">
      <w:pPr>
        <w:pStyle w:val="Normaalweb"/>
        <w:divId w:val="1477067237"/>
        <w:rPr>
          <w:lang w:val="nl-NL"/>
        </w:rPr>
      </w:pPr>
      <w:r>
        <w:rPr>
          <w:lang w:val="nl-NL"/>
        </w:rPr>
        <w:t>Binnen de Nederlandse overheid neemt de Sociale Verzekeringsbank (SVB) een dubbelrol in: het is de landelijke uitbetaler van gezinsbijslagen én het huisvest het Bureau voor Belgische Zaken (BBZ), het specifieke kennis- en bemiddelingscentrum voor grensarbeiders. In het voorjaar van 2026 krijgt het uitbetalingsluik van de SVB de taak om de kinderbijslag recht te trekken. Omdat de partner in België werkt, wordt haar recht in Nederland afgewezen. De SVB verschuift dit recht succesvol naar de patiënt, een admin</w:t>
      </w:r>
      <w:r>
        <w:rPr>
          <w:lang w:val="nl-NL"/>
        </w:rPr>
        <w:t>istratieve handeling die direct noodzakelijk is om de gekoppelde toeslagen bij de Belastingdienst te deblokkeren.</w:t>
      </w:r>
    </w:p>
    <w:p w14:paraId="1B3461A5" w14:textId="77777777" w:rsidR="00773516" w:rsidRDefault="00773516">
      <w:pPr>
        <w:pStyle w:val="Normaalweb"/>
        <w:divId w:val="1477067237"/>
        <w:rPr>
          <w:lang w:val="nl-NL"/>
        </w:rPr>
      </w:pPr>
      <w:r>
        <w:rPr>
          <w:lang w:val="nl-NL"/>
        </w:rPr>
        <w:t>De communicatie met de SVB verloopt echter uiterst strikt. Wanneer de patiënt via laagdrempelige kanalen zoals WhatsApp om opheldering of statusupdates vraagt, weigeren de medewerkers inhoudelijk te helpen of de reeds geüploade digitale bewijsstukken te openen. Men dwingt de burger om zich aan de trage, gestandaardiseerde formulierstructuren van het webportaal te houden, een patroon dat zich maanden later herhaalt wanneer de instantie een rechtsgeldig per e-mail ingediend inzageverzoek *1* botweg weigert te</w:t>
      </w:r>
      <w:r>
        <w:rPr>
          <w:lang w:val="nl-NL"/>
        </w:rPr>
        <w:t xml:space="preserve"> behandelen tenzij het in hun eigen specifieke online formulier wordt gegoten.</w:t>
      </w:r>
    </w:p>
    <w:p w14:paraId="4392AE9D" w14:textId="77777777" w:rsidR="00773516" w:rsidRDefault="00773516">
      <w:pPr>
        <w:pStyle w:val="Normaalweb"/>
        <w:divId w:val="1477067237"/>
        <w:rPr>
          <w:lang w:val="nl-NL"/>
        </w:rPr>
      </w:pPr>
      <w:r>
        <w:rPr>
          <w:lang w:val="nl-NL"/>
        </w:rPr>
        <w:t>De meest onthullende dynamiek speelt zich echter af bij het Bureau voor Belgische Zaken (BBZ). Wanneer de impasse tussen het UWV in Nederland en de Christelijke Mutualiteit (CM) in België rondom het Vester-arrest muurvast zit, stemt het BBZ in om formeel te bemiddelen. De adviseurs van de staat slagen erin om het Belgische RIZIV en het Nederlandse UWV voor het eerst in dit dossier met elkaar te laten praten. Even lijkt de overkoepelende, supranationale bemiddeling te werken.</w:t>
      </w:r>
    </w:p>
    <w:p w14:paraId="6D41954C" w14:textId="77777777" w:rsidR="00773516" w:rsidRDefault="00773516">
      <w:pPr>
        <w:pStyle w:val="Normaalweb"/>
        <w:divId w:val="1477067237"/>
        <w:rPr>
          <w:lang w:val="nl-NL"/>
        </w:rPr>
      </w:pPr>
      <w:r>
        <w:rPr>
          <w:lang w:val="nl-NL"/>
        </w:rPr>
        <w:t xml:space="preserve">De realiteit is echter genadeloos. Zodra het BBZ de uitvoerende instanties confronteert met de noodzaak tot ingrijpen, stuiten zij op exact dezelfde muren als de patiënt. Het ziekenfonds (CM) weigert uit te keren, het UWV weigert de uitkering aan te vullen, en verzekeraar CZ weigert de noodzakelijke registersynchronisatie uit te voeren. Het BBZ moet haar pogingen staken. Deze formele escalatie levert daardoor een vernietigend en onweerlegbaar bewijs op: zelfs een gespecialiseerd, door de staat gemandateerd </w:t>
      </w:r>
      <w:r>
        <w:rPr>
          <w:lang w:val="nl-NL"/>
        </w:rPr>
        <w:t>bemiddelingsorgaan heeft absoluut geen bevoegdheid of macht om de eigen nationale uitvoeringsinstanties te dwingen de Europese regelgeving correct toe te passen.</w:t>
      </w:r>
    </w:p>
    <w:p w14:paraId="080983C4" w14:textId="77777777" w:rsidR="00773516" w:rsidRDefault="00773516">
      <w:pPr>
        <w:divId w:val="377707578"/>
        <w:rPr>
          <w:color w:val="555555"/>
          <w:sz w:val="20"/>
          <w:szCs w:val="20"/>
          <w:lang w:val="nl-NL"/>
        </w:rPr>
      </w:pPr>
      <w:r>
        <w:rPr>
          <w:color w:val="555555"/>
          <w:sz w:val="20"/>
          <w:szCs w:val="20"/>
          <w:lang w:val="nl-NL"/>
        </w:rPr>
        <w:t>*1* Verzoek onder Artikel 15 van de Algemene Verordening Gegevensbescherming (AVG) ter opvraging van de Europese logbestanden (EESSI) om de trage datastromen te kwantificeren.</w:t>
      </w:r>
    </w:p>
    <w:p w14:paraId="66889F1E" w14:textId="77777777" w:rsidR="00773516" w:rsidRDefault="00773516">
      <w:pPr>
        <w:pStyle w:val="marker"/>
        <w:ind w:left="800" w:right="800"/>
        <w:divId w:val="1477067237"/>
        <w:rPr>
          <w:lang w:val="nl-NL"/>
        </w:rPr>
      </w:pPr>
      <w:r>
        <w:br w:type="page"/>
      </w:r>
    </w:p>
    <w:p w14:paraId="4BB47996" w14:textId="77777777" w:rsidR="00773516" w:rsidRDefault="00773516">
      <w:pPr>
        <w:pStyle w:val="Kop3"/>
        <w:divId w:val="1477067237"/>
        <w:rPr>
          <w:rFonts w:eastAsia="Times New Roman"/>
          <w:lang w:val="nl-NL"/>
        </w:rPr>
      </w:pPr>
      <w:bookmarkStart w:id="46" w:name="_Toc242189473"/>
      <w:r>
        <w:rPr>
          <w:rFonts w:eastAsia="Times New Roman"/>
          <w:lang w:val="nl-NL"/>
        </w:rPr>
        <w:t>UWV</w:t>
      </w:r>
      <w:bookmarkEnd w:id="46"/>
    </w:p>
    <w:p w14:paraId="65A95AB6" w14:textId="77777777" w:rsidR="00773516" w:rsidRDefault="00773516">
      <w:pPr>
        <w:pStyle w:val="subtitel"/>
        <w:divId w:val="1477067237"/>
        <w:rPr>
          <w:lang w:val="nl-NL"/>
        </w:rPr>
      </w:pPr>
      <w:r>
        <w:rPr>
          <w:lang w:val="nl-NL"/>
        </w:rPr>
        <w:t>De Datablokkade en de Weigering van het Unierecht</w:t>
      </w:r>
    </w:p>
    <w:p w14:paraId="2D09F58C" w14:textId="77777777" w:rsidR="00773516" w:rsidRDefault="00773516">
      <w:pPr>
        <w:pStyle w:val="Normaalweb"/>
        <w:divId w:val="1477067237"/>
        <w:rPr>
          <w:lang w:val="nl-NL"/>
        </w:rPr>
      </w:pPr>
      <w:r>
        <w:rPr>
          <w:lang w:val="nl-NL"/>
        </w:rPr>
        <w:t xml:space="preserve">Het Uitvoeringsinstituut Werknemersverzekeringen (UWV) is in Nederland de poortwachter voor arbeidsongeschiktheid. Voor een grensarbeider is deze poort echter nagenoeg ondoordringbaar door een structurele weigering om buitenlandse data correct te verwerken. Dit begint al in het voorjaar van 2026 bij de vaststelling van de loopbaan. Hoewel het UWV het officiële Europese document ontvangt dat 21 jaar aan Belgische arbeidsgeschiedenis bewijst, negeert de instantie deze data volledig. Ze levert een document af </w:t>
      </w:r>
      <w:r>
        <w:rPr>
          <w:lang w:val="nl-NL"/>
        </w:rPr>
        <w:t>waarop uitsluitend de zeer korte Nederlandse periode staat vermeld. Twee decennia aan sociale opbouw worden door het systeem simpelweg uitgewist, in directe strijd met de Europese beschermingsregels *1*.</w:t>
      </w:r>
    </w:p>
    <w:p w14:paraId="721DD83E" w14:textId="77777777" w:rsidR="00773516" w:rsidRDefault="00773516">
      <w:pPr>
        <w:pStyle w:val="Normaalweb"/>
        <w:divId w:val="1477067237"/>
        <w:rPr>
          <w:lang w:val="nl-NL"/>
        </w:rPr>
      </w:pPr>
      <w:r>
        <w:rPr>
          <w:lang w:val="nl-NL"/>
        </w:rPr>
        <w:t xml:space="preserve">Deze methodiek van uitsluiting zet zich voort in de medische beoordeling. Wanneer de burger een 'Beoordeling Arbeidsvermogen' aanvraagt, volgt een onmiddellijke administratieve afwijzing. De reden? Er ontbreekt een digitaal vinkje voor de inschrijving als 'werkzoekende'. Het systeem heeft geen logische categorie voor iemand die te ziek is om te werken, en blokkeert de medische keuring op een puur procedurele formaliteit. </w:t>
      </w:r>
    </w:p>
    <w:p w14:paraId="7DFDC14C" w14:textId="77777777" w:rsidR="00773516" w:rsidRDefault="00773516">
      <w:pPr>
        <w:pStyle w:val="Normaalweb"/>
        <w:divId w:val="1477067237"/>
        <w:rPr>
          <w:lang w:val="nl-NL"/>
        </w:rPr>
      </w:pPr>
      <w:r>
        <w:rPr>
          <w:lang w:val="nl-NL"/>
        </w:rPr>
        <w:t>De ware botsing met de realiteit ontstaat echter rond de ziektedatum. Het UWV hanteert strikt de datum van 11 mei 2025 als eerste ziektedag, en baseert daar de weigering van de WIA-uitkering op. De patiënt levert 700 gram aan medische dossiers aan, inclusief een sluitende Nederlandse thuiszorgrapportage, die onomstotelijk bewijzen dat de acute ziekenhuisopname en de amputaties al op 11 april 2025 plaatsvonden. Het UWV negeert deze harde bewijslast. In de bezwaarprocedure wordt de medische situatie simpelweg</w:t>
      </w:r>
      <w:r>
        <w:rPr>
          <w:lang w:val="nl-NL"/>
        </w:rPr>
        <w:t xml:space="preserve"> buiten beschouwing gelaten; de instantie klampt zich vast aan de eigen foutieve startdatum om niet inhoudelijk te hoeven oordelen.</w:t>
      </w:r>
    </w:p>
    <w:p w14:paraId="0AED8DB4" w14:textId="77777777" w:rsidR="00773516" w:rsidRDefault="00773516">
      <w:pPr>
        <w:pStyle w:val="Normaalweb"/>
        <w:divId w:val="1477067237"/>
        <w:rPr>
          <w:lang w:val="nl-NL"/>
        </w:rPr>
      </w:pPr>
      <w:r>
        <w:rPr>
          <w:lang w:val="nl-NL"/>
        </w:rPr>
        <w:t xml:space="preserve">Het ultieme breekpunt is de openlijke weigering om de dwingende Europese rechtspraak toe te passen. De patiënt beroept zich op het Vester-arrest *2* om de wachttijd voor een uitkering te doorbreken door de Belgische en Nederlandse verzekeringstijdvakken samen te tellen. Het UWV wijst dit expliciet af. Zij stellen dat zij dit recht pas toepassen als er éérst een formele beslissing uit België ligt. Omdat de Belgische instanties de beslissing eveneens blokkeren, creëert het UWV een moedwillige gesloten cirkel </w:t>
      </w:r>
      <w:r>
        <w:rPr>
          <w:lang w:val="nl-NL"/>
        </w:rPr>
        <w:t>over de landsgrenzen heen. De instantie weigert elke constructieve oplossing en verwijst de financieel uitgeputte burger direct door naar de rechtbank.</w:t>
      </w:r>
    </w:p>
    <w:p w14:paraId="5661E710" w14:textId="77777777" w:rsidR="00773516" w:rsidRDefault="00773516">
      <w:pPr>
        <w:pStyle w:val="Normaalweb"/>
        <w:divId w:val="1477067237"/>
        <w:rPr>
          <w:lang w:val="nl-NL"/>
        </w:rPr>
      </w:pPr>
      <w:r>
        <w:rPr>
          <w:lang w:val="nl-NL"/>
        </w:rPr>
        <w:t>Op 20 augustus 2026 dient de patiënt een herzieningsverzoek in op grond van artikel 4:6 Awb (zaak A29051942-01), gebaseerd op het nieuwe feit: het Belgische FOD-besluit van 3 augustus 2026. Op 1 september 2026 volgt een ontvangstbevestiging van UWV Breda (zaak A29172499-01) voor dit herzieningsverzoek. Tegelijk wordt de fysieke double-tap-brief met volledige kopie van het legitimatiebewijs per post verzonden voor het AVG-inzageverzoek op de EESSI-logbestanden.</w:t>
      </w:r>
    </w:p>
    <w:p w14:paraId="04EA4541" w14:textId="77777777" w:rsidR="00773516" w:rsidRDefault="00773516">
      <w:pPr>
        <w:divId w:val="1255897904"/>
        <w:rPr>
          <w:color w:val="555555"/>
          <w:sz w:val="20"/>
          <w:szCs w:val="20"/>
          <w:lang w:val="nl-NL"/>
        </w:rPr>
      </w:pPr>
      <w:r>
        <w:rPr>
          <w:color w:val="555555"/>
          <w:sz w:val="20"/>
          <w:szCs w:val="20"/>
          <w:lang w:val="nl-NL"/>
        </w:rPr>
        <w:t>*1* Conform het Casteels-arrest en Verordening (EG) 883/2004, die verbieden dat grensarbeiders hun opgebouwde rechten verliezen bij het wisselen van lidstaat.</w:t>
      </w:r>
    </w:p>
    <w:p w14:paraId="2A6F8C6E" w14:textId="77777777" w:rsidR="00773516" w:rsidRDefault="00773516">
      <w:pPr>
        <w:divId w:val="1255897904"/>
        <w:rPr>
          <w:color w:val="555555"/>
          <w:sz w:val="20"/>
          <w:szCs w:val="20"/>
          <w:lang w:val="nl-NL"/>
        </w:rPr>
      </w:pPr>
      <w:r>
        <w:rPr>
          <w:color w:val="555555"/>
          <w:sz w:val="20"/>
          <w:szCs w:val="20"/>
          <w:lang w:val="nl-NL"/>
        </w:rPr>
        <w:t>*2* Arrest C-134/18 van het Europese Hof van Justitie, dat stelt dat lidstaten in situaties van opeenvolgende verzekeringen rekening moeten houden met tijdvakken in andere lidstaten om te voorkomen dat de werknemer tussen wal en schip valt.</w:t>
      </w:r>
    </w:p>
    <w:p w14:paraId="05F11386" w14:textId="77777777" w:rsidR="00773516" w:rsidRDefault="00773516">
      <w:pPr>
        <w:pStyle w:val="marker"/>
        <w:ind w:left="800" w:right="800"/>
        <w:divId w:val="1477067237"/>
        <w:rPr>
          <w:lang w:val="nl-NL"/>
        </w:rPr>
      </w:pPr>
      <w:r>
        <w:br w:type="page"/>
      </w:r>
    </w:p>
    <w:p w14:paraId="6E8AC0D7" w14:textId="77777777" w:rsidR="00773516" w:rsidRDefault="00773516">
      <w:pPr>
        <w:pStyle w:val="Kop3"/>
        <w:divId w:val="1477067237"/>
        <w:rPr>
          <w:rFonts w:eastAsia="Times New Roman"/>
          <w:lang w:val="nl-NL"/>
        </w:rPr>
      </w:pPr>
      <w:bookmarkStart w:id="47" w:name="_Toc242189474"/>
      <w:r>
        <w:rPr>
          <w:rFonts w:eastAsia="Times New Roman"/>
          <w:lang w:val="nl-NL"/>
        </w:rPr>
        <w:t>VALYS</w:t>
      </w:r>
      <w:bookmarkEnd w:id="47"/>
    </w:p>
    <w:p w14:paraId="5C14FA08" w14:textId="77777777" w:rsidR="00773516" w:rsidRDefault="00773516">
      <w:pPr>
        <w:pStyle w:val="subtitel"/>
        <w:divId w:val="1477067237"/>
        <w:rPr>
          <w:lang w:val="nl-NL"/>
        </w:rPr>
      </w:pPr>
      <w:r>
        <w:rPr>
          <w:lang w:val="nl-NL"/>
        </w:rPr>
        <w:t>Bovenregionaal Sociaal-Recreatief Vervoer en Logistieke Ketenfrictie</w:t>
      </w:r>
    </w:p>
    <w:p w14:paraId="2BC8DD8C" w14:textId="77777777" w:rsidR="00773516" w:rsidRDefault="00773516">
      <w:pPr>
        <w:pStyle w:val="Normaalweb"/>
        <w:divId w:val="1477067237"/>
        <w:rPr>
          <w:lang w:val="nl-NL"/>
        </w:rPr>
      </w:pPr>
      <w:r>
        <w:rPr>
          <w:lang w:val="nl-NL"/>
        </w:rPr>
        <w:t>Valys is het landelijke vervoerssysteem dat in opdracht van het Ministerie van Volksgezondheid, Welzijn en Sport (VWS) het bovenregionale sociaal-recreatieve vervoer voor personen met een mobiliteitsbeperking faciliteert *1*. De organisatie verzorgt uitsluitend ritten die de grens van vijf openbaarvervoerzones vanaf het woonadres overschrijden, en opereert daarmee aanvullend op het gemeentelijke Wmo-vervoer *2*. Het systeem werkt met een persoonlijk kilometerbudget en is ingericht op het combineren van reiz</w:t>
      </w:r>
      <w:r>
        <w:rPr>
          <w:lang w:val="nl-NL"/>
        </w:rPr>
        <w:t>igersstromen om operationele efficiëntie te behalen.</w:t>
      </w:r>
    </w:p>
    <w:p w14:paraId="53E81920" w14:textId="77777777" w:rsidR="00773516" w:rsidRDefault="00773516">
      <w:pPr>
        <w:pStyle w:val="Normaalweb"/>
        <w:divId w:val="1477067237"/>
        <w:rPr>
          <w:lang w:val="nl-NL"/>
        </w:rPr>
      </w:pPr>
      <w:r>
        <w:rPr>
          <w:lang w:val="nl-NL"/>
        </w:rPr>
        <w:t>In het dossier van de grensarbeider wordt Valys in september 2026 ingeschakeld voor een Valyspas. De aanvraag wordt op 27 september 2026 ontvangen en op 28 september 2026 goedgekeurd *3*. De formele toekenning van de pas betekent dat de patiënt toegang krijgt tot bovenregionaal vervoer, maar de structurele frictie op de knooppunten tussen Valys en andere vervoerssystemen blijft bestaan. Bij ketenreizen die een overdracht vereisen tussen Valys en het lokale Wmo-vervoer of het reguliere treinverkeer, vertaalt</w:t>
      </w:r>
      <w:r>
        <w:rPr>
          <w:lang w:val="nl-NL"/>
        </w:rPr>
        <w:t xml:space="preserve"> de strikte isolatie van de deelsystemen zich in planningsverschillen en falende ketencommunicatie *4*. Valys opereert uitsluitend binnen de eigen parameters en bezit geen overkoepelende regie om logistieke vertragingen vanuit externe vervoersnetwerken op te vangen.</w:t>
      </w:r>
    </w:p>
    <w:p w14:paraId="0A18D597" w14:textId="77777777" w:rsidR="00773516" w:rsidRDefault="00773516">
      <w:pPr>
        <w:divId w:val="476915973"/>
        <w:rPr>
          <w:color w:val="555555"/>
          <w:sz w:val="20"/>
          <w:szCs w:val="20"/>
          <w:lang w:val="nl-NL"/>
        </w:rPr>
      </w:pPr>
      <w:r>
        <w:rPr>
          <w:color w:val="555555"/>
          <w:sz w:val="20"/>
          <w:szCs w:val="20"/>
          <w:lang w:val="nl-NL"/>
        </w:rPr>
        <w:t>*1* *1* Ministerie van VWS, taakomschrijving Valys: landelijk bovenregionaal sociaal-recreatief vervoer voor personen met een mobiliteitsbeperking.</w:t>
      </w:r>
    </w:p>
    <w:p w14:paraId="75C6CA15" w14:textId="77777777" w:rsidR="00773516" w:rsidRDefault="00773516">
      <w:pPr>
        <w:divId w:val="476915973"/>
        <w:rPr>
          <w:color w:val="555555"/>
          <w:sz w:val="20"/>
          <w:szCs w:val="20"/>
          <w:lang w:val="nl-NL"/>
        </w:rPr>
      </w:pPr>
      <w:r>
        <w:rPr>
          <w:color w:val="555555"/>
          <w:sz w:val="20"/>
          <w:szCs w:val="20"/>
          <w:lang w:val="nl-NL"/>
        </w:rPr>
        <w:t>*2* *2* Valys is bedoeld voor reizen die meer dan vijf openbaarvervoerzones vanaf het woonadres liggen; het mandaat begint waar de gemeentelijke Wmo-plicht eindigt.</w:t>
      </w:r>
    </w:p>
    <w:p w14:paraId="66438BBA" w14:textId="77777777" w:rsidR="00773516" w:rsidRDefault="00773516">
      <w:pPr>
        <w:divId w:val="476915973"/>
        <w:rPr>
          <w:color w:val="555555"/>
          <w:sz w:val="20"/>
          <w:szCs w:val="20"/>
          <w:lang w:val="nl-NL"/>
        </w:rPr>
      </w:pPr>
      <w:r>
        <w:rPr>
          <w:color w:val="555555"/>
          <w:sz w:val="20"/>
          <w:szCs w:val="20"/>
          <w:lang w:val="nl-NL"/>
        </w:rPr>
        <w:t>*3* *3* Entry 27-09-2026: ontvangstbevestiging aanvraag Valyspas; entry 28-09-2026: goedkeuring aanvraag Valyspas.</w:t>
      </w:r>
    </w:p>
    <w:p w14:paraId="48544167" w14:textId="77777777" w:rsidR="00773516" w:rsidRDefault="00773516">
      <w:pPr>
        <w:divId w:val="476915973"/>
        <w:rPr>
          <w:color w:val="555555"/>
          <w:sz w:val="20"/>
          <w:szCs w:val="20"/>
          <w:lang w:val="nl-NL"/>
        </w:rPr>
      </w:pPr>
      <w:r>
        <w:rPr>
          <w:color w:val="555555"/>
          <w:sz w:val="20"/>
          <w:szCs w:val="20"/>
          <w:lang w:val="nl-NL"/>
        </w:rPr>
        <w:t>*4* *4* Structurele ketenfrictie: overdrachtsproblematiek tussen Valys en andere vervoerssystemen leidt tot wachttijden en communicatie-uitval.</w:t>
      </w:r>
    </w:p>
    <w:p w14:paraId="2376802D" w14:textId="77777777" w:rsidR="00773516" w:rsidRDefault="00773516">
      <w:pPr>
        <w:pStyle w:val="marker"/>
        <w:ind w:left="800" w:right="800"/>
        <w:divId w:val="1477067237"/>
        <w:rPr>
          <w:lang w:val="nl-NL"/>
        </w:rPr>
      </w:pPr>
      <w:r>
        <w:br w:type="page"/>
      </w:r>
    </w:p>
    <w:p w14:paraId="21F2FF32" w14:textId="77777777" w:rsidR="00773516" w:rsidRDefault="00773516">
      <w:pPr>
        <w:pStyle w:val="Kop3"/>
        <w:divId w:val="1477067237"/>
        <w:rPr>
          <w:rFonts w:eastAsia="Times New Roman"/>
          <w:lang w:val="nl-NL"/>
        </w:rPr>
      </w:pPr>
      <w:bookmarkStart w:id="48" w:name="_Toc242189475"/>
      <w:r>
        <w:rPr>
          <w:rFonts w:eastAsia="Times New Roman"/>
          <w:lang w:val="nl-NL"/>
        </w:rPr>
        <w:t>VATTENFALL</w:t>
      </w:r>
      <w:bookmarkEnd w:id="48"/>
    </w:p>
    <w:p w14:paraId="0234F5FD" w14:textId="77777777" w:rsidR="00773516" w:rsidRDefault="00773516">
      <w:pPr>
        <w:pStyle w:val="subtitel"/>
        <w:divId w:val="1477067237"/>
        <w:rPr>
          <w:lang w:val="nl-NL"/>
        </w:rPr>
      </w:pPr>
      <w:r>
        <w:rPr>
          <w:lang w:val="nl-NL"/>
        </w:rPr>
        <w:t>De Commerciële Energie-Fuik en de Onuitvoerbare Medische Eisen</w:t>
      </w:r>
    </w:p>
    <w:p w14:paraId="44CD8FB3" w14:textId="77777777" w:rsidR="00773516" w:rsidRDefault="00773516">
      <w:pPr>
        <w:pStyle w:val="Normaalweb"/>
        <w:divId w:val="1477067237"/>
        <w:rPr>
          <w:lang w:val="nl-NL"/>
        </w:rPr>
      </w:pPr>
      <w:r>
        <w:rPr>
          <w:lang w:val="nl-NL"/>
        </w:rPr>
        <w:t>De huishoudelijke impact van de grensoverschrijdende inkomensstagnatie kristalliseert zich pijnlijk uit in de relatie met de energieleverancier, Vattenfall. Door het uitblijven van wettelijke toeslagen en uitkeringen ontstaat er in 2025 en 2026 een aanhoudende betalingsachterstand op de energierekening van het huishouden. Hoewel er herhaaldelijk pogingen worden gedaan om via betalingsregelingen de lasten te spreiden, leidt de combinatie van stijgende maandtermijnen en torenhoge jaarafrekeningen tot een onov</w:t>
      </w:r>
      <w:r>
        <w:rPr>
          <w:lang w:val="nl-NL"/>
        </w:rPr>
        <w:t>erbrugbare schuldencrisis die oploopt tot ruim tweeduizend euro.</w:t>
      </w:r>
    </w:p>
    <w:p w14:paraId="1D0EA6FD" w14:textId="77777777" w:rsidR="00773516" w:rsidRDefault="00773516">
      <w:pPr>
        <w:pStyle w:val="Normaalweb"/>
        <w:divId w:val="1477067237"/>
        <w:rPr>
          <w:lang w:val="nl-NL"/>
        </w:rPr>
      </w:pPr>
      <w:r>
        <w:rPr>
          <w:lang w:val="nl-NL"/>
        </w:rPr>
        <w:t>Wanneer de huishouding dreigt te worden afgesloten, vraagt de partner om de officiële beschermingsstatus van 'medisch kwetsbare consument' te activeren, aangezien de patiënt de energie direct nodig heeft voor de gekoelde opslag van levensreddende insuline. Vattenfall eist hiervoor echter een officiële gezondheidsverklaring van een onafhankelijke Nederlandse arts. Zoals eerder vastgesteld, is een dergelijke verklaring voor een grensarbeider met een Belgisch medisch dossier via de lokale reguliere zorg nageno</w:t>
      </w:r>
      <w:r>
        <w:rPr>
          <w:lang w:val="nl-NL"/>
        </w:rPr>
        <w:t>eg onmogelijk te verkrijgen. De leverancier legt daarmee een eis neer die feitelijk onuitvoerbaar is.</w:t>
      </w:r>
    </w:p>
    <w:p w14:paraId="56290409" w14:textId="77777777" w:rsidR="00773516" w:rsidRDefault="00773516">
      <w:pPr>
        <w:pStyle w:val="Normaalweb"/>
        <w:divId w:val="1477067237"/>
        <w:rPr>
          <w:lang w:val="nl-NL"/>
        </w:rPr>
      </w:pPr>
      <w:r>
        <w:rPr>
          <w:lang w:val="nl-NL"/>
        </w:rPr>
        <w:t>De communicatie ontaardt vervolgens in een langdurig, moeizaam administratief traject. Maandenlang laat Vattenfall de ingediende medische gezondheidsverklaring onbeantwoord, terwijl de geautomatiseerde incassomachine onverminderd doorraadt en incassokosten opstapelt. Pas na lang aandringen geeft de energieleverancier toe dat zij de verklaring onterecht hebben geëist, omdat zij als leverancier helemaal geen afsluitgarantie kunnen afgeven. Na deze administratieve desillusie wordt de openstaande vordering alsn</w:t>
      </w:r>
      <w:r>
        <w:rPr>
          <w:lang w:val="nl-NL"/>
        </w:rPr>
        <w:t>og uit handen gegeven aan een incassobureau. De patiënt wordt zo geconfronteerd met commerciële sancties en oplopende incassokosten, puur doordat de leverancier verzuimt de eigen verantwoordelijkheden te kennen en weigert de buitenlandse medische realiteit te erkennen.</w:t>
      </w:r>
    </w:p>
    <w:p w14:paraId="28D7B9F7" w14:textId="77777777" w:rsidR="00773516" w:rsidRDefault="00773516">
      <w:pPr>
        <w:pStyle w:val="marker"/>
        <w:ind w:left="800" w:right="800"/>
        <w:divId w:val="1477067237"/>
        <w:rPr>
          <w:lang w:val="nl-NL"/>
        </w:rPr>
      </w:pPr>
      <w:r>
        <w:br w:type="page"/>
      </w:r>
    </w:p>
    <w:p w14:paraId="78188AA1" w14:textId="77777777" w:rsidR="00773516" w:rsidRDefault="00773516">
      <w:pPr>
        <w:pStyle w:val="Kop2"/>
        <w:divId w:val="1477067237"/>
        <w:rPr>
          <w:rFonts w:eastAsia="Times New Roman"/>
          <w:lang w:val="nl-NL"/>
        </w:rPr>
      </w:pPr>
      <w:bookmarkStart w:id="49" w:name="_Toc242189476"/>
      <w:r>
        <w:rPr>
          <w:rFonts w:eastAsia="Times New Roman"/>
          <w:lang w:val="nl-NL"/>
        </w:rPr>
        <w:t>Escalatie &amp; Controle</w:t>
      </w:r>
      <w:bookmarkEnd w:id="49"/>
    </w:p>
    <w:p w14:paraId="608B3F64" w14:textId="77777777" w:rsidR="00773516" w:rsidRDefault="00773516">
      <w:pPr>
        <w:pStyle w:val="Kop3"/>
        <w:divId w:val="1477067237"/>
        <w:rPr>
          <w:rFonts w:eastAsia="Times New Roman"/>
          <w:lang w:val="nl-NL"/>
        </w:rPr>
      </w:pPr>
      <w:bookmarkStart w:id="50" w:name="_Toc242189477"/>
      <w:r>
        <w:rPr>
          <w:rFonts w:eastAsia="Times New Roman"/>
          <w:lang w:val="nl-NL"/>
        </w:rPr>
        <w:t>DE NATIONALE OMBUDSMAN (NL)</w:t>
      </w:r>
      <w:bookmarkEnd w:id="50"/>
    </w:p>
    <w:p w14:paraId="590BD7BD" w14:textId="77777777" w:rsidR="00773516" w:rsidRDefault="00773516">
      <w:pPr>
        <w:pStyle w:val="subtitel"/>
        <w:divId w:val="1477067237"/>
        <w:rPr>
          <w:lang w:val="nl-NL"/>
        </w:rPr>
      </w:pPr>
      <w:r>
        <w:rPr>
          <w:lang w:val="nl-NL"/>
        </w:rPr>
        <w:t>De Formele Drempel van de Onafhankelijke Arbiter</w:t>
      </w:r>
    </w:p>
    <w:p w14:paraId="36604387" w14:textId="77777777" w:rsidR="00773516" w:rsidRDefault="00773516">
      <w:pPr>
        <w:pStyle w:val="Normaalweb"/>
        <w:divId w:val="1477067237"/>
        <w:rPr>
          <w:lang w:val="nl-NL"/>
        </w:rPr>
      </w:pPr>
      <w:r>
        <w:rPr>
          <w:lang w:val="nl-NL"/>
        </w:rPr>
        <w:t>De Nationale Ombudsman is in het Nederlandse bestel de onafhankelijke instantie die klachten behandelt over het handelen van overheidsinstanties zoals het UWV, de SVB en de Belastingdienst. Wanneer de grensarbeider in het voorjaar van 2026 dit instituut inschakelt om de gestapelde administratieve blokkades en het uitblijven van toeslagen aan te kaarten, ontstaat al snel een herkenbaar patroon van procedurele afwijzing.</w:t>
      </w:r>
    </w:p>
    <w:p w14:paraId="260B7207" w14:textId="77777777" w:rsidR="00773516" w:rsidRDefault="00773516">
      <w:pPr>
        <w:pStyle w:val="Normaalweb"/>
        <w:divId w:val="1477067237"/>
        <w:rPr>
          <w:lang w:val="nl-NL"/>
        </w:rPr>
      </w:pPr>
      <w:r>
        <w:rPr>
          <w:lang w:val="nl-NL"/>
        </w:rPr>
        <w:t>Hoewel de klacht onder een officieel zaaknummer wordt geregistreerd, stuit het onderzoek direct op institutionele limieten. De Ombudsman meldt openlijk te kampen met structurele capaciteitsproblemen en hanteert een onwrikbare regel: er wordt geen actieve tussenkomst gestart zolang er formele bezwaar- of beroepsprocedures bij de instanties zelf lopen. Omdat het dossier nu eenmaal uit openstaande juridische procedures bestaat, weigert de Ombudsman in te grijpen.</w:t>
      </w:r>
    </w:p>
    <w:p w14:paraId="2022442C" w14:textId="77777777" w:rsidR="00773516" w:rsidRDefault="00773516">
      <w:pPr>
        <w:pStyle w:val="Normaalweb"/>
        <w:divId w:val="1477067237"/>
        <w:rPr>
          <w:lang w:val="nl-NL"/>
        </w:rPr>
      </w:pPr>
      <w:r>
        <w:rPr>
          <w:lang w:val="nl-NL"/>
        </w:rPr>
        <w:t>Het instituut adviseert de burger om eerst alle reguliere juridische wegen binnen de falende instanties volledig te doorlopen. Hiermee wordt de Ombudsman een verlengstuk van het vertragende systeem: de instantie die moet ingrijpen bij bestuurlijk falen, dwingt de burger om te wachten tot de administratieve molen zelf is uitgedraaid. Nadat herhaalde pogingen en aanvullende dossiers stranden op deze formele reflex, wordt het dossier definitief gesloten en uitsluitend nog geregistreerd als een passief 'signaal</w:t>
      </w:r>
      <w:r>
        <w:rPr>
          <w:lang w:val="nl-NL"/>
        </w:rPr>
        <w:t>'.</w:t>
      </w:r>
    </w:p>
    <w:p w14:paraId="3A62F1FE" w14:textId="77777777" w:rsidR="00773516" w:rsidRDefault="00773516">
      <w:pPr>
        <w:pStyle w:val="marker"/>
        <w:ind w:left="800" w:right="800"/>
        <w:divId w:val="1477067237"/>
        <w:rPr>
          <w:lang w:val="nl-NL"/>
        </w:rPr>
      </w:pPr>
      <w:r>
        <w:br w:type="page"/>
      </w:r>
    </w:p>
    <w:p w14:paraId="126697A5" w14:textId="77777777" w:rsidR="00773516" w:rsidRDefault="00773516">
      <w:pPr>
        <w:pStyle w:val="Kop3"/>
        <w:divId w:val="1477067237"/>
        <w:rPr>
          <w:rFonts w:eastAsia="Times New Roman"/>
          <w:lang w:val="nl-NL"/>
        </w:rPr>
      </w:pPr>
      <w:bookmarkStart w:id="51" w:name="_Toc242189478"/>
      <w:r>
        <w:rPr>
          <w:rFonts w:eastAsia="Times New Roman"/>
          <w:lang w:val="nl-NL"/>
        </w:rPr>
        <w:t>KONINKLIJK HUIS (NEDERLAND)</w:t>
      </w:r>
      <w:bookmarkEnd w:id="51"/>
    </w:p>
    <w:p w14:paraId="04D44C78" w14:textId="77777777" w:rsidR="00773516" w:rsidRDefault="00773516">
      <w:pPr>
        <w:pStyle w:val="subtitel"/>
        <w:divId w:val="1477067237"/>
        <w:rPr>
          <w:lang w:val="nl-NL"/>
        </w:rPr>
      </w:pPr>
      <w:r>
        <w:rPr>
          <w:lang w:val="nl-NL"/>
        </w:rPr>
        <w:t>Het Grondwettelijke Nulpunt</w:t>
      </w:r>
    </w:p>
    <w:p w14:paraId="5F863B8F" w14:textId="77777777" w:rsidR="00773516" w:rsidRDefault="00773516">
      <w:pPr>
        <w:pStyle w:val="Normaalweb"/>
        <w:divId w:val="1477067237"/>
        <w:rPr>
          <w:lang w:val="nl-NL"/>
        </w:rPr>
      </w:pPr>
      <w:r>
        <w:rPr>
          <w:lang w:val="nl-NL"/>
        </w:rPr>
        <w:t>De escalatieladder binnen de Nederlandse staat eindigt, evenals in België, bij het symbolische staatshoofd. In mei 2026 wordt de Systeem-Audit per aangetekende post aangeboden aan het Kabinet van de Koning. Dit verzoekschrift markeert het bereiken van de absolute top van de nationale staatsinrichting met de vraag om aandacht voor de onzichtbare administratieve armoede in de grensstreek.</w:t>
      </w:r>
    </w:p>
    <w:p w14:paraId="3BA7BDFB" w14:textId="77777777" w:rsidR="00773516" w:rsidRDefault="00773516">
      <w:pPr>
        <w:pStyle w:val="Normaalweb"/>
        <w:divId w:val="1477067237"/>
        <w:rPr>
          <w:lang w:val="nl-NL"/>
        </w:rPr>
      </w:pPr>
      <w:r>
        <w:rPr>
          <w:lang w:val="nl-NL"/>
        </w:rPr>
        <w:t>De reactie van het Kabinet van de Koning in juli 2026 volgt de stricte kaders van de Nederlandse Grondwet. Er wordt erkend dat de Koning persoonlijk geen enkele bevoegdheid bezit om in te grijpen in administratieve beslissingen of om uitvoerende instanties te corrigeren. Het Paleis biedt aan om het verzoekschrift formeel door te geleiden naar de bevoegde minister of staatssecretaris, mits de burger exact specificeert voor welk specifiek deelprobleem steun wordt gevraagd.</w:t>
      </w:r>
    </w:p>
    <w:p w14:paraId="2D3028A4" w14:textId="77777777" w:rsidR="00773516" w:rsidRDefault="00773516">
      <w:pPr>
        <w:pStyle w:val="Normaalweb"/>
        <w:divId w:val="1477067237"/>
        <w:rPr>
          <w:lang w:val="nl-NL"/>
        </w:rPr>
      </w:pPr>
      <w:r>
        <w:rPr>
          <w:lang w:val="nl-NL"/>
        </w:rPr>
        <w:t>Hiermee is ook in Nederland de nationale escalatieladder definitief uitgewerkt. Het hoogste staatshoofd kan niet meer doen dan de brief terugsturen naar precies dat ministerie dat verantwoordelijk is voor de gemaakte fouten. Dit onderstreept het fundamentele uitgangspunt van deze audit: er is binnen de nationale structuren van beide lidstaten geen enkele instantie meer over die een transnationaal bevoegdheidsvacuüm kan oplossen. De nationale staat houdt op met functioneren zodra de grens wordt overstoken.</w:t>
      </w:r>
    </w:p>
    <w:p w14:paraId="3F5854A7" w14:textId="77777777" w:rsidR="00773516" w:rsidRDefault="00773516">
      <w:pPr>
        <w:pStyle w:val="marker"/>
        <w:ind w:left="800" w:right="800"/>
        <w:divId w:val="1477067237"/>
        <w:rPr>
          <w:lang w:val="nl-NL"/>
        </w:rPr>
      </w:pPr>
      <w:r>
        <w:br w:type="page"/>
      </w:r>
    </w:p>
    <w:p w14:paraId="645DB102" w14:textId="77777777" w:rsidR="00773516" w:rsidRDefault="00773516">
      <w:pPr>
        <w:pStyle w:val="Kop3"/>
        <w:divId w:val="1477067237"/>
        <w:rPr>
          <w:rFonts w:eastAsia="Times New Roman"/>
          <w:lang w:val="nl-NL"/>
        </w:rPr>
      </w:pPr>
      <w:bookmarkStart w:id="52" w:name="_Toc242189479"/>
      <w:r>
        <w:rPr>
          <w:rFonts w:eastAsia="Times New Roman"/>
          <w:lang w:val="nl-NL"/>
        </w:rPr>
        <w:t>NEDERLANDSE POLITIEKE PARTIJEN</w:t>
      </w:r>
      <w:bookmarkEnd w:id="52"/>
    </w:p>
    <w:p w14:paraId="795C9308" w14:textId="77777777" w:rsidR="00773516" w:rsidRDefault="00773516">
      <w:pPr>
        <w:pStyle w:val="subtitel"/>
        <w:divId w:val="1477067237"/>
        <w:rPr>
          <w:lang w:val="nl-NL"/>
        </w:rPr>
      </w:pPr>
      <w:r>
        <w:rPr>
          <w:lang w:val="nl-NL"/>
        </w:rPr>
        <w:t>De Standaardontkenning van de Wetgever</w:t>
      </w:r>
    </w:p>
    <w:p w14:paraId="6F819D07" w14:textId="77777777" w:rsidR="00773516" w:rsidRDefault="00773516">
      <w:pPr>
        <w:pStyle w:val="Normaalweb"/>
        <w:divId w:val="1477067237"/>
        <w:rPr>
          <w:lang w:val="nl-NL"/>
        </w:rPr>
      </w:pPr>
      <w:r>
        <w:rPr>
          <w:lang w:val="nl-NL"/>
        </w:rPr>
        <w:t>De politieke fracties in de Tweede Kamer vormen de wetgevende macht en dragen de politieke verantwoordelijkheid voor het functioneren van de sociale zekerheid. Vanaf april 2026 worden de leiderschappen en secretariaten van diverse Nederlandse partijen (waaronder PVV, VVD, BBB en NSC) geconfronteerd met gedetailleerde brandbrieven over het grensoverschrijdende bevoegdheidsvacuüm. De reacties van het politieke landschap kenmerken zich door een volstrekte afwezigheid van inhoudelijke actie.</w:t>
      </w:r>
    </w:p>
    <w:p w14:paraId="5A7210F3" w14:textId="77777777" w:rsidR="00773516" w:rsidRDefault="00773516">
      <w:pPr>
        <w:pStyle w:val="Normaalweb"/>
        <w:divId w:val="1477067237"/>
        <w:rPr>
          <w:lang w:val="nl-NL"/>
        </w:rPr>
      </w:pPr>
      <w:r>
        <w:rPr>
          <w:lang w:val="nl-NL"/>
        </w:rPr>
        <w:t>De respons van regeringspartijen en gevestigde fracties (zoals de VVD) is even voorspelbaar als teleurstellend. Men laat per standaardbrief weten niet te kunnen ingrijpen in persoonlijke dossiers en adviseert de burger om hulp te zoeken bij de Nationale Ombudsman — dezelfde Ombudsman die de zaak op zijn beurt al heeft afgewezen. Partijen die zich profileren op 'bestaanszekerheid' (zoals NSC) of partijen die opkomen voor de regio (zoals de BBB) sturen het dossier na lang wachten intern door naar beleidsmedew</w:t>
      </w:r>
      <w:r>
        <w:rPr>
          <w:lang w:val="nl-NL"/>
        </w:rPr>
        <w:t>erkers, waarna het in de parlementaire vergetelheid verdwijnt zonder dat er ook maar één Kamervraag wordt gesteld.</w:t>
      </w:r>
    </w:p>
    <w:p w14:paraId="65011A69" w14:textId="77777777" w:rsidR="00773516" w:rsidRDefault="00773516">
      <w:pPr>
        <w:pStyle w:val="Normaalweb"/>
        <w:divId w:val="1477067237"/>
        <w:rPr>
          <w:lang w:val="nl-NL"/>
        </w:rPr>
      </w:pPr>
      <w:r>
        <w:rPr>
          <w:lang w:val="nl-NL"/>
        </w:rPr>
        <w:t>De politieke macht toont zich in dit dossier volkomen vervreemd van de uitvoeringswerkelijkheid. Partijen schrijven de wetten die de binaire kaders en de digitale valkuilen creëren, maar zodra een burger met keiharde cijfers en tijdlijnen bewijst dat die wetten levens ontwrichten, zwijgen de fracties in alle talen of verschuilen zij zich achter procedurele onbevoegdheid.</w:t>
      </w:r>
    </w:p>
    <w:p w14:paraId="36DF5C96" w14:textId="77777777" w:rsidR="00773516" w:rsidRDefault="00773516">
      <w:pPr>
        <w:pStyle w:val="marker"/>
        <w:ind w:left="800" w:right="800"/>
        <w:divId w:val="1477067237"/>
        <w:rPr>
          <w:lang w:val="nl-NL"/>
        </w:rPr>
      </w:pPr>
      <w:r>
        <w:br w:type="page"/>
      </w:r>
    </w:p>
    <w:p w14:paraId="37043D3F" w14:textId="77777777" w:rsidR="00773516" w:rsidRDefault="00773516">
      <w:pPr>
        <w:pStyle w:val="Kop3"/>
        <w:divId w:val="1477067237"/>
        <w:rPr>
          <w:rFonts w:eastAsia="Times New Roman"/>
          <w:lang w:val="nl-NL"/>
        </w:rPr>
      </w:pPr>
      <w:bookmarkStart w:id="53" w:name="_Toc242189480"/>
      <w:r>
        <w:rPr>
          <w:rFonts w:eastAsia="Times New Roman"/>
          <w:lang w:val="nl-NL"/>
        </w:rPr>
        <w:t>TWEEDE KAMER (COMMISSIE SZW)</w:t>
      </w:r>
      <w:bookmarkEnd w:id="53"/>
    </w:p>
    <w:p w14:paraId="38AE614B" w14:textId="77777777" w:rsidR="00773516" w:rsidRDefault="00773516">
      <w:pPr>
        <w:pStyle w:val="subtitel"/>
        <w:divId w:val="1477067237"/>
        <w:rPr>
          <w:lang w:val="nl-NL"/>
        </w:rPr>
      </w:pPr>
      <w:r>
        <w:rPr>
          <w:lang w:val="nl-NL"/>
        </w:rPr>
        <w:t>Het Geparkeerde Parlementaire Signaal</w:t>
      </w:r>
    </w:p>
    <w:p w14:paraId="14D7580F" w14:textId="77777777" w:rsidR="00773516" w:rsidRDefault="00773516">
      <w:pPr>
        <w:pStyle w:val="Normaalweb"/>
        <w:divId w:val="1477067237"/>
        <w:rPr>
          <w:lang w:val="nl-NL"/>
        </w:rPr>
      </w:pPr>
      <w:r>
        <w:rPr>
          <w:lang w:val="nl-NL"/>
        </w:rPr>
        <w:t>De Vaste Commissie voor Sociale Zaken en Werkgelegenheid (SZW) van de Tweede Kamer is het democratische orgaan dat de bewindspersonen controleert op de uitvoering van de sociale zekerheid. In april 2026 ontvangt deze commissie een dwingende brandbrief en de volledige Systeem-Audit, waarin wordt blootgelegd hoe de Nederlandse wetgeving en uitvoeringsinstanties (zoals het UWV en de SVB) falen in de bescherming van grensarbeiders.</w:t>
      </w:r>
    </w:p>
    <w:p w14:paraId="2459FAD0" w14:textId="77777777" w:rsidR="00773516" w:rsidRDefault="00773516">
      <w:pPr>
        <w:pStyle w:val="Normaalweb"/>
        <w:divId w:val="1477067237"/>
        <w:rPr>
          <w:lang w:val="nl-NL"/>
        </w:rPr>
      </w:pPr>
      <w:r>
        <w:rPr>
          <w:lang w:val="nl-NL"/>
        </w:rPr>
        <w:t>De ambtelijke griffie registreert de brief correct als een ingekomen stuk. Vervolgens past de politieke commissie een beproefde methode toe om directe verantwoordelijkheid te ontwijken: het dossier wordt formeel ingepland en 'geparkeerd' voor een toekomstig commissiedebat over de uitvoering van de sociale zekerheid. Daarbij wordt in de besluitvorming direct een procedurele beperking ingebouwd: men stelt expliciet dat de Kamer zich uitdrukkelijk niet bezighoudt met de individuele kwestie van de burger.</w:t>
      </w:r>
    </w:p>
    <w:p w14:paraId="2AF7BC5B" w14:textId="77777777" w:rsidR="00773516" w:rsidRDefault="00773516">
      <w:pPr>
        <w:pStyle w:val="Normaalweb"/>
        <w:divId w:val="1477067237"/>
        <w:rPr>
          <w:lang w:val="nl-NL"/>
        </w:rPr>
      </w:pPr>
      <w:r>
        <w:rPr>
          <w:lang w:val="nl-NL"/>
        </w:rPr>
        <w:t>Hiermee degradeert het parlement de keiharde empirische data van een systematisch bevoegdheidsvacuüm tot een abstract beleidssignaal. De volksvertegenwoordiging erkent hiermee indirect dat de door henzelf ontworpen wetgeving in de praktijk vastloopt, maar weigert om op basis van een concrete casus direct de ministers ter verantwoording te roepen of in te grijpen in de lopende administratieve situatie.</w:t>
      </w:r>
    </w:p>
    <w:p w14:paraId="53D24426" w14:textId="77777777" w:rsidR="00773516" w:rsidRDefault="00773516">
      <w:pPr>
        <w:pStyle w:val="marker"/>
        <w:ind w:left="800" w:right="800"/>
        <w:divId w:val="1477067237"/>
        <w:rPr>
          <w:lang w:val="nl-NL"/>
        </w:rPr>
      </w:pPr>
      <w:r>
        <w:br w:type="page"/>
      </w:r>
    </w:p>
    <w:p w14:paraId="44016537" w14:textId="77777777" w:rsidR="00773516" w:rsidRDefault="00773516">
      <w:pPr>
        <w:pStyle w:val="Kop1"/>
        <w:divId w:val="1477067237"/>
        <w:rPr>
          <w:rFonts w:eastAsia="Times New Roman"/>
          <w:lang w:val="nl-NL"/>
        </w:rPr>
      </w:pPr>
      <w:bookmarkStart w:id="54" w:name="_Toc242189481"/>
      <w:r>
        <w:rPr>
          <w:rFonts w:eastAsia="Times New Roman"/>
          <w:lang w:val="nl-NL"/>
        </w:rPr>
        <w:t>III. Overkoepelend, Bemiddeling &amp; Maatschappelijke Resonantie</w:t>
      </w:r>
      <w:bookmarkEnd w:id="54"/>
    </w:p>
    <w:p w14:paraId="0494CF6B" w14:textId="77777777" w:rsidR="00773516" w:rsidRDefault="00773516">
      <w:pPr>
        <w:pStyle w:val="Kop3"/>
        <w:divId w:val="1477067237"/>
        <w:rPr>
          <w:rFonts w:eastAsia="Times New Roman"/>
          <w:lang w:val="nl-NL"/>
        </w:rPr>
      </w:pPr>
      <w:bookmarkStart w:id="55" w:name="_Toc242189482"/>
      <w:r>
        <w:rPr>
          <w:rFonts w:eastAsia="Times New Roman"/>
          <w:lang w:val="nl-NL"/>
        </w:rPr>
        <w:t>ACADEMISCHE OBSERVATIELAAG</w:t>
      </w:r>
      <w:bookmarkEnd w:id="55"/>
    </w:p>
    <w:p w14:paraId="5BE5E694" w14:textId="77777777" w:rsidR="00773516" w:rsidRDefault="00773516">
      <w:pPr>
        <w:pStyle w:val="subtitel"/>
        <w:divId w:val="1477067237"/>
        <w:rPr>
          <w:lang w:val="nl-NL"/>
        </w:rPr>
      </w:pPr>
      <w:r>
        <w:rPr>
          <w:lang w:val="nl-NL"/>
        </w:rPr>
        <w:t>De Retrospectieve Analyse van een Crisis</w:t>
      </w:r>
    </w:p>
    <w:p w14:paraId="1DCBAA23" w14:textId="77777777" w:rsidR="00773516" w:rsidRDefault="00773516">
      <w:pPr>
        <w:pStyle w:val="Normaalweb"/>
        <w:divId w:val="1477067237"/>
        <w:rPr>
          <w:lang w:val="nl-NL"/>
        </w:rPr>
      </w:pPr>
      <w:r>
        <w:rPr>
          <w:lang w:val="nl-NL"/>
        </w:rPr>
        <w:t xml:space="preserve">Wetenschappelijke instituten, universitaire faculteiten voor sociaal recht en gespecialiseerde kenniscentra voor grenseffecten hebben binnen de rechtsstaat de taak om wetgeving te toetsen aan de maatschappelijke uitvoeringspraktijk. Zij analyseren structurele knelpunten in de sociale zekerheid en publiceren rapportages voor nationale parlementen en de Europese Commissie. Wanneer de gedocumenteerde Systeem-Audit in het voorjaar van 2026 bij diverse Nederlandse en Belgische universiteiten wordt ingediend als </w:t>
      </w:r>
      <w:r>
        <w:rPr>
          <w:lang w:val="nl-NL"/>
        </w:rPr>
        <w:t>actuele casuïstiek van een transnationaal bevoegdheidsvacuüm, blijft een inhoudelijke reactie aanvankelijk volledig uit. De academische infrastructuur is primair ingericht op retrospectief onderzoek binnen afgebakende onderzoeksprogramma's en beschikt niet over een operationeel protocol om een lopende, individuele systeemblokkade in real-time te onderzoeken.</w:t>
      </w:r>
    </w:p>
    <w:p w14:paraId="294AC98C" w14:textId="77777777" w:rsidR="00773516" w:rsidRDefault="00773516">
      <w:pPr>
        <w:pStyle w:val="Normaalweb"/>
        <w:divId w:val="1477067237"/>
        <w:rPr>
          <w:lang w:val="nl-NL"/>
        </w:rPr>
      </w:pPr>
      <w:r>
        <w:rPr>
          <w:lang w:val="nl-NL"/>
        </w:rPr>
        <w:t>Deze radiostilte wordt in september 2026 doorbroken wanneer het geactualiseerde dossier het niveau van specifieke grensarbeid-expertise bereikt. Na een eerste bevestiging van dossierstudie door een hoogleraar aan een grensoverschrijdend onderzoeksinstituut, volgt een diepgaande inhoudelijke analyse door een onafhankelijk onderzoeker met een decennialange staat van dienst in grensoverschrijdende procedures. In deze uitwisseling wordt de casus niet langer als een geïsoleerd incident behandeld, maar getoetst a</w:t>
      </w:r>
      <w:r>
        <w:rPr>
          <w:lang w:val="nl-NL"/>
        </w:rPr>
        <w:t>an de wisselwerking tussen de Europese coördinatieverordening *1*, de verordening inzake het vrij verkeer van werknemers *2* en de vaste rechtspraak van het Hof van Justitie over fiscale en sociale gelijke behandeling over de grens *3*. Daarbij wordt tevens aan de hand van officiële correspondentie van de Europese Commissie gedocumenteerd dat formele inbreukklachten tegen België en Vlaanderen over de uitsluiting van grensarbeiders bij sociale voordelen en het Groeipakket al sinds 2022 en 2023 in een onderzo</w:t>
      </w:r>
      <w:r>
        <w:rPr>
          <w:lang w:val="nl-NL"/>
        </w:rPr>
        <w:t>eksfase verkeren zonder definitief besluit.</w:t>
      </w:r>
    </w:p>
    <w:p w14:paraId="3522C89E" w14:textId="77777777" w:rsidR="00773516" w:rsidRDefault="00773516">
      <w:pPr>
        <w:pStyle w:val="Normaalweb"/>
        <w:divId w:val="1477067237"/>
        <w:rPr>
          <w:lang w:val="nl-NL"/>
        </w:rPr>
      </w:pPr>
      <w:r>
        <w:rPr>
          <w:lang w:val="nl-NL"/>
        </w:rPr>
        <w:t>De interactie met de onderzoekswereld verschuift van passieve observatie naar actieve verificatie wanneer de onderzoeker de exacte medische en fiscale parameters van het dossier via een anonieme steekproef voorlegt aan de Belgische belastingdienst voor niet-inwoners. De belastingadministratie bevestigt in deze steekproef schriftelijk dat bij het ontbreken van een Nederlands vervangingsinkomen boven de wettelijke drempel het spontaan toevoegen van medische verklaringen bij de aangifte een geldige route vormt</w:t>
      </w:r>
      <w:r>
        <w:rPr>
          <w:lang w:val="nl-NL"/>
        </w:rPr>
        <w:t xml:space="preserve"> om de fiscale handicapstatus naar Belgisch recht aan te tonen. Tegelijkertijd legt deze academische validatie de operationele grens van de wetenschap bloot. Hoewel het onderzoek bevestigt dat nationale uitvoeringsorganen vastlopen op het ontbreken van digitale standaardsjablonen voor grensarbeiders met een medische beperking, bezit de academische laag geen uitvoerende of afdwingende bevoegdheid. De wetenschappelijke bevestiging van de weeffout opent geen gesloten databanken zoals de Kruispuntbank van de So</w:t>
      </w:r>
      <w:r>
        <w:rPr>
          <w:lang w:val="nl-NL"/>
        </w:rPr>
        <w:t>ciale Zekerheid en voorkomt evenmin dat een geslaagde fiscale correctie in het werkland via een gewijzigd inkomen nieuwe herberekeningen of terugvorderingen uitlokt bij inkomensafhankelijke regelingen aan beide zijden van de grens.</w:t>
      </w:r>
    </w:p>
    <w:p w14:paraId="12771730" w14:textId="77777777" w:rsidR="00773516" w:rsidRDefault="00773516">
      <w:pPr>
        <w:divId w:val="646009375"/>
        <w:rPr>
          <w:color w:val="555555"/>
          <w:sz w:val="20"/>
          <w:szCs w:val="20"/>
          <w:lang w:val="nl-NL"/>
        </w:rPr>
      </w:pPr>
      <w:r>
        <w:rPr>
          <w:color w:val="555555"/>
          <w:sz w:val="20"/>
          <w:szCs w:val="20"/>
          <w:lang w:val="nl-NL"/>
        </w:rPr>
        <w:t>*1* Verordening (EG) nr. 883/2004 (inclusief Bijlage X inzake bijzondere niet op premie- of bijdragebetaling berustende prestaties).</w:t>
      </w:r>
    </w:p>
    <w:p w14:paraId="7DC15258" w14:textId="77777777" w:rsidR="00773516" w:rsidRDefault="00773516">
      <w:pPr>
        <w:divId w:val="646009375"/>
        <w:rPr>
          <w:color w:val="555555"/>
          <w:sz w:val="20"/>
          <w:szCs w:val="20"/>
          <w:lang w:val="nl-NL"/>
        </w:rPr>
      </w:pPr>
      <w:r>
        <w:rPr>
          <w:color w:val="555555"/>
          <w:sz w:val="20"/>
          <w:szCs w:val="20"/>
          <w:lang w:val="nl-NL"/>
        </w:rPr>
        <w:t>*2* Artikel 7, lid 2 van Verordening (EU) nr. 492/2011 betreffende het vrije verkeer van werknemers binnen de Unie.</w:t>
      </w:r>
    </w:p>
    <w:p w14:paraId="7C80E5DD" w14:textId="77777777" w:rsidR="00773516" w:rsidRDefault="00773516">
      <w:pPr>
        <w:divId w:val="646009375"/>
        <w:rPr>
          <w:color w:val="555555"/>
          <w:sz w:val="20"/>
          <w:szCs w:val="20"/>
          <w:lang w:val="nl-NL"/>
        </w:rPr>
      </w:pPr>
      <w:r>
        <w:rPr>
          <w:color w:val="555555"/>
          <w:sz w:val="20"/>
          <w:szCs w:val="20"/>
          <w:lang w:val="nl-NL"/>
        </w:rPr>
        <w:t>*3* Waaronder het Schumacker-arrest (C-279/93, 90%-norm), het arrest-Hendrix (C-385/17) en het arrest-Chefquet.</w:t>
      </w:r>
    </w:p>
    <w:p w14:paraId="79651365" w14:textId="77777777" w:rsidR="00773516" w:rsidRDefault="00773516">
      <w:pPr>
        <w:pStyle w:val="marker"/>
        <w:ind w:left="800" w:right="800"/>
        <w:divId w:val="1477067237"/>
        <w:rPr>
          <w:lang w:val="nl-NL"/>
        </w:rPr>
      </w:pPr>
      <w:r>
        <w:br w:type="page"/>
      </w:r>
    </w:p>
    <w:p w14:paraId="16155D21" w14:textId="77777777" w:rsidR="00773516" w:rsidRDefault="00773516">
      <w:pPr>
        <w:pStyle w:val="Kop3"/>
        <w:divId w:val="1477067237"/>
        <w:rPr>
          <w:rFonts w:eastAsia="Times New Roman"/>
          <w:lang w:val="nl-NL"/>
        </w:rPr>
      </w:pPr>
      <w:bookmarkStart w:id="56" w:name="_Toc242189483"/>
      <w:r>
        <w:rPr>
          <w:rFonts w:eastAsia="Times New Roman"/>
          <w:lang w:val="nl-NL"/>
        </w:rPr>
        <w:t>BENELUX UNIE</w:t>
      </w:r>
      <w:bookmarkEnd w:id="56"/>
    </w:p>
    <w:p w14:paraId="4CA27774" w14:textId="77777777" w:rsidR="00773516" w:rsidRDefault="00773516">
      <w:pPr>
        <w:pStyle w:val="subtitel"/>
        <w:divId w:val="1477067237"/>
        <w:rPr>
          <w:lang w:val="nl-NL"/>
        </w:rPr>
      </w:pPr>
      <w:r>
        <w:rPr>
          <w:lang w:val="nl-NL"/>
        </w:rPr>
        <w:t>De Diplomatieke Observatie en de Afwezige Praktijk</w:t>
      </w:r>
    </w:p>
    <w:p w14:paraId="0FCD8D63" w14:textId="77777777" w:rsidR="00773516" w:rsidRDefault="00773516">
      <w:pPr>
        <w:pStyle w:val="Normaalweb"/>
        <w:divId w:val="1477067237"/>
        <w:rPr>
          <w:lang w:val="nl-NL"/>
        </w:rPr>
      </w:pPr>
      <w:r>
        <w:rPr>
          <w:lang w:val="nl-NL"/>
        </w:rPr>
        <w:t>De Benelux Unie profileert zich van oudsher als de absolute pionier van de grensoverschrijdende samenwerking en als de proeftuin voor Europese integratie. Wanneer deze intergouvernementele organisatie echter wordt geconfronteerd met het aanhoudende administratieve vacuüm tussen de Belgische en Nederlandse sociale zekerheid, wordt het verschil tussen macro-diplomatie en micro-realiteit onmiddellijk zichtbaar.</w:t>
      </w:r>
    </w:p>
    <w:p w14:paraId="5BB5C630" w14:textId="77777777" w:rsidR="00773516" w:rsidRDefault="00773516">
      <w:pPr>
        <w:pStyle w:val="Normaalweb"/>
        <w:divId w:val="1477067237"/>
        <w:rPr>
          <w:lang w:val="nl-NL"/>
        </w:rPr>
      </w:pPr>
      <w:r>
        <w:rPr>
          <w:lang w:val="nl-NL"/>
        </w:rPr>
        <w:t>De Benelux Unie functioneert in de kern uitsluitend als een overlegorgaan voor lidstaten. Zij produceren hoogwaardige verdragen, intentieverklaringen en academische studies over de arbeidsmarkt, maar zijn operationeel volledig onzichtbaar in de dagelijkse strijd van de grensarbeider. Er bestaat geen Benelux-noodloket dat een weigerend ziekenfonds ter verantwoording kan roepen of een vastgelopen fiscale datastroom kan deblokkeren.</w:t>
      </w:r>
    </w:p>
    <w:p w14:paraId="6780F441" w14:textId="77777777" w:rsidR="00773516" w:rsidRDefault="00773516">
      <w:pPr>
        <w:pStyle w:val="Normaalweb"/>
        <w:divId w:val="1477067237"/>
        <w:rPr>
          <w:lang w:val="nl-NL"/>
        </w:rPr>
      </w:pPr>
      <w:r>
        <w:rPr>
          <w:lang w:val="nl-NL"/>
        </w:rPr>
        <w:t>Wanneer acute dossiers escaleren, verwijst de Benelux Unie standaard terug naar precies die nationale kanalen en organen (zoals SOLVIT of de ombudsmannen) die eerder in de keten al gefaald hebben. Het orgaan bewijst daarmee dat het weliswaar grensoverschrijdende visies kan opstellen, maar niet bereid of bevoegd is om bindende interventies uit te voeren ter bescherming van de burgers in het hart van hun eigen verdragsgebied.</w:t>
      </w:r>
    </w:p>
    <w:p w14:paraId="3D9FCA52" w14:textId="77777777" w:rsidR="00773516" w:rsidRDefault="00773516">
      <w:pPr>
        <w:pStyle w:val="marker"/>
        <w:ind w:left="800" w:right="800"/>
        <w:divId w:val="1477067237"/>
        <w:rPr>
          <w:lang w:val="nl-NL"/>
        </w:rPr>
      </w:pPr>
      <w:r>
        <w:br w:type="page"/>
      </w:r>
    </w:p>
    <w:p w14:paraId="54ACF9F2" w14:textId="77777777" w:rsidR="00773516" w:rsidRDefault="00773516">
      <w:pPr>
        <w:pStyle w:val="Kop3"/>
        <w:divId w:val="1477067237"/>
        <w:rPr>
          <w:rFonts w:eastAsia="Times New Roman"/>
          <w:lang w:val="nl-NL"/>
        </w:rPr>
      </w:pPr>
      <w:bookmarkStart w:id="57" w:name="_Toc242189484"/>
      <w:r>
        <w:rPr>
          <w:rFonts w:eastAsia="Times New Roman"/>
          <w:lang w:val="nl-NL"/>
        </w:rPr>
        <w:t>GRENSINFOPUNT (GIP)</w:t>
      </w:r>
      <w:bookmarkEnd w:id="57"/>
    </w:p>
    <w:p w14:paraId="0AFD9468" w14:textId="77777777" w:rsidR="00773516" w:rsidRDefault="00773516">
      <w:pPr>
        <w:pStyle w:val="subtitel"/>
        <w:divId w:val="1477067237"/>
        <w:rPr>
          <w:lang w:val="nl-NL"/>
        </w:rPr>
      </w:pPr>
      <w:r>
        <w:rPr>
          <w:lang w:val="nl-NL"/>
        </w:rPr>
        <w:t>De Waarnemer Zonder Mandaat</w:t>
      </w:r>
    </w:p>
    <w:p w14:paraId="3D3304F1" w14:textId="77777777" w:rsidR="00773516" w:rsidRDefault="00773516">
      <w:pPr>
        <w:pStyle w:val="Normaalweb"/>
        <w:divId w:val="1477067237"/>
        <w:rPr>
          <w:lang w:val="nl-NL"/>
        </w:rPr>
      </w:pPr>
      <w:r>
        <w:rPr>
          <w:lang w:val="nl-NL"/>
        </w:rPr>
        <w:t>Het netwerk van GrensInfoPunten (GIP) is in het leven geroepen om de complexe wet- en regelgeving voor grensarbeiders te ontrafelen. Als advies- en informatienetwerk functioneren zij uitstekend: ze bieden een accuraat theoretisch overzicht van de rechten en plichten aan beide zijden van de grens. Echter, zodra de theorie vastloopt in een acute, praktische systeemcrisis, stuit ook deze organisatie op haar harde limieten.</w:t>
      </w:r>
    </w:p>
    <w:p w14:paraId="69515D00" w14:textId="77777777" w:rsidR="00773516" w:rsidRDefault="00773516">
      <w:pPr>
        <w:pStyle w:val="Normaalweb"/>
        <w:divId w:val="1477067237"/>
        <w:rPr>
          <w:lang w:val="nl-NL"/>
        </w:rPr>
      </w:pPr>
      <w:r>
        <w:rPr>
          <w:lang w:val="nl-NL"/>
        </w:rPr>
        <w:t>Wanneer de grensarbeider in het voorjaar van 2026 de GIP's in de grensregio raadpleegt over de systematische weigering van de Belgische en Nederlandse instanties om elkaars medische en fiscale data te erkennen, kan het loket slechts bevestigen dat de burger theoretisch gelijk heeft. Zij bevestigen mondeling de knelpunten, maar weigeren de casus formeel als grensbelemmering aan te melden bij Schakelpunt.eu, met een beroep op hun strikte neutraliteit ten opzichte van overheidsinstanties. Het orgaan dat ontwor</w:t>
      </w:r>
      <w:r>
        <w:rPr>
          <w:lang w:val="nl-NL"/>
        </w:rPr>
        <w:t>pen is om de grens te overbruggen, kiest voor de veilige positie van de neutrale waarnemer.</w:t>
      </w:r>
    </w:p>
    <w:p w14:paraId="7169C5D4" w14:textId="77777777" w:rsidR="00773516" w:rsidRDefault="00773516">
      <w:pPr>
        <w:pStyle w:val="Normaalweb"/>
        <w:divId w:val="1477067237"/>
        <w:rPr>
          <w:lang w:val="nl-NL"/>
        </w:rPr>
      </w:pPr>
      <w:r>
        <w:rPr>
          <w:lang w:val="nl-NL"/>
        </w:rPr>
        <w:t>Maar voor de burger die op dat moment medisch en financieel is vastgelopen, biedt deze signalering geen enkele operationele verlichting. Het GrensInfoPunt beschikt over nul uitvoerende macht. Zij kunnen geen enkel ministerie dwingen tot handelen, geen enkele uitkering lostrekken en geen enkele foutieve beslissing terugdraaien. Ze fungeren als uiterst vriendelijke routeplanners in een doolhof waarvan alle deuren elektronisch zijn vergrendeld door de natiestaat.</w:t>
      </w:r>
    </w:p>
    <w:p w14:paraId="3F3B6138" w14:textId="77777777" w:rsidR="00773516" w:rsidRDefault="00773516">
      <w:pPr>
        <w:pStyle w:val="marker"/>
        <w:ind w:left="800" w:right="800"/>
        <w:divId w:val="1477067237"/>
        <w:rPr>
          <w:lang w:val="nl-NL"/>
        </w:rPr>
      </w:pPr>
      <w:r>
        <w:br w:type="page"/>
      </w:r>
    </w:p>
    <w:p w14:paraId="3ADA4DB3" w14:textId="77777777" w:rsidR="00773516" w:rsidRDefault="00773516">
      <w:pPr>
        <w:pStyle w:val="Kop3"/>
        <w:divId w:val="1477067237"/>
        <w:rPr>
          <w:rFonts w:eastAsia="Times New Roman"/>
          <w:lang w:val="nl-NL"/>
        </w:rPr>
      </w:pPr>
      <w:bookmarkStart w:id="58" w:name="_Toc242189485"/>
      <w:r>
        <w:rPr>
          <w:rFonts w:eastAsia="Times New Roman"/>
          <w:lang w:val="nl-NL"/>
        </w:rPr>
        <w:t>MEDIA &amp; PUBLIEKE INTELLECTUELEN</w:t>
      </w:r>
      <w:bookmarkEnd w:id="58"/>
    </w:p>
    <w:p w14:paraId="63E3905D" w14:textId="77777777" w:rsidR="00773516" w:rsidRDefault="00773516">
      <w:pPr>
        <w:pStyle w:val="subtitel"/>
        <w:divId w:val="1477067237"/>
        <w:rPr>
          <w:lang w:val="nl-NL"/>
        </w:rPr>
      </w:pPr>
      <w:r>
        <w:rPr>
          <w:lang w:val="nl-NL"/>
        </w:rPr>
        <w:t>De Vluchtige Resonantie van Schande</w:t>
      </w:r>
    </w:p>
    <w:p w14:paraId="2C262371" w14:textId="77777777" w:rsidR="00773516" w:rsidRDefault="00773516">
      <w:pPr>
        <w:pStyle w:val="Normaalweb"/>
        <w:divId w:val="1477067237"/>
        <w:rPr>
          <w:lang w:val="nl-NL"/>
        </w:rPr>
      </w:pPr>
      <w:r>
        <w:rPr>
          <w:lang w:val="nl-NL"/>
        </w:rPr>
        <w:t>Wanneer de juridische en politieke wegen afgesloten zijn, is de publieke opinie vaak het laatste redmiddel. De nationale pers, onderzoeksjournalisten en publieke columnisten hebben een natuurlijke interesse in verhalen over burgers die vermorzeld worden door falende algoritmes en weigerende instanties. De complexiteit en de brute onrechtvaardigheid van dit grensoverschrijdende dossier vormen een perfecte casus voor maatschappelijke verontwaardiging.</w:t>
      </w:r>
    </w:p>
    <w:p w14:paraId="4E2A6FDB" w14:textId="77777777" w:rsidR="00773516" w:rsidRDefault="00773516">
      <w:pPr>
        <w:pStyle w:val="Normaalweb"/>
        <w:divId w:val="1477067237"/>
        <w:rPr>
          <w:lang w:val="nl-NL"/>
        </w:rPr>
      </w:pPr>
      <w:r>
        <w:rPr>
          <w:lang w:val="nl-NL"/>
        </w:rPr>
        <w:t>De impact van media-aandacht is echter buitengewoon vluchtig. Een vlijmscherp artikel of een kritische column genereert kortstondige reputatieschade voor de betrokken instanties, wat soms kan leiden tot een plotselinge, geforceerde "coulanceregeling" voor dit ene, specifieke dossier om de PR-crisis te smoren. Het lost echter de onderliggende architectuurfout niet op.</w:t>
      </w:r>
    </w:p>
    <w:p w14:paraId="4D11FB2D" w14:textId="77777777" w:rsidR="00773516" w:rsidRDefault="00773516">
      <w:pPr>
        <w:pStyle w:val="Normaalweb"/>
        <w:divId w:val="1477067237"/>
        <w:rPr>
          <w:lang w:val="nl-NL"/>
        </w:rPr>
      </w:pPr>
      <w:r>
        <w:rPr>
          <w:lang w:val="nl-NL"/>
        </w:rPr>
        <w:t>Belangrijker nog: algoritmes en geautomatiseerde beslisbomen in de kelders van ministeries lezen geen kranten. Zij trekken zich niets aan van opiniestukken. Zodra de nieuwscyclus twaalf uur later opschuift naar het volgende schandaal, verdwijnt de maatschappelijke druk. De frontoffice-medewerkers keren terug naar hun geprogrammeerde protocollen, de binaire uitsluitingen in de systemen blijven onaangeroerd, en de volgende grensarbeider valt exact in hetzelfde, nu geruisloze, gat.</w:t>
      </w:r>
    </w:p>
    <w:p w14:paraId="766652C8" w14:textId="77777777" w:rsidR="00773516" w:rsidRDefault="00773516">
      <w:pPr>
        <w:pStyle w:val="marker"/>
        <w:ind w:left="800" w:right="800"/>
        <w:divId w:val="1477067237"/>
        <w:rPr>
          <w:lang w:val="nl-NL"/>
        </w:rPr>
      </w:pPr>
      <w:r>
        <w:br w:type="page"/>
      </w:r>
    </w:p>
    <w:p w14:paraId="680CCFA9" w14:textId="77777777" w:rsidR="00773516" w:rsidRDefault="00773516">
      <w:pPr>
        <w:pStyle w:val="Kop3"/>
        <w:divId w:val="1477067237"/>
        <w:rPr>
          <w:rFonts w:eastAsia="Times New Roman"/>
          <w:lang w:val="nl-NL"/>
        </w:rPr>
      </w:pPr>
      <w:bookmarkStart w:id="59" w:name="_Toc242189486"/>
      <w:r>
        <w:rPr>
          <w:rFonts w:eastAsia="Times New Roman"/>
          <w:lang w:val="nl-NL"/>
        </w:rPr>
        <w:t>SOLVIT</w:t>
      </w:r>
      <w:bookmarkEnd w:id="59"/>
    </w:p>
    <w:p w14:paraId="4E876ADF" w14:textId="77777777" w:rsidR="00773516" w:rsidRDefault="00773516">
      <w:pPr>
        <w:pStyle w:val="subtitel"/>
        <w:divId w:val="1477067237"/>
        <w:rPr>
          <w:lang w:val="nl-NL"/>
        </w:rPr>
      </w:pPr>
      <w:r>
        <w:rPr>
          <w:lang w:val="nl-NL"/>
        </w:rPr>
        <w:t>De Illusie van Europese Bemiddeling en de Tandeloze Tijger</w:t>
      </w:r>
    </w:p>
    <w:p w14:paraId="3C1BDD1B" w14:textId="77777777" w:rsidR="00773516" w:rsidRDefault="00773516">
      <w:pPr>
        <w:pStyle w:val="Normaalweb"/>
        <w:divId w:val="1477067237"/>
        <w:rPr>
          <w:lang w:val="nl-NL"/>
        </w:rPr>
      </w:pPr>
      <w:r>
        <w:rPr>
          <w:lang w:val="nl-NL"/>
        </w:rPr>
        <w:t>Wanneer twee natiestaten weigeren elkaars data te accepteren, is SOLVIT het officiële Europese vangnet. Dit netwerk, opgericht door de Europese Commissie, is specifiek bedoeld om grensoverschrijdende problemen van burgers met overheidsinstanties informeel en snel op te lossen, zonder tussenkomst van een rechter. In januari 2026 wordt er gelijktijdig een formeel verzoek ingediend bij zowel SOLVIT Nederland als SOLVIT België, ondersteund door de volledige empirische datamatrix van de systeemblokkades.</w:t>
      </w:r>
    </w:p>
    <w:p w14:paraId="13FE2476" w14:textId="77777777" w:rsidR="00773516" w:rsidRDefault="00773516">
      <w:pPr>
        <w:pStyle w:val="Normaalweb"/>
        <w:divId w:val="1477067237"/>
        <w:rPr>
          <w:lang w:val="nl-NL"/>
        </w:rPr>
      </w:pPr>
      <w:r>
        <w:rPr>
          <w:lang w:val="nl-NL"/>
        </w:rPr>
        <w:t>De afhandeling door dit Europese netwerk legt echter genadeloos de fundamentele zwakte van het systeem bloot. SOLVIT functioneert uitsluitend op basis van vrijwillige medewerking van de nationale overheden. Zodra de weigerende uitvoeringsinstanties (zoals de Christelijke Mutualiteit of het UWV) vasthouden aan hun eigen interne lezing van de regels, valt de bemiddelaar stil. SOLVIT heeft geen enkele dwingende bevoegdheid om een nationaal besluit te overrulen, zelfs niet als dit besluit in de praktijk de Euro</w:t>
      </w:r>
      <w:r>
        <w:rPr>
          <w:lang w:val="nl-NL"/>
        </w:rPr>
        <w:t>pese samentellingsregels *1* onmogelijk maakt.</w:t>
      </w:r>
    </w:p>
    <w:p w14:paraId="17C97991" w14:textId="77777777" w:rsidR="00773516" w:rsidRDefault="00773516">
      <w:pPr>
        <w:pStyle w:val="Normaalweb"/>
        <w:divId w:val="1477067237"/>
        <w:rPr>
          <w:lang w:val="nl-NL"/>
        </w:rPr>
      </w:pPr>
      <w:r>
        <w:rPr>
          <w:lang w:val="nl-NL"/>
        </w:rPr>
        <w:t>Het definitieve failliet van deze overkoepelende bescherming manifesteert zich in september 2026. Wanneer de burger, geconfronteerd met de aanhoudende impasse, aan SOLVIT verzoekt om het complexe dossier formeel door te verwijzen naar de Europese Arbeidsautoriteit (ELA) voor harde bemiddeling, weigert SOLVIT dit. Het netwerk sluit het dossier af met het procedurele argument dat zij "geen formele schending van het Unierecht" kunnen vaststellen. Hiermee objectiveert SOLVIT de ultieme systeemparadox: een netwe</w:t>
      </w:r>
      <w:r>
        <w:rPr>
          <w:lang w:val="nl-NL"/>
        </w:rPr>
        <w:t>rk dat is opgericht om de muren tussen lidstaten af te breken, weigert te escaleren en valideert uiteindelijk de nationale blokkades die het verondersteld werd op te lossen.</w:t>
      </w:r>
    </w:p>
    <w:p w14:paraId="27497A15" w14:textId="77777777" w:rsidR="00773516" w:rsidRDefault="00773516">
      <w:pPr>
        <w:divId w:val="312219053"/>
        <w:rPr>
          <w:color w:val="555555"/>
          <w:sz w:val="20"/>
          <w:szCs w:val="20"/>
          <w:lang w:val="nl-NL"/>
        </w:rPr>
      </w:pPr>
      <w:r>
        <w:rPr>
          <w:color w:val="555555"/>
          <w:sz w:val="20"/>
          <w:szCs w:val="20"/>
          <w:lang w:val="nl-NL"/>
        </w:rPr>
        <w:t>*1* Verordening (EG) 883/2004, de basisverordening voor de coördinatie van de socialezekerheidsstelsels binnen de Europese Unie.</w:t>
      </w:r>
    </w:p>
    <w:p w14:paraId="0AF2D2CE" w14:textId="77777777" w:rsidR="00773516" w:rsidRDefault="00773516">
      <w:pPr>
        <w:pStyle w:val="marker"/>
        <w:ind w:left="800" w:right="800"/>
        <w:divId w:val="1477067237"/>
        <w:rPr>
          <w:lang w:val="nl-NL"/>
        </w:rPr>
      </w:pPr>
      <w:r>
        <w:br w:type="page"/>
      </w:r>
    </w:p>
    <w:p w14:paraId="69EAC409" w14:textId="77777777" w:rsidR="00773516" w:rsidRDefault="00773516">
      <w:pPr>
        <w:pStyle w:val="Kop3"/>
        <w:divId w:val="1477067237"/>
        <w:rPr>
          <w:rFonts w:eastAsia="Times New Roman"/>
          <w:lang w:val="nl-NL"/>
        </w:rPr>
      </w:pPr>
      <w:bookmarkStart w:id="60" w:name="_Toc242189487"/>
      <w:r>
        <w:rPr>
          <w:rFonts w:eastAsia="Times New Roman"/>
          <w:lang w:val="nl-NL"/>
        </w:rPr>
        <w:t>STRATEGISCHE BELANGENBEHARTIGING</w:t>
      </w:r>
      <w:bookmarkEnd w:id="60"/>
    </w:p>
    <w:p w14:paraId="6E6F8168" w14:textId="77777777" w:rsidR="00773516" w:rsidRDefault="00773516">
      <w:pPr>
        <w:pStyle w:val="subtitel"/>
        <w:divId w:val="1477067237"/>
        <w:rPr>
          <w:lang w:val="nl-NL"/>
        </w:rPr>
      </w:pPr>
      <w:r>
        <w:rPr>
          <w:lang w:val="nl-NL"/>
        </w:rPr>
        <w:t>De Trage Molens van het Algemeen Belang</w:t>
      </w:r>
    </w:p>
    <w:p w14:paraId="46C46173" w14:textId="77777777" w:rsidR="00773516" w:rsidRDefault="00773516">
      <w:pPr>
        <w:pStyle w:val="Normaalweb"/>
        <w:divId w:val="1477067237"/>
        <w:rPr>
          <w:lang w:val="nl-NL"/>
        </w:rPr>
      </w:pPr>
      <w:r>
        <w:rPr>
          <w:lang w:val="nl-NL"/>
        </w:rPr>
        <w:t>Naast de overheid opereren er diverse niet-gouvernementele organisaties (NGO's), patiëntenverenigingen en macro-vakbondskoepels die zich richten op de bescherming van kwetsbare groepen en grensarbeiders. Bij de aanbieding van de Systeem-Audit erkennen deze strategische belangenbehartigers direct de waarde van het dossier. Zij zien een perfect, gedocumenteerd patroon van institutioneel falen dat naadloos aansluit bij hun eigen politieke strijdpunten.</w:t>
      </w:r>
    </w:p>
    <w:p w14:paraId="76DB5D8E" w14:textId="77777777" w:rsidR="00773516" w:rsidRDefault="00773516">
      <w:pPr>
        <w:pStyle w:val="Normaalweb"/>
        <w:divId w:val="1477067237"/>
        <w:rPr>
          <w:lang w:val="nl-NL"/>
        </w:rPr>
      </w:pPr>
      <w:r>
        <w:rPr>
          <w:lang w:val="nl-NL"/>
        </w:rPr>
        <w:t>De respons van deze laag toont echter de wrange realiteit van beleidsbeïnvloeding. Deze organisaties gebruiken de data graag als brandstof voor hun eigen lobbywerk. Het dossier wordt verwerkt in rapporten, als munitie gebruikt tijdens parlementaire hoorzittingen en dient als casestudy in strategisch overleg met ministeries. Dit proces, gericht op toekomstige wetswijzigingen, kent echter een tijdshorizon van vele jaren.</w:t>
      </w:r>
    </w:p>
    <w:p w14:paraId="58A0F630" w14:textId="77777777" w:rsidR="00773516" w:rsidRDefault="00773516">
      <w:pPr>
        <w:pStyle w:val="Normaalweb"/>
        <w:divId w:val="1477067237"/>
        <w:rPr>
          <w:lang w:val="nl-NL"/>
        </w:rPr>
      </w:pPr>
      <w:r>
        <w:rPr>
          <w:lang w:val="nl-NL"/>
        </w:rPr>
        <w:t>Voor de individuele burger, die hier en nu vastzit zonder inkomsten en verstrikt is in een administratief web, biedt deze belangenbehartiging geen enkele curatieve oplossing. Er is geen 'quick response team' dat actueel ingrijpt. De patiënt wordt hiermee gereduceerd tot een nuttig beleidsinstrument voor de lange termijn, maar wordt voor de kortetermijnoplossing volledig aan zijn lot overgelaten.</w:t>
      </w:r>
    </w:p>
    <w:p w14:paraId="7EE4C83D" w14:textId="77777777" w:rsidR="00773516" w:rsidRDefault="00773516">
      <w:pPr>
        <w:pStyle w:val="marker"/>
        <w:ind w:left="800" w:right="800"/>
        <w:divId w:val="1477067237"/>
        <w:rPr>
          <w:lang w:val="nl-NL"/>
        </w:rPr>
      </w:pPr>
      <w:r>
        <w:br w:type="page"/>
      </w:r>
    </w:p>
    <w:p w14:paraId="62C1064A" w14:textId="77777777" w:rsidR="00773516" w:rsidRDefault="00773516">
      <w:pPr>
        <w:pStyle w:val="Kop1"/>
        <w:divId w:val="1477067237"/>
        <w:rPr>
          <w:rFonts w:eastAsia="Times New Roman"/>
          <w:lang w:val="nl-NL"/>
        </w:rPr>
      </w:pPr>
      <w:bookmarkStart w:id="61" w:name="_Toc242189488"/>
      <w:r>
        <w:rPr>
          <w:rFonts w:eastAsia="Times New Roman"/>
          <w:lang w:val="nl-NL"/>
        </w:rPr>
        <w:t>IV. Europa</w:t>
      </w:r>
      <w:bookmarkEnd w:id="61"/>
    </w:p>
    <w:p w14:paraId="221B2791" w14:textId="77777777" w:rsidR="00773516" w:rsidRDefault="00773516">
      <w:pPr>
        <w:pStyle w:val="Kop3"/>
        <w:divId w:val="1477067237"/>
        <w:rPr>
          <w:rFonts w:eastAsia="Times New Roman"/>
          <w:lang w:val="nl-NL"/>
        </w:rPr>
      </w:pPr>
      <w:bookmarkStart w:id="62" w:name="_Toc242189489"/>
      <w:r>
        <w:rPr>
          <w:rFonts w:eastAsia="Times New Roman"/>
          <w:lang w:val="nl-NL"/>
        </w:rPr>
        <w:t>EUROPESE COMMISSIE</w:t>
      </w:r>
      <w:bookmarkEnd w:id="62"/>
    </w:p>
    <w:p w14:paraId="06C9A19F" w14:textId="77777777" w:rsidR="00773516" w:rsidRDefault="00773516">
      <w:pPr>
        <w:pStyle w:val="subtitel"/>
        <w:divId w:val="1477067237"/>
        <w:rPr>
          <w:lang w:val="nl-NL"/>
        </w:rPr>
      </w:pPr>
      <w:r>
        <w:rPr>
          <w:lang w:val="nl-NL"/>
        </w:rPr>
        <w:t>De Architect Zonder Operationele Slagkracht</w:t>
      </w:r>
    </w:p>
    <w:p w14:paraId="004A103B" w14:textId="77777777" w:rsidR="00773516" w:rsidRDefault="00773516">
      <w:pPr>
        <w:pStyle w:val="Normaalweb"/>
        <w:divId w:val="1477067237"/>
        <w:rPr>
          <w:lang w:val="nl-NL"/>
        </w:rPr>
      </w:pPr>
      <w:r>
        <w:rPr>
          <w:lang w:val="nl-NL"/>
        </w:rPr>
        <w:t>De Europese Commissie is de architect van het systeem. Zij schrijft de dwingende wetgeving die garandeert dat grensarbeiders niet tussen wal en schip mogen vallen *1*. Wanneer de gedupeerde burger de Commissie echter wijst op het feit dat zowel België als Nederland deze wetten in de praktijk openlijk negeren, toont de architect zich volstrekt machteloos op het microniveau.</w:t>
      </w:r>
    </w:p>
    <w:p w14:paraId="345D5524" w14:textId="77777777" w:rsidR="00773516" w:rsidRDefault="00773516">
      <w:pPr>
        <w:pStyle w:val="Normaalweb"/>
        <w:divId w:val="1477067237"/>
        <w:rPr>
          <w:lang w:val="nl-NL"/>
        </w:rPr>
      </w:pPr>
      <w:r>
        <w:rPr>
          <w:lang w:val="nl-NL"/>
        </w:rPr>
        <w:t>Om deze bestuurlijke patstelling te doorbreken, wordt het dossier via een formele klacht geëscaleerd naar het Directoraat-generaal Werkgelegenheid, Sociale Zaken en Inclusie (DG EMPL). De klacht legt de structurele leemtes in de Europese verordeningen en de falende nationale uitvoering genadeloos bloot. DG EMPL bevestigt de theorie, maar ontbeert elke operationele bevoegdheid of afdwingbare machtsknop om een lokaal ziekenfonds of uitkeringsinstantie direct te corrigeren.</w:t>
      </w:r>
    </w:p>
    <w:p w14:paraId="7B981846" w14:textId="77777777" w:rsidR="00773516" w:rsidRDefault="00773516">
      <w:pPr>
        <w:pStyle w:val="Normaalweb"/>
        <w:divId w:val="1477067237"/>
        <w:rPr>
          <w:lang w:val="nl-NL"/>
        </w:rPr>
      </w:pPr>
      <w:r>
        <w:rPr>
          <w:lang w:val="nl-NL"/>
        </w:rPr>
        <w:t>De Commissie mag niet ingrijpen in een individueel dossier. Het enige wapen dat zij bezit, is het opstarten van een zogenaamde inbreukprocedure tegen een falende lidstaat. Dit is echter een loodzwaar politiek en juridisch traject dat vele jaren in beslag neemt. Voor de burger die vandaag zonder inkomen zit omdat een grenscomputer hapert, biedt de Commissie daarmee enkel hoogdravende theorieën zonder enige praktische bescherming.</w:t>
      </w:r>
    </w:p>
    <w:p w14:paraId="14E827A0" w14:textId="77777777" w:rsidR="00773516" w:rsidRDefault="00773516">
      <w:pPr>
        <w:pStyle w:val="Normaalweb"/>
        <w:divId w:val="1477067237"/>
        <w:rPr>
          <w:lang w:val="nl-NL"/>
        </w:rPr>
      </w:pPr>
      <w:r>
        <w:rPr>
          <w:lang w:val="nl-NL"/>
        </w:rPr>
        <w:t>Wat op 25 september 2026 in het dossier komt, is dat de Commissie al sinds 2022 en 2023 meerdere inbreukklachten tegen België en Vlaanderen onderzoekt. Het gaat om klachten over de Vlaamse jobbonus, de studiefinanciering en het Groeipakket, alle drie onder Verordening 492/2011 over het vrij verkeer van werknemers. De Commissie heeft in al die jaren geen definitief besluit genomen — wat betekent dat de klachten nog open zijn. De klacht van dit gezin is geen geïsoleerd geval, maar sluit aan bij een reeks klac</w:t>
      </w:r>
      <w:r>
        <w:rPr>
          <w:lang w:val="nl-NL"/>
        </w:rPr>
        <w:t>hten die al jaren loopt.</w:t>
      </w:r>
    </w:p>
    <w:p w14:paraId="2944D1B6" w14:textId="77777777" w:rsidR="00773516" w:rsidRDefault="00773516">
      <w:pPr>
        <w:divId w:val="207452006"/>
        <w:rPr>
          <w:color w:val="555555"/>
          <w:sz w:val="20"/>
          <w:szCs w:val="20"/>
          <w:lang w:val="nl-NL"/>
        </w:rPr>
      </w:pPr>
      <w:r>
        <w:rPr>
          <w:color w:val="555555"/>
          <w:sz w:val="20"/>
          <w:szCs w:val="20"/>
          <w:lang w:val="nl-NL"/>
        </w:rPr>
        <w:t>*1* Verordening (EG) 883/2004, de hoeksteen van het vrije verkeer van werknemers die lidstaten verplicht elkaars sociale zekerheidstijdvakken naadloos over te nemen.</w:t>
      </w:r>
    </w:p>
    <w:p w14:paraId="7AA1D628" w14:textId="77777777" w:rsidR="00773516" w:rsidRDefault="00773516">
      <w:pPr>
        <w:pStyle w:val="marker"/>
        <w:ind w:left="800" w:right="800"/>
        <w:divId w:val="1477067237"/>
        <w:rPr>
          <w:lang w:val="nl-NL"/>
        </w:rPr>
      </w:pPr>
      <w:r>
        <w:br w:type="page"/>
      </w:r>
    </w:p>
    <w:p w14:paraId="0C6441DA" w14:textId="77777777" w:rsidR="00773516" w:rsidRDefault="00773516">
      <w:pPr>
        <w:pStyle w:val="Kop3"/>
        <w:divId w:val="1477067237"/>
        <w:rPr>
          <w:rFonts w:eastAsia="Times New Roman"/>
          <w:lang w:val="nl-NL"/>
        </w:rPr>
      </w:pPr>
      <w:bookmarkStart w:id="63" w:name="_Toc242189490"/>
      <w:r>
        <w:rPr>
          <w:rFonts w:eastAsia="Times New Roman"/>
          <w:lang w:val="nl-NL"/>
        </w:rPr>
        <w:t>EUROPEES HOF VOOR DE RECHTEN VAN DE MENS (EHRM)</w:t>
      </w:r>
      <w:bookmarkEnd w:id="63"/>
    </w:p>
    <w:p w14:paraId="7D3EF3F3" w14:textId="77777777" w:rsidR="00773516" w:rsidRDefault="00773516">
      <w:pPr>
        <w:pStyle w:val="subtitel"/>
        <w:divId w:val="1477067237"/>
        <w:rPr>
          <w:lang w:val="nl-NL"/>
        </w:rPr>
      </w:pPr>
      <w:r>
        <w:rPr>
          <w:lang w:val="nl-NL"/>
        </w:rPr>
        <w:t>Het Onbereikbare Gelijk</w:t>
      </w:r>
    </w:p>
    <w:p w14:paraId="7321B479" w14:textId="77777777" w:rsidR="00773516" w:rsidRDefault="00773516">
      <w:pPr>
        <w:pStyle w:val="Normaalweb"/>
        <w:divId w:val="1477067237"/>
        <w:rPr>
          <w:lang w:val="nl-NL"/>
        </w:rPr>
      </w:pPr>
      <w:r>
        <w:rPr>
          <w:lang w:val="nl-NL"/>
        </w:rPr>
        <w:t>Wanneer natiestaten door systematische uitsluiting de burger zijn inkomen en sociale rechten ontnemen, raakt dit aan fundamentele mensenrechten, zoals de bescherming van eigendom en een eerlijk proces *1*. Het Europees Hof voor de Rechten van de Mens (EHRM) in Straatsburg is opgericht om hiertegen op te treden. In de praktijk is deze hoogste rechtszaal voor een medisch en financieel uitgeputte burger echter een fata morgana.</w:t>
      </w:r>
    </w:p>
    <w:p w14:paraId="6F158841" w14:textId="77777777" w:rsidR="00773516" w:rsidRDefault="00773516">
      <w:pPr>
        <w:pStyle w:val="Normaalweb"/>
        <w:divId w:val="1477067237"/>
        <w:rPr>
          <w:lang w:val="nl-NL"/>
        </w:rPr>
      </w:pPr>
      <w:r>
        <w:rPr>
          <w:lang w:val="nl-NL"/>
        </w:rPr>
        <w:t>Het Hof hanteert namelijk een ijzeren toegankelijkheidsregel: een klacht wordt pas in behandeling genomen nadat álle nationale juridische wegen zijn uitgeput. De burger moet dus eerst jarenlang procederen tot aan de hoogste nationale rechtbanken in zowel België als Nederland. Dit vereist tienduizenden euro's aan advocatenkosten en jarenlange fysieke en mentale veerkracht. De paradox is absoluut: het falende overheidssysteem stopt alle inkomsten, waardoor de burger de financiële middelen verliest die nodig z</w:t>
      </w:r>
      <w:r>
        <w:rPr>
          <w:lang w:val="nl-NL"/>
        </w:rPr>
        <w:t>ijn om exact datzelfde systeem bij het Europese Hof aan te vechten.</w:t>
      </w:r>
    </w:p>
    <w:p w14:paraId="28192106" w14:textId="77777777" w:rsidR="00773516" w:rsidRDefault="00773516">
      <w:pPr>
        <w:pStyle w:val="Normaalweb"/>
        <w:divId w:val="1477067237"/>
        <w:rPr>
          <w:lang w:val="nl-NL"/>
        </w:rPr>
      </w:pPr>
      <w:r>
        <w:rPr>
          <w:lang w:val="nl-NL"/>
        </w:rPr>
        <w:t>Op 12 mei 2026 wordt het verzoekschrift per verzekerde post (Barcode LW024081984NL) naar de Griffier in Straatsburg verzonden. Op 18 juni 2026 verklaart het EHRM de klacht onontvankelijk en reduceert het transnationale probleem eenzijdig tot een geschil tegen de Belgische staat alleen.</w:t>
      </w:r>
    </w:p>
    <w:p w14:paraId="67149CF3" w14:textId="77777777" w:rsidR="00773516" w:rsidRDefault="00773516">
      <w:pPr>
        <w:divId w:val="771824823"/>
        <w:rPr>
          <w:color w:val="555555"/>
          <w:sz w:val="20"/>
          <w:szCs w:val="20"/>
          <w:lang w:val="nl-NL"/>
        </w:rPr>
      </w:pPr>
      <w:r>
        <w:rPr>
          <w:color w:val="555555"/>
          <w:sz w:val="20"/>
          <w:szCs w:val="20"/>
          <w:lang w:val="nl-NL"/>
        </w:rPr>
        <w:t>*1* Verankerd in het Europees Verdrag voor de Rechten van de Mens (EVRM), in het bijzonder Artikel 1 van het Eerste Protocol (bescherming van eigendom, waaronder sociale uitkeringen vallen) en Artikel 6 (recht op een eerlijk proces).</w:t>
      </w:r>
    </w:p>
    <w:p w14:paraId="2DFB0AD7" w14:textId="77777777" w:rsidR="00773516" w:rsidRDefault="00773516">
      <w:pPr>
        <w:pStyle w:val="marker"/>
        <w:ind w:left="800" w:right="800"/>
        <w:divId w:val="1477067237"/>
        <w:rPr>
          <w:lang w:val="nl-NL"/>
        </w:rPr>
      </w:pPr>
      <w:r>
        <w:br w:type="page"/>
      </w:r>
    </w:p>
    <w:p w14:paraId="56AB9D98" w14:textId="77777777" w:rsidR="00773516" w:rsidRDefault="00773516">
      <w:pPr>
        <w:pStyle w:val="Kop3"/>
        <w:divId w:val="1477067237"/>
        <w:rPr>
          <w:rFonts w:eastAsia="Times New Roman"/>
          <w:lang w:val="nl-NL"/>
        </w:rPr>
      </w:pPr>
      <w:bookmarkStart w:id="64" w:name="_Toc242189491"/>
      <w:r>
        <w:rPr>
          <w:rFonts w:eastAsia="Times New Roman"/>
          <w:lang w:val="nl-NL"/>
        </w:rPr>
        <w:t>EUROPESE ARBEIDSAUTORITEIT (ELA)</w:t>
      </w:r>
      <w:bookmarkEnd w:id="64"/>
    </w:p>
    <w:p w14:paraId="10C9BDEB" w14:textId="77777777" w:rsidR="00773516" w:rsidRDefault="00773516">
      <w:pPr>
        <w:pStyle w:val="subtitel"/>
        <w:divId w:val="1477067237"/>
        <w:rPr>
          <w:lang w:val="nl-NL"/>
        </w:rPr>
      </w:pPr>
      <w:r>
        <w:rPr>
          <w:lang w:val="nl-NL"/>
        </w:rPr>
        <w:t>De Gesloten Nooduitgang</w:t>
      </w:r>
    </w:p>
    <w:p w14:paraId="268790DA" w14:textId="77777777" w:rsidR="00773516" w:rsidRDefault="00773516">
      <w:pPr>
        <w:pStyle w:val="Normaalweb"/>
        <w:divId w:val="1477067237"/>
        <w:rPr>
          <w:lang w:val="nl-NL"/>
        </w:rPr>
      </w:pPr>
      <w:r>
        <w:rPr>
          <w:lang w:val="nl-NL"/>
        </w:rPr>
        <w:t>De Europese Arbeidsautoriteit (ELA) is specifiek in het leven geroepen om exacte situaties zoals deze op te lossen: het faciliteren van eerlijke arbeidsmobiliteit en het bemiddelen bij grensoverschrijdende geschillen over sociale zekerheid. Dit zou in theorie de krachtige bemiddelaar moeten zijn die over de nationale grenzen heen grijpt. De praktijk onthult echter een stuitende weeffout in het eigen ontwerp.</w:t>
      </w:r>
    </w:p>
    <w:p w14:paraId="39CCC2AD" w14:textId="77777777" w:rsidR="00773516" w:rsidRDefault="00773516">
      <w:pPr>
        <w:pStyle w:val="Normaalweb"/>
        <w:divId w:val="1477067237"/>
        <w:rPr>
          <w:lang w:val="nl-NL"/>
        </w:rPr>
      </w:pPr>
      <w:r>
        <w:rPr>
          <w:lang w:val="nl-NL"/>
        </w:rPr>
        <w:t xml:space="preserve">Wanneer de burger en de partner, geconfronteerd met weigerende natiestaten, de ELA formeel vragen om tussenbeide te komen, sluit de Autoriteit de deuren. De ELA hanteert namelijk de keiharde regel dat zij uitsluitend bemiddelt op verzoek van de nationale overheden zélf *1*. Individuele burgers mogen geen zaken aandragen. Dit creëert de meest problematische gesloten cirkel van het volledige dossier: de burger heeft de ELA nodig omdát de nationale overheden weigeren samen te werken, maar de ELA weigert op te </w:t>
      </w:r>
      <w:r>
        <w:rPr>
          <w:lang w:val="nl-NL"/>
        </w:rPr>
        <w:t xml:space="preserve">treden totdát diezelfde weigerende overheden daar gezamenlijk om vragen. </w:t>
      </w:r>
    </w:p>
    <w:p w14:paraId="7F554B9F" w14:textId="77777777" w:rsidR="00773516" w:rsidRDefault="00773516">
      <w:pPr>
        <w:pStyle w:val="Normaalweb"/>
        <w:divId w:val="1477067237"/>
        <w:rPr>
          <w:lang w:val="nl-NL"/>
        </w:rPr>
      </w:pPr>
      <w:r>
        <w:rPr>
          <w:lang w:val="nl-NL"/>
        </w:rPr>
        <w:t>Zelfs een formele poging in de nazomer van 2026 om SOLVIT in te zetten als doorgeefluik om dit obstakel te omzeilen, wordt geblokkeerd. Hiermee objectiveert de ELA haar eigen machteloosheid: het speciaal gebouwde Europese controleorgaan is volledig onbereikbaar gemaakt voor de mensen die het moet beschermen.</w:t>
      </w:r>
    </w:p>
    <w:p w14:paraId="06431EBB" w14:textId="77777777" w:rsidR="00773516" w:rsidRDefault="00773516">
      <w:pPr>
        <w:divId w:val="776683751"/>
        <w:rPr>
          <w:color w:val="555555"/>
          <w:sz w:val="20"/>
          <w:szCs w:val="20"/>
          <w:lang w:val="nl-NL"/>
        </w:rPr>
      </w:pPr>
      <w:r>
        <w:rPr>
          <w:color w:val="555555"/>
          <w:sz w:val="20"/>
          <w:szCs w:val="20"/>
          <w:lang w:val="nl-NL"/>
        </w:rPr>
        <w:t>*1* Volgens haar mandaat kan de ELA enkel bemiddelen in geschillen tussen lidstaten, en kunnen verzoeken tot bemiddeling uitsluitend worden ingediend door nationale overheden (zoals ministeries of de RVA/UWV).</w:t>
      </w:r>
    </w:p>
    <w:p w14:paraId="0EDE5BC2" w14:textId="77777777" w:rsidR="00773516" w:rsidRDefault="00773516">
      <w:pPr>
        <w:pStyle w:val="marker"/>
        <w:ind w:left="800" w:right="800"/>
        <w:divId w:val="1477067237"/>
        <w:rPr>
          <w:lang w:val="nl-NL"/>
        </w:rPr>
      </w:pPr>
      <w:r>
        <w:br w:type="page"/>
      </w:r>
    </w:p>
    <w:p w14:paraId="5FF6BCA4" w14:textId="77777777" w:rsidR="00773516" w:rsidRDefault="00773516">
      <w:pPr>
        <w:pStyle w:val="Kop3"/>
        <w:divId w:val="1477067237"/>
        <w:rPr>
          <w:rFonts w:eastAsia="Times New Roman"/>
          <w:lang w:val="nl-NL"/>
        </w:rPr>
      </w:pPr>
      <w:bookmarkStart w:id="65" w:name="_Toc242189492"/>
      <w:r>
        <w:rPr>
          <w:rFonts w:eastAsia="Times New Roman"/>
          <w:lang w:val="nl-NL"/>
        </w:rPr>
        <w:t>EUROPESE OMBUDSMAN</w:t>
      </w:r>
      <w:bookmarkEnd w:id="65"/>
    </w:p>
    <w:p w14:paraId="17AFC243" w14:textId="77777777" w:rsidR="00773516" w:rsidRDefault="00773516">
      <w:pPr>
        <w:pStyle w:val="subtitel"/>
        <w:divId w:val="1477067237"/>
        <w:rPr>
          <w:lang w:val="nl-NL"/>
        </w:rPr>
      </w:pPr>
      <w:r>
        <w:rPr>
          <w:lang w:val="nl-NL"/>
        </w:rPr>
        <w:t>De Procedurele Blinde Vlek</w:t>
      </w:r>
    </w:p>
    <w:p w14:paraId="4CBC4048" w14:textId="77777777" w:rsidR="00773516" w:rsidRDefault="00773516">
      <w:pPr>
        <w:pStyle w:val="Normaalweb"/>
        <w:divId w:val="1477067237"/>
        <w:rPr>
          <w:lang w:val="nl-NL"/>
        </w:rPr>
      </w:pPr>
      <w:r>
        <w:rPr>
          <w:lang w:val="nl-NL"/>
        </w:rPr>
        <w:t>De Europese Ombudsman presenteert zich als de waakhond tegen 'wanbeheer' in de Europese Unie. Als het Belgische ziekenfonds en het Nederlandse UWV de Europese wetgeving aan hun laars lappen, lijkt dit de logische plek voor een klacht. Echter, zodra de Systeem-Audit hier belandt, loopt deze onmiddellijk stuk op een procedurele afbakening.</w:t>
      </w:r>
    </w:p>
    <w:p w14:paraId="6CFAEFFB" w14:textId="77777777" w:rsidR="00773516" w:rsidRDefault="00773516">
      <w:pPr>
        <w:pStyle w:val="Normaalweb"/>
        <w:divId w:val="1477067237"/>
        <w:rPr>
          <w:lang w:val="nl-NL"/>
        </w:rPr>
      </w:pPr>
      <w:r>
        <w:rPr>
          <w:lang w:val="nl-NL"/>
        </w:rPr>
        <w:t>De Europese Ombudsman onderzoekt uitsluitend klachten over instellingen van de Europese Unie zélf (zoals fouten gemaakt door de Europese Commissie of het Parlement). Als een nationale instelling (zoals een lokaal ministerie) weigert een Europese verordening uit te voeren, verklaart de Europese Ombudsman zich per definitie onbevoegd. Men wordt simpelweg terugverwezen naar de Nationale Ombudsman, die — zoals eerder vastgesteld — de zaak eveneens weigert zolang er procedures lopen. De grensburger valt hierdoor</w:t>
      </w:r>
      <w:r>
        <w:rPr>
          <w:lang w:val="nl-NL"/>
        </w:rPr>
        <w:t xml:space="preserve"> precies in het procedurele gat tussen het nationale en het Europese toezicht: beide instanties kijken toe, maar geen van beiden acht zich bevoegd om op te treden.</w:t>
      </w:r>
    </w:p>
    <w:p w14:paraId="71D56A9D" w14:textId="77777777" w:rsidR="00773516" w:rsidRDefault="00773516">
      <w:pPr>
        <w:pStyle w:val="Normaalweb"/>
        <w:divId w:val="1477067237"/>
        <w:rPr>
          <w:lang w:val="nl-NL"/>
        </w:rPr>
      </w:pPr>
      <w:r>
        <w:rPr>
          <w:lang w:val="nl-NL"/>
        </w:rPr>
        <w:t>Op 5 mei 2026 verklaart de Europese Ombudsman (eenheid Zaakbehandeling) klacht 1044/2026/MV niet-ontvankelijk. De Ombudsman stelt dat SOLVIT een nationale overheidsdienst is en geen EU-instelling, en dat de Europese Commissie, ondanks haar coördinerende rol, geen toezichthoudende bevoegdheid heeft in individuele gevallen.</w:t>
      </w:r>
    </w:p>
    <w:p w14:paraId="66AB4E75" w14:textId="77777777" w:rsidR="00773516" w:rsidRDefault="00773516">
      <w:pPr>
        <w:pStyle w:val="marker"/>
        <w:ind w:left="800" w:right="800"/>
        <w:divId w:val="1477067237"/>
        <w:rPr>
          <w:lang w:val="nl-NL"/>
        </w:rPr>
      </w:pPr>
      <w:r>
        <w:br w:type="page"/>
      </w:r>
    </w:p>
    <w:p w14:paraId="6817C7D6" w14:textId="77777777" w:rsidR="00773516" w:rsidRDefault="00773516">
      <w:pPr>
        <w:pStyle w:val="Kop3"/>
        <w:divId w:val="1477067237"/>
        <w:rPr>
          <w:rFonts w:eastAsia="Times New Roman"/>
          <w:lang w:val="nl-NL"/>
        </w:rPr>
      </w:pPr>
      <w:bookmarkStart w:id="66" w:name="_Toc242189493"/>
      <w:r>
        <w:rPr>
          <w:rFonts w:eastAsia="Times New Roman"/>
          <w:lang w:val="nl-NL"/>
        </w:rPr>
        <w:t>EUROPEES PARLEMENT</w:t>
      </w:r>
      <w:bookmarkEnd w:id="66"/>
    </w:p>
    <w:p w14:paraId="735A5992" w14:textId="77777777" w:rsidR="00773516" w:rsidRDefault="00773516">
      <w:pPr>
        <w:pStyle w:val="subtitel"/>
        <w:divId w:val="1477067237"/>
        <w:rPr>
          <w:lang w:val="nl-NL"/>
        </w:rPr>
      </w:pPr>
      <w:r>
        <w:rPr>
          <w:lang w:val="nl-NL"/>
        </w:rPr>
        <w:t>De Democratische Echokamer en de Hoorzitting</w:t>
      </w:r>
    </w:p>
    <w:p w14:paraId="6C2B2767" w14:textId="77777777" w:rsidR="00773516" w:rsidRDefault="00773516">
      <w:pPr>
        <w:pStyle w:val="Normaalweb"/>
        <w:divId w:val="1477067237"/>
        <w:rPr>
          <w:lang w:val="nl-NL"/>
        </w:rPr>
      </w:pPr>
      <w:r>
        <w:rPr>
          <w:lang w:val="nl-NL"/>
        </w:rPr>
        <w:t>Het Europees Parlement vertegenwoordigt de stem van de burger. Via de specifieke Commissie Verzoekschriften (PETI) hebben EU-burgers een direct kanaal om structureel onrecht en de schending van het Europese recht aan te kaarten. Om de politieke stilte te doorbreken, wordt het systeemfalen hier formeel ingediend, inclusief een expliciete eis voor het houden van een parlementaire hoorzitting. Het doel is om de administratieve blokkade letterlijk een gezicht te geven en de verantwoordelijke beleidsmakers in Br</w:t>
      </w:r>
      <w:r>
        <w:rPr>
          <w:lang w:val="nl-NL"/>
        </w:rPr>
        <w:t>ussel fysiek te confronteren met de data.</w:t>
      </w:r>
    </w:p>
    <w:p w14:paraId="4E9393E0" w14:textId="77777777" w:rsidR="00773516" w:rsidRDefault="00773516">
      <w:pPr>
        <w:pStyle w:val="Normaalweb"/>
        <w:divId w:val="1477067237"/>
        <w:rPr>
          <w:lang w:val="nl-NL"/>
        </w:rPr>
      </w:pPr>
      <w:r>
        <w:rPr>
          <w:lang w:val="nl-NL"/>
        </w:rPr>
        <w:t>Hoewel deze commissie bevoegd en ontvankelijk is voor de systematische schending van grensarbeidersrechten, is het instrument in de praktijk veel te traag en machteloos om als effectief vangnet te dienen. Wanneer een dossier wordt geaccepteerd, kan het Parlement slechts een politieke echo produceren. Het kan vragen stellen aan de Europese Commissie, een resolutie aannemen of een brief sturen naar de falende lidstaat.</w:t>
      </w:r>
    </w:p>
    <w:p w14:paraId="0E9CE327" w14:textId="77777777" w:rsidR="00773516" w:rsidRDefault="00773516">
      <w:pPr>
        <w:pStyle w:val="Normaalweb"/>
        <w:divId w:val="1477067237"/>
        <w:rPr>
          <w:lang w:val="nl-NL"/>
        </w:rPr>
      </w:pPr>
      <w:r>
        <w:rPr>
          <w:lang w:val="nl-NL"/>
        </w:rPr>
        <w:t>Het Parlement bezit echter geen enkele rechterlijke of uitvoerende macht om een minister, het UWV of een ziekenfonds te dwingen de uitkeringen te hervatten of de datablokkade op te heffen. De parlementaire route via PETI biedt erkenning op de lange termijn en agendeert het probleem, maar laat de burger in het heden financieel bloeden.</w:t>
      </w:r>
    </w:p>
    <w:p w14:paraId="33C2FC6D" w14:textId="77777777" w:rsidR="00773516" w:rsidRDefault="00773516">
      <w:pPr>
        <w:pStyle w:val="Normaalweb"/>
        <w:divId w:val="1477067237"/>
        <w:rPr>
          <w:lang w:val="nl-NL"/>
        </w:rPr>
      </w:pPr>
      <w:r>
        <w:rPr>
          <w:lang w:val="nl-NL"/>
        </w:rPr>
        <w:t>In september 2026 verschuift de status van het dossier. Op 25 september 2026 publiceert het Europees Parlement de officiële samenvatting van petitie 1034/2026 onder de beleidsterreinen Interne markt, Werkgelegenheid, Gezondheid, Sociale zaken en Grondrechten, met vermelding van België en Nederland als betrokken lidstaten. De petitie is vanaf dat moment openbaar op het petitieportaal en staat open voor medeondertekenaars. Het dossier is niet langer een privéklacht in een postbus, maar een formeel parlementai</w:t>
      </w:r>
      <w:r>
        <w:rPr>
          <w:lang w:val="nl-NL"/>
        </w:rPr>
        <w:t>r dossier dat door elke EU-burger kan worden ondertekend. Wat het Parlement echter niet kan, is een nationale uitvoeringsbeslissing terugdraaien — en dat blijft de fundamentele beperking.</w:t>
      </w:r>
    </w:p>
    <w:p w14:paraId="431E4797" w14:textId="77777777" w:rsidR="00773516" w:rsidRDefault="00773516">
      <w:pPr>
        <w:pStyle w:val="marker"/>
        <w:ind w:left="800" w:right="800"/>
        <w:divId w:val="1477067237"/>
        <w:rPr>
          <w:lang w:val="nl-NL"/>
        </w:rPr>
      </w:pPr>
      <w:r>
        <w:br w:type="page"/>
      </w:r>
    </w:p>
    <w:p w14:paraId="642C1C7F" w14:textId="77777777" w:rsidR="00773516" w:rsidRDefault="00773516">
      <w:pPr>
        <w:pStyle w:val="Kop3"/>
        <w:divId w:val="1477067237"/>
        <w:rPr>
          <w:rFonts w:eastAsia="Times New Roman"/>
          <w:lang w:val="nl-NL"/>
        </w:rPr>
      </w:pPr>
      <w:bookmarkStart w:id="67" w:name="_Toc242189494"/>
      <w:r>
        <w:rPr>
          <w:rFonts w:eastAsia="Times New Roman"/>
          <w:lang w:val="nl-NL"/>
        </w:rPr>
        <w:t>EUROPESE RAAD</w:t>
      </w:r>
      <w:bookmarkEnd w:id="67"/>
    </w:p>
    <w:p w14:paraId="0B4E2FFF" w14:textId="77777777" w:rsidR="00773516" w:rsidRDefault="00773516">
      <w:pPr>
        <w:pStyle w:val="subtitel"/>
        <w:divId w:val="1477067237"/>
        <w:rPr>
          <w:lang w:val="nl-NL"/>
        </w:rPr>
      </w:pPr>
      <w:r>
        <w:rPr>
          <w:lang w:val="nl-NL"/>
        </w:rPr>
        <w:t>De Onzichtbare Top</w:t>
      </w:r>
    </w:p>
    <w:p w14:paraId="519406C7" w14:textId="77777777" w:rsidR="00773516" w:rsidRDefault="00773516">
      <w:pPr>
        <w:pStyle w:val="Normaalweb"/>
        <w:divId w:val="1477067237"/>
        <w:rPr>
          <w:lang w:val="nl-NL"/>
        </w:rPr>
      </w:pPr>
      <w:r>
        <w:rPr>
          <w:lang w:val="nl-NL"/>
        </w:rPr>
        <w:t xml:space="preserve">De Europese Raad, bestaande uit de regeringsleiders van alle lidstaten, bepaalt de algemene politieke richting van de Europese Unie. Binnen deze macro-architectuur bestaat de individuele grensarbeider simpelweg niet. </w:t>
      </w:r>
    </w:p>
    <w:p w14:paraId="36D4E286" w14:textId="77777777" w:rsidR="00773516" w:rsidRDefault="00773516">
      <w:pPr>
        <w:pStyle w:val="Normaalweb"/>
        <w:divId w:val="1477067237"/>
        <w:rPr>
          <w:lang w:val="nl-NL"/>
        </w:rPr>
      </w:pPr>
      <w:r>
        <w:rPr>
          <w:lang w:val="nl-NL"/>
        </w:rPr>
        <w:t xml:space="preserve">De Raad zet abstracte doelen op papier, zoals 'een naadloze interne markt' of 'digitale gegevensuitwisseling in 2030'. Ze zijn volstrekt losgekoppeld van de uitvoerende rampen die ontstaan wanneer hun politieke idealen botsen op de formele, nationale systemen van hun eigen thuislanden. Elke poging tot escalatie richting dit orgaan is bij voorbaat zinloos, omdat het instituut zo ver verwijderd is van de dagelijkse bestuurlijke modder, dat ze geen mechanismen hebben ingebouwd om individueel onrecht überhaupt </w:t>
      </w:r>
      <w:r>
        <w:rPr>
          <w:lang w:val="nl-NL"/>
        </w:rPr>
        <w:t>te registreren, laat staan te repareren.</w:t>
      </w:r>
    </w:p>
    <w:p w14:paraId="43BBD3CA" w14:textId="77777777" w:rsidR="00773516" w:rsidRDefault="00773516">
      <w:pPr>
        <w:pStyle w:val="marker"/>
        <w:ind w:left="800" w:right="800"/>
        <w:divId w:val="1477067237"/>
        <w:rPr>
          <w:lang w:val="nl-NL"/>
        </w:rPr>
      </w:pPr>
      <w:r>
        <w:br w:type="page"/>
      </w:r>
    </w:p>
    <w:p w14:paraId="302B3F53" w14:textId="77777777" w:rsidR="00773516" w:rsidRDefault="00773516">
      <w:pPr>
        <w:pStyle w:val="Kop1"/>
        <w:divId w:val="1477067237"/>
        <w:rPr>
          <w:rFonts w:eastAsia="Times New Roman"/>
          <w:lang w:val="nl-NL"/>
        </w:rPr>
      </w:pPr>
      <w:bookmarkStart w:id="68" w:name="_Toc242189495"/>
      <w:r>
        <w:rPr>
          <w:rFonts w:eastAsia="Times New Roman"/>
          <w:lang w:val="nl-NL"/>
        </w:rPr>
        <w:t>V. Internationaal</w:t>
      </w:r>
      <w:bookmarkEnd w:id="68"/>
    </w:p>
    <w:p w14:paraId="062924FA" w14:textId="77777777" w:rsidR="00773516" w:rsidRDefault="00773516">
      <w:pPr>
        <w:pStyle w:val="Kop3"/>
        <w:divId w:val="1477067237"/>
        <w:rPr>
          <w:rFonts w:eastAsia="Times New Roman"/>
          <w:lang w:val="nl-NL"/>
        </w:rPr>
      </w:pPr>
      <w:bookmarkStart w:id="69" w:name="_Toc242189496"/>
      <w:r>
        <w:rPr>
          <w:rFonts w:eastAsia="Times New Roman"/>
          <w:lang w:val="nl-NL"/>
        </w:rPr>
        <w:t>VERENIGDE NATIES</w:t>
      </w:r>
      <w:bookmarkEnd w:id="69"/>
    </w:p>
    <w:p w14:paraId="737C4BC8" w14:textId="77777777" w:rsidR="00773516" w:rsidRDefault="00773516">
      <w:pPr>
        <w:pStyle w:val="subtitel"/>
        <w:divId w:val="1477067237"/>
        <w:rPr>
          <w:lang w:val="nl-NL"/>
        </w:rPr>
      </w:pPr>
      <w:r>
        <w:rPr>
          <w:lang w:val="nl-NL"/>
        </w:rPr>
        <w:t>Het Papieren Verdrag en de Absolute Afstand</w:t>
      </w:r>
    </w:p>
    <w:p w14:paraId="02742402" w14:textId="77777777" w:rsidR="00773516" w:rsidRDefault="00773516">
      <w:pPr>
        <w:pStyle w:val="Normaalweb"/>
        <w:divId w:val="1477067237"/>
        <w:rPr>
          <w:lang w:val="nl-NL"/>
        </w:rPr>
      </w:pPr>
      <w:r>
        <w:rPr>
          <w:lang w:val="nl-NL"/>
        </w:rPr>
        <w:t>De escalatieladder eindigt op het allerhoogste mondiale niveau: de Verenigde Naties. Zowel België als Nederland hebben het VN-verdrag inzake de rechten van personen met een handicap (UN CRPD) *1* geratificeerd. Dit verdrag verplicht de lidstaten om de volledige maatschappelijke en economische inclusie van personen met een fysieke beperking te garanderen en administratieve barrières proactief weg te nemen. De theorie op mondiaal niveau is sluitend en belooft universele bescherming.</w:t>
      </w:r>
    </w:p>
    <w:p w14:paraId="3C960704" w14:textId="77777777" w:rsidR="00773516" w:rsidRDefault="00773516">
      <w:pPr>
        <w:pStyle w:val="Normaalweb"/>
        <w:divId w:val="1477067237"/>
        <w:rPr>
          <w:lang w:val="nl-NL"/>
        </w:rPr>
      </w:pPr>
      <w:r>
        <w:rPr>
          <w:lang w:val="nl-NL"/>
        </w:rPr>
        <w:t>Wanneer de empirische data van de Systeem-Audit echter wordt afgezet tegen deze mondiale verdragen, wordt de ultieme institutionele ontkoppeling zichtbaar. Er is geen enkele operationele verbinding tussen het VN-verdrag in New York of Genève en de dwingende foutcode in het digitale loket van een lokaal ziekenfonds of uitkeringsinstantie. De natiestaat ratificeert de nobele doelstellingen op het macro-niveau, maar weigert deze rechten afdwingbaar te maken in de micro-systemen die de dagelijkse overleving van</w:t>
      </w:r>
      <w:r>
        <w:rPr>
          <w:lang w:val="nl-NL"/>
        </w:rPr>
        <w:t xml:space="preserve"> de burger bepalen.</w:t>
      </w:r>
    </w:p>
    <w:p w14:paraId="6297F753" w14:textId="77777777" w:rsidR="00773516" w:rsidRDefault="00773516">
      <w:pPr>
        <w:pStyle w:val="Normaalweb"/>
        <w:divId w:val="1477067237"/>
        <w:rPr>
          <w:lang w:val="nl-NL"/>
        </w:rPr>
      </w:pPr>
      <w:r>
        <w:rPr>
          <w:lang w:val="nl-NL"/>
        </w:rPr>
        <w:t>De Verenigde Naties bezitten geen toezichthoudende machtsmiddelen om een falende nationale uitvoeringsinstantie te corrigeren. Zij fungeren louter als een moreel kompas op een afstand die zo groot is, dat de zwaartekracht van hun verdragen de grond nooit bereikt. Hiermee is de hiërarchie van het bevoegdheidsvacuüm compleet: van de tastbare, medische werkelijkheid van amputaties op de vierkante meter, tot aan de volstrekt machteloze theorie van mondiale mensenrechten.</w:t>
      </w:r>
    </w:p>
    <w:p w14:paraId="7AF817F2" w14:textId="77777777" w:rsidR="00773516" w:rsidRDefault="00773516">
      <w:pPr>
        <w:pStyle w:val="Normaalweb"/>
        <w:divId w:val="1477067237"/>
        <w:rPr>
          <w:lang w:val="nl-NL"/>
        </w:rPr>
      </w:pPr>
      <w:r>
        <w:rPr>
          <w:lang w:val="nl-NL"/>
        </w:rPr>
        <w:t>Op 14 juli 2026 wordt het dossier officieel ingediend bij de Special Procedures van de Verenigde Naties ter aankaarting van de structurele schending van fundamentele rechten. De klacht wordt geregistreerd onder kenmerk hh33z8rq.</w:t>
      </w:r>
    </w:p>
    <w:p w14:paraId="1ABB953A" w14:textId="77777777" w:rsidR="00773516" w:rsidRDefault="00773516">
      <w:pPr>
        <w:divId w:val="1721124571"/>
        <w:rPr>
          <w:color w:val="555555"/>
          <w:sz w:val="20"/>
          <w:szCs w:val="20"/>
          <w:lang w:val="nl-NL"/>
        </w:rPr>
      </w:pPr>
      <w:r>
        <w:rPr>
          <w:color w:val="555555"/>
          <w:sz w:val="20"/>
          <w:szCs w:val="20"/>
          <w:lang w:val="nl-NL"/>
        </w:rPr>
        <w:t>*1* UN Convention on the Rights of Persons with Disabilities, dat staten verplicht om de drempels voor personen met een handicap (inclusief in de sociale zekerheid) weg te nemen.</w:t>
      </w:r>
    </w:p>
    <w:sectPr w:rsidR="00000000" w:rsidSect="00773516">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0FF79" w14:textId="77777777" w:rsidR="00773516" w:rsidRDefault="00773516" w:rsidP="00773516">
      <w:pPr>
        <w:spacing w:after="0"/>
      </w:pPr>
      <w:r>
        <w:separator/>
      </w:r>
    </w:p>
  </w:endnote>
  <w:endnote w:type="continuationSeparator" w:id="0">
    <w:p w14:paraId="5DDFA705" w14:textId="77777777" w:rsidR="00773516" w:rsidRDefault="00773516" w:rsidP="007735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0AF2D" w14:textId="77777777" w:rsidR="00773516" w:rsidRDefault="0077351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FC1F" w14:textId="60BC519E" w:rsidR="00773516" w:rsidRPr="00773516" w:rsidRDefault="00773516" w:rsidP="00773516">
    <w:pPr>
      <w:pStyle w:val="Voettekst"/>
      <w:pBdr>
        <w:top w:val="single" w:sz="4" w:space="0" w:color="C0C0C0"/>
      </w:pBdr>
      <w:jc w:val="center"/>
      <w:rPr>
        <w:color w:val="808080"/>
        <w:sz w:val="18"/>
      </w:rPr>
    </w:pPr>
    <w:r w:rsidRPr="00773516">
      <w:rPr>
        <w:color w:val="808080"/>
        <w:sz w:val="18"/>
      </w:rPr>
      <w:t xml:space="preserve">Pagina </w:t>
    </w:r>
    <w:r w:rsidRPr="00773516">
      <w:rPr>
        <w:color w:val="808080"/>
        <w:sz w:val="18"/>
      </w:rPr>
      <w:fldChar w:fldCharType="begin"/>
    </w:r>
    <w:r w:rsidRPr="00773516">
      <w:rPr>
        <w:color w:val="808080"/>
        <w:sz w:val="18"/>
      </w:rPr>
      <w:instrText xml:space="preserve"> PAGE  \* MERGEFORMAT </w:instrText>
    </w:r>
    <w:r w:rsidRPr="00773516">
      <w:rPr>
        <w:color w:val="808080"/>
        <w:sz w:val="18"/>
      </w:rPr>
      <w:fldChar w:fldCharType="separate"/>
    </w:r>
    <w:r w:rsidRPr="00773516">
      <w:rPr>
        <w:noProof/>
        <w:color w:val="808080"/>
        <w:sz w:val="18"/>
      </w:rPr>
      <w:t>1</w:t>
    </w:r>
    <w:r w:rsidRPr="00773516">
      <w:rPr>
        <w:color w:val="808080"/>
        <w:sz w:val="18"/>
      </w:rPr>
      <w:fldChar w:fldCharType="end"/>
    </w:r>
    <w:r w:rsidRPr="00773516">
      <w:rPr>
        <w:color w:val="808080"/>
        <w:sz w:val="18"/>
      </w:rPr>
      <w:t xml:space="preserve"> van </w:t>
    </w:r>
    <w:r w:rsidRPr="00773516">
      <w:rPr>
        <w:color w:val="808080"/>
        <w:sz w:val="18"/>
      </w:rPr>
      <w:fldChar w:fldCharType="begin"/>
    </w:r>
    <w:r w:rsidRPr="00773516">
      <w:rPr>
        <w:color w:val="808080"/>
        <w:sz w:val="18"/>
      </w:rPr>
      <w:instrText xml:space="preserve"> NUMPAGES  \* MERGEFORMAT </w:instrText>
    </w:r>
    <w:r w:rsidRPr="00773516">
      <w:rPr>
        <w:color w:val="808080"/>
        <w:sz w:val="18"/>
      </w:rPr>
      <w:fldChar w:fldCharType="separate"/>
    </w:r>
    <w:r w:rsidRPr="00773516">
      <w:rPr>
        <w:noProof/>
        <w:color w:val="808080"/>
        <w:sz w:val="18"/>
      </w:rPr>
      <w:t>2</w:t>
    </w:r>
    <w:r w:rsidRPr="00773516">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4990" w14:textId="77777777" w:rsidR="00773516" w:rsidRDefault="007735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697D0" w14:textId="77777777" w:rsidR="00773516" w:rsidRDefault="00773516" w:rsidP="00773516">
      <w:pPr>
        <w:spacing w:after="0"/>
      </w:pPr>
      <w:r>
        <w:separator/>
      </w:r>
    </w:p>
  </w:footnote>
  <w:footnote w:type="continuationSeparator" w:id="0">
    <w:p w14:paraId="4D073BB7" w14:textId="77777777" w:rsidR="00773516" w:rsidRDefault="00773516" w:rsidP="007735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41D1" w14:textId="77777777" w:rsidR="00773516" w:rsidRDefault="0077351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B3F86" w14:textId="7F78D46D" w:rsidR="00773516" w:rsidRPr="00773516" w:rsidRDefault="00773516" w:rsidP="00773516">
    <w:pPr>
      <w:pStyle w:val="Koptekst"/>
      <w:pBdr>
        <w:bottom w:val="single" w:sz="4" w:space="0" w:color="C0C0C0"/>
      </w:pBdr>
      <w:rPr>
        <w:color w:val="808080"/>
        <w:sz w:val="18"/>
      </w:rPr>
    </w:pPr>
    <w:r w:rsidRPr="00773516">
      <w:rPr>
        <w:color w:val="808080"/>
        <w:sz w:val="18"/>
      </w:rPr>
      <w:t>Eric Messa - Systeem-Audit</w:t>
    </w:r>
    <w:r w:rsidRPr="00773516">
      <w:rPr>
        <w:color w:val="808080"/>
        <w:sz w:val="18"/>
      </w:rPr>
      <w:tab/>
      <w:t>Document A — De narratieve audit</w:t>
    </w:r>
    <w:r w:rsidRPr="00773516">
      <w:rPr>
        <w:color w:val="808080"/>
        <w:sz w:val="18"/>
      </w:rPr>
      <w:tab/>
      <w:t>Laatst gewijzigd: 6 oktober 2026, 14:20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2866A" w14:textId="77777777" w:rsidR="00773516" w:rsidRDefault="0077351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73516"/>
    <w:rsid w:val="00773516"/>
    <w:rsid w:val="00C146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DD650"/>
  <w15:chartTrackingRefBased/>
  <w15:docId w15:val="{B04C2564-834A-49B6-A733-A8503923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7A3E9D"/>
      </w:pBdr>
      <w:outlineLvl w:val="0"/>
    </w:pPr>
    <w:rPr>
      <w:rFonts w:ascii="Aptos Display" w:hAnsi="Aptos Display"/>
      <w:b/>
      <w:bCs/>
      <w:color w:val="7A3E9D"/>
      <w:kern w:val="36"/>
      <w:sz w:val="56"/>
      <w:szCs w:val="56"/>
    </w:rPr>
  </w:style>
  <w:style w:type="paragraph" w:styleId="Kop2">
    <w:name w:val="heading 2"/>
    <w:basedOn w:val="Standaard"/>
    <w:link w:val="Kop2Char"/>
    <w:uiPriority w:val="9"/>
    <w:qFormat/>
    <w:pPr>
      <w:pBdr>
        <w:bottom w:val="single" w:sz="12" w:space="4" w:color="7A3E9D"/>
      </w:pBdr>
      <w:spacing w:after="100"/>
      <w:outlineLvl w:val="1"/>
    </w:pPr>
    <w:rPr>
      <w:rFonts w:ascii="Aptos Display" w:hAnsi="Aptos Display"/>
      <w:b/>
      <w:bCs/>
      <w:color w:val="7A3E9D"/>
      <w:sz w:val="40"/>
      <w:szCs w:val="40"/>
    </w:rPr>
  </w:style>
  <w:style w:type="paragraph" w:styleId="Kop3">
    <w:name w:val="heading 3"/>
    <w:basedOn w:val="Standaard"/>
    <w:link w:val="Kop3Char"/>
    <w:uiPriority w:val="9"/>
    <w:qFormat/>
    <w:pPr>
      <w:pBdr>
        <w:bottom w:val="single" w:sz="6" w:space="3" w:color="7A3E9D"/>
      </w:pBdr>
      <w:spacing w:after="80"/>
      <w:outlineLvl w:val="2"/>
    </w:pPr>
    <w:rPr>
      <w:rFonts w:ascii="Aptos Display" w:hAnsi="Aptos Display"/>
      <w:b/>
      <w:bCs/>
      <w:color w:val="7A3E9D"/>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7A3E9D"/>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style>
  <w:style w:type="paragraph" w:styleId="Normaalweb">
    <w:name w:val="Normal (Web)"/>
    <w:basedOn w:val="Standaard"/>
    <w:uiPriority w:val="99"/>
    <w:semiHidden/>
    <w:unhideWhenUsed/>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7A3E9D"/>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7A3E9D"/>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7A3E9D"/>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7A3E9D"/>
      </w:pBdr>
      <w:shd w:val="clear" w:color="auto" w:fill="FFFFFF"/>
      <w:spacing w:before="600" w:after="100" w:afterAutospacing="1"/>
    </w:pPr>
  </w:style>
  <w:style w:type="paragraph" w:customStyle="1" w:styleId="recht-kop">
    <w:name w:val="recht-kop"/>
    <w:basedOn w:val="Standaard"/>
    <w:pPr>
      <w:spacing w:before="100" w:beforeAutospacing="1" w:after="80"/>
    </w:pPr>
  </w:style>
  <w:style w:type="paragraph" w:customStyle="1" w:styleId="recht-status">
    <w:name w:val="recht-status"/>
    <w:basedOn w:val="Standaard"/>
    <w:pPr>
      <w:spacing w:before="100" w:beforeAutospacing="1" w:after="100" w:afterAutospacing="1"/>
    </w:pPr>
    <w:rPr>
      <w:b/>
      <w:bCs/>
      <w:caps/>
      <w:color w:val="FFFFFF"/>
      <w:spacing w:val="8"/>
      <w:sz w:val="18"/>
      <w:szCs w:val="18"/>
    </w:rPr>
  </w:style>
  <w:style w:type="paragraph" w:customStyle="1" w:styleId="recht-kop-wrapper">
    <w:name w:val="recht-kop-wrapper"/>
    <w:basedOn w:val="Standaard"/>
    <w:pPr>
      <w:pBdr>
        <w:bottom w:val="single" w:sz="12" w:space="6" w:color="7A3E9D"/>
      </w:pBdr>
      <w:spacing w:before="100" w:beforeAutospacing="1" w:after="240"/>
    </w:pPr>
  </w:style>
  <w:style w:type="paragraph" w:customStyle="1" w:styleId="sector-titel">
    <w:name w:val="sector-titel"/>
    <w:basedOn w:val="Standaard"/>
    <w:pPr>
      <w:spacing w:before="400" w:after="160"/>
    </w:pPr>
    <w:rPr>
      <w:rFonts w:ascii="Aptos Display" w:hAnsi="Aptos Display"/>
      <w:color w:val="7A3E9D"/>
      <w:sz w:val="32"/>
      <w:szCs w:val="32"/>
    </w:rPr>
  </w:style>
  <w:style w:type="paragraph" w:customStyle="1" w:styleId="intro-rechten">
    <w:name w:val="intro-rechten"/>
    <w:basedOn w:val="Standaard"/>
    <w:pPr>
      <w:pBdr>
        <w:left w:val="single" w:sz="24" w:space="14" w:color="7A3E9D"/>
      </w:pBdr>
      <w:shd w:val="clear" w:color="auto" w:fill="F7F5F1"/>
      <w:spacing w:before="100" w:beforeAutospacing="1" w:after="480"/>
    </w:pPr>
    <w:rPr>
      <w:i/>
      <w:iCs/>
      <w:color w:val="444444"/>
    </w:r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7A3E9D"/>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7A3E9D"/>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style>
  <w:style w:type="paragraph" w:styleId="Koptekst">
    <w:name w:val="header"/>
    <w:basedOn w:val="Standaard"/>
    <w:link w:val="KoptekstChar"/>
    <w:uiPriority w:val="99"/>
    <w:unhideWhenUsed/>
    <w:rsid w:val="00773516"/>
    <w:pPr>
      <w:tabs>
        <w:tab w:val="center" w:pos="4536"/>
        <w:tab w:val="right" w:pos="9072"/>
      </w:tabs>
    </w:pPr>
  </w:style>
  <w:style w:type="character" w:customStyle="1" w:styleId="KoptekstChar">
    <w:name w:val="Koptekst Char"/>
    <w:basedOn w:val="Standaardalinea-lettertype"/>
    <w:link w:val="Koptekst"/>
    <w:uiPriority w:val="99"/>
    <w:rsid w:val="00773516"/>
    <w:rPr>
      <w:rFonts w:eastAsiaTheme="minorEastAsia"/>
      <w:sz w:val="24"/>
      <w:szCs w:val="24"/>
    </w:rPr>
  </w:style>
  <w:style w:type="paragraph" w:styleId="Voettekst">
    <w:name w:val="footer"/>
    <w:basedOn w:val="Standaard"/>
    <w:link w:val="VoettekstChar"/>
    <w:uiPriority w:val="99"/>
    <w:unhideWhenUsed/>
    <w:rsid w:val="00773516"/>
    <w:pPr>
      <w:tabs>
        <w:tab w:val="center" w:pos="4536"/>
        <w:tab w:val="right" w:pos="9072"/>
      </w:tabs>
    </w:pPr>
  </w:style>
  <w:style w:type="character" w:customStyle="1" w:styleId="VoettekstChar">
    <w:name w:val="Voettekst Char"/>
    <w:basedOn w:val="Standaardalinea-lettertype"/>
    <w:link w:val="Voettekst"/>
    <w:uiPriority w:val="99"/>
    <w:rsid w:val="00773516"/>
    <w:rPr>
      <w:rFonts w:eastAsiaTheme="minorEastAsia"/>
      <w:sz w:val="24"/>
      <w:szCs w:val="24"/>
    </w:rPr>
  </w:style>
  <w:style w:type="paragraph" w:styleId="Inhopg2">
    <w:name w:val="toc 2"/>
    <w:basedOn w:val="Standaard"/>
    <w:next w:val="Standaard"/>
    <w:autoRedefine/>
    <w:uiPriority w:val="39"/>
    <w:unhideWhenUsed/>
    <w:rsid w:val="00773516"/>
    <w:pPr>
      <w:spacing w:after="100"/>
      <w:ind w:left="220"/>
    </w:pPr>
  </w:style>
  <w:style w:type="paragraph" w:styleId="Inhopg1">
    <w:name w:val="toc 1"/>
    <w:basedOn w:val="Standaard"/>
    <w:next w:val="Standaard"/>
    <w:autoRedefine/>
    <w:uiPriority w:val="39"/>
    <w:unhideWhenUsed/>
    <w:rsid w:val="00773516"/>
    <w:pPr>
      <w:spacing w:after="100"/>
    </w:pPr>
  </w:style>
  <w:style w:type="paragraph" w:styleId="Inhopg3">
    <w:name w:val="toc 3"/>
    <w:basedOn w:val="Standaard"/>
    <w:next w:val="Standaard"/>
    <w:autoRedefine/>
    <w:uiPriority w:val="39"/>
    <w:unhideWhenUsed/>
    <w:rsid w:val="0077351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067237">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330019392">
          <w:marLeft w:val="0"/>
          <w:marRight w:val="0"/>
          <w:marTop w:val="4000"/>
          <w:marBottom w:val="0"/>
          <w:divBdr>
            <w:top w:val="none" w:sz="0" w:space="0" w:color="auto"/>
            <w:left w:val="none" w:sz="0" w:space="0" w:color="auto"/>
            <w:bottom w:val="none" w:sz="0" w:space="0" w:color="auto"/>
            <w:right w:val="none" w:sz="0" w:space="0" w:color="auto"/>
          </w:divBdr>
        </w:div>
        <w:div w:id="1132989214">
          <w:marLeft w:val="0"/>
          <w:marRight w:val="0"/>
          <w:marTop w:val="0"/>
          <w:marBottom w:val="0"/>
          <w:divBdr>
            <w:top w:val="none" w:sz="0" w:space="0" w:color="auto"/>
            <w:left w:val="none" w:sz="0" w:space="0" w:color="auto"/>
            <w:bottom w:val="none" w:sz="0" w:space="0" w:color="auto"/>
            <w:right w:val="none" w:sz="0" w:space="0" w:color="auto"/>
          </w:divBdr>
        </w:div>
        <w:div w:id="2084142202">
          <w:marLeft w:val="0"/>
          <w:marRight w:val="0"/>
          <w:marTop w:val="0"/>
          <w:marBottom w:val="0"/>
          <w:divBdr>
            <w:top w:val="none" w:sz="0" w:space="0" w:color="auto"/>
            <w:left w:val="none" w:sz="0" w:space="0" w:color="auto"/>
            <w:bottom w:val="none" w:sz="0" w:space="0" w:color="auto"/>
            <w:right w:val="none" w:sz="0" w:space="0" w:color="auto"/>
          </w:divBdr>
        </w:div>
        <w:div w:id="104422712">
          <w:marLeft w:val="0"/>
          <w:marRight w:val="0"/>
          <w:marTop w:val="0"/>
          <w:marBottom w:val="0"/>
          <w:divBdr>
            <w:top w:val="none" w:sz="0" w:space="0" w:color="auto"/>
            <w:left w:val="none" w:sz="0" w:space="0" w:color="auto"/>
            <w:bottom w:val="none" w:sz="0" w:space="0" w:color="auto"/>
            <w:right w:val="none" w:sz="0" w:space="0" w:color="auto"/>
          </w:divBdr>
        </w:div>
        <w:div w:id="1288438982">
          <w:marLeft w:val="0"/>
          <w:marRight w:val="0"/>
          <w:marTop w:val="0"/>
          <w:marBottom w:val="0"/>
          <w:divBdr>
            <w:top w:val="none" w:sz="0" w:space="0" w:color="auto"/>
            <w:left w:val="none" w:sz="0" w:space="0" w:color="auto"/>
            <w:bottom w:val="none" w:sz="0" w:space="0" w:color="auto"/>
            <w:right w:val="none" w:sz="0" w:space="0" w:color="auto"/>
          </w:divBdr>
        </w:div>
        <w:div w:id="898858491">
          <w:marLeft w:val="0"/>
          <w:marRight w:val="0"/>
          <w:marTop w:val="0"/>
          <w:marBottom w:val="0"/>
          <w:divBdr>
            <w:top w:val="none" w:sz="0" w:space="0" w:color="auto"/>
            <w:left w:val="none" w:sz="0" w:space="0" w:color="auto"/>
            <w:bottom w:val="none" w:sz="0" w:space="0" w:color="auto"/>
            <w:right w:val="none" w:sz="0" w:space="0" w:color="auto"/>
          </w:divBdr>
        </w:div>
        <w:div w:id="603810839">
          <w:marLeft w:val="0"/>
          <w:marRight w:val="0"/>
          <w:marTop w:val="0"/>
          <w:marBottom w:val="0"/>
          <w:divBdr>
            <w:top w:val="none" w:sz="0" w:space="0" w:color="auto"/>
            <w:left w:val="none" w:sz="0" w:space="0" w:color="auto"/>
            <w:bottom w:val="none" w:sz="0" w:space="0" w:color="auto"/>
            <w:right w:val="none" w:sz="0" w:space="0" w:color="auto"/>
          </w:divBdr>
        </w:div>
        <w:div w:id="1390104944">
          <w:marLeft w:val="0"/>
          <w:marRight w:val="0"/>
          <w:marTop w:val="0"/>
          <w:marBottom w:val="0"/>
          <w:divBdr>
            <w:top w:val="none" w:sz="0" w:space="0" w:color="auto"/>
            <w:left w:val="none" w:sz="0" w:space="0" w:color="auto"/>
            <w:bottom w:val="none" w:sz="0" w:space="0" w:color="auto"/>
            <w:right w:val="none" w:sz="0" w:space="0" w:color="auto"/>
          </w:divBdr>
        </w:div>
        <w:div w:id="1578973993">
          <w:marLeft w:val="0"/>
          <w:marRight w:val="0"/>
          <w:marTop w:val="0"/>
          <w:marBottom w:val="0"/>
          <w:divBdr>
            <w:top w:val="none" w:sz="0" w:space="0" w:color="auto"/>
            <w:left w:val="none" w:sz="0" w:space="0" w:color="auto"/>
            <w:bottom w:val="none" w:sz="0" w:space="0" w:color="auto"/>
            <w:right w:val="none" w:sz="0" w:space="0" w:color="auto"/>
          </w:divBdr>
        </w:div>
        <w:div w:id="735738675">
          <w:marLeft w:val="0"/>
          <w:marRight w:val="0"/>
          <w:marTop w:val="0"/>
          <w:marBottom w:val="0"/>
          <w:divBdr>
            <w:top w:val="none" w:sz="0" w:space="0" w:color="auto"/>
            <w:left w:val="none" w:sz="0" w:space="0" w:color="auto"/>
            <w:bottom w:val="none" w:sz="0" w:space="0" w:color="auto"/>
            <w:right w:val="none" w:sz="0" w:space="0" w:color="auto"/>
          </w:divBdr>
        </w:div>
        <w:div w:id="1847742788">
          <w:marLeft w:val="0"/>
          <w:marRight w:val="0"/>
          <w:marTop w:val="0"/>
          <w:marBottom w:val="0"/>
          <w:divBdr>
            <w:top w:val="none" w:sz="0" w:space="0" w:color="auto"/>
            <w:left w:val="none" w:sz="0" w:space="0" w:color="auto"/>
            <w:bottom w:val="none" w:sz="0" w:space="0" w:color="auto"/>
            <w:right w:val="none" w:sz="0" w:space="0" w:color="auto"/>
          </w:divBdr>
        </w:div>
        <w:div w:id="764502504">
          <w:marLeft w:val="0"/>
          <w:marRight w:val="0"/>
          <w:marTop w:val="0"/>
          <w:marBottom w:val="0"/>
          <w:divBdr>
            <w:top w:val="none" w:sz="0" w:space="0" w:color="auto"/>
            <w:left w:val="none" w:sz="0" w:space="0" w:color="auto"/>
            <w:bottom w:val="none" w:sz="0" w:space="0" w:color="auto"/>
            <w:right w:val="none" w:sz="0" w:space="0" w:color="auto"/>
          </w:divBdr>
        </w:div>
        <w:div w:id="514462579">
          <w:marLeft w:val="0"/>
          <w:marRight w:val="0"/>
          <w:marTop w:val="0"/>
          <w:marBottom w:val="0"/>
          <w:divBdr>
            <w:top w:val="none" w:sz="0" w:space="0" w:color="auto"/>
            <w:left w:val="none" w:sz="0" w:space="0" w:color="auto"/>
            <w:bottom w:val="none" w:sz="0" w:space="0" w:color="auto"/>
            <w:right w:val="none" w:sz="0" w:space="0" w:color="auto"/>
          </w:divBdr>
        </w:div>
        <w:div w:id="609362275">
          <w:marLeft w:val="0"/>
          <w:marRight w:val="0"/>
          <w:marTop w:val="0"/>
          <w:marBottom w:val="0"/>
          <w:divBdr>
            <w:top w:val="none" w:sz="0" w:space="0" w:color="auto"/>
            <w:left w:val="none" w:sz="0" w:space="0" w:color="auto"/>
            <w:bottom w:val="none" w:sz="0" w:space="0" w:color="auto"/>
            <w:right w:val="none" w:sz="0" w:space="0" w:color="auto"/>
          </w:divBdr>
        </w:div>
        <w:div w:id="1548448377">
          <w:marLeft w:val="0"/>
          <w:marRight w:val="0"/>
          <w:marTop w:val="0"/>
          <w:marBottom w:val="0"/>
          <w:divBdr>
            <w:top w:val="none" w:sz="0" w:space="0" w:color="auto"/>
            <w:left w:val="none" w:sz="0" w:space="0" w:color="auto"/>
            <w:bottom w:val="none" w:sz="0" w:space="0" w:color="auto"/>
            <w:right w:val="none" w:sz="0" w:space="0" w:color="auto"/>
          </w:divBdr>
        </w:div>
        <w:div w:id="735589997">
          <w:marLeft w:val="0"/>
          <w:marRight w:val="0"/>
          <w:marTop w:val="0"/>
          <w:marBottom w:val="0"/>
          <w:divBdr>
            <w:top w:val="none" w:sz="0" w:space="0" w:color="auto"/>
            <w:left w:val="none" w:sz="0" w:space="0" w:color="auto"/>
            <w:bottom w:val="none" w:sz="0" w:space="0" w:color="auto"/>
            <w:right w:val="none" w:sz="0" w:space="0" w:color="auto"/>
          </w:divBdr>
        </w:div>
        <w:div w:id="236401519">
          <w:marLeft w:val="0"/>
          <w:marRight w:val="0"/>
          <w:marTop w:val="0"/>
          <w:marBottom w:val="0"/>
          <w:divBdr>
            <w:top w:val="none" w:sz="0" w:space="0" w:color="auto"/>
            <w:left w:val="none" w:sz="0" w:space="0" w:color="auto"/>
            <w:bottom w:val="none" w:sz="0" w:space="0" w:color="auto"/>
            <w:right w:val="none" w:sz="0" w:space="0" w:color="auto"/>
          </w:divBdr>
        </w:div>
        <w:div w:id="1362125032">
          <w:marLeft w:val="0"/>
          <w:marRight w:val="0"/>
          <w:marTop w:val="0"/>
          <w:marBottom w:val="0"/>
          <w:divBdr>
            <w:top w:val="none" w:sz="0" w:space="0" w:color="auto"/>
            <w:left w:val="none" w:sz="0" w:space="0" w:color="auto"/>
            <w:bottom w:val="none" w:sz="0" w:space="0" w:color="auto"/>
            <w:right w:val="none" w:sz="0" w:space="0" w:color="auto"/>
          </w:divBdr>
        </w:div>
        <w:div w:id="1030185156">
          <w:marLeft w:val="0"/>
          <w:marRight w:val="0"/>
          <w:marTop w:val="0"/>
          <w:marBottom w:val="0"/>
          <w:divBdr>
            <w:top w:val="none" w:sz="0" w:space="0" w:color="auto"/>
            <w:left w:val="none" w:sz="0" w:space="0" w:color="auto"/>
            <w:bottom w:val="none" w:sz="0" w:space="0" w:color="auto"/>
            <w:right w:val="none" w:sz="0" w:space="0" w:color="auto"/>
          </w:divBdr>
        </w:div>
        <w:div w:id="1733968215">
          <w:marLeft w:val="0"/>
          <w:marRight w:val="0"/>
          <w:marTop w:val="0"/>
          <w:marBottom w:val="0"/>
          <w:divBdr>
            <w:top w:val="none" w:sz="0" w:space="0" w:color="auto"/>
            <w:left w:val="none" w:sz="0" w:space="0" w:color="auto"/>
            <w:bottom w:val="none" w:sz="0" w:space="0" w:color="auto"/>
            <w:right w:val="none" w:sz="0" w:space="0" w:color="auto"/>
          </w:divBdr>
        </w:div>
        <w:div w:id="1364944602">
          <w:marLeft w:val="0"/>
          <w:marRight w:val="0"/>
          <w:marTop w:val="0"/>
          <w:marBottom w:val="0"/>
          <w:divBdr>
            <w:top w:val="none" w:sz="0" w:space="0" w:color="auto"/>
            <w:left w:val="none" w:sz="0" w:space="0" w:color="auto"/>
            <w:bottom w:val="none" w:sz="0" w:space="0" w:color="auto"/>
            <w:right w:val="none" w:sz="0" w:space="0" w:color="auto"/>
          </w:divBdr>
        </w:div>
        <w:div w:id="1911964888">
          <w:marLeft w:val="0"/>
          <w:marRight w:val="0"/>
          <w:marTop w:val="0"/>
          <w:marBottom w:val="0"/>
          <w:divBdr>
            <w:top w:val="none" w:sz="0" w:space="0" w:color="auto"/>
            <w:left w:val="none" w:sz="0" w:space="0" w:color="auto"/>
            <w:bottom w:val="none" w:sz="0" w:space="0" w:color="auto"/>
            <w:right w:val="none" w:sz="0" w:space="0" w:color="auto"/>
          </w:divBdr>
        </w:div>
        <w:div w:id="1077633994">
          <w:marLeft w:val="0"/>
          <w:marRight w:val="0"/>
          <w:marTop w:val="0"/>
          <w:marBottom w:val="0"/>
          <w:divBdr>
            <w:top w:val="none" w:sz="0" w:space="0" w:color="auto"/>
            <w:left w:val="none" w:sz="0" w:space="0" w:color="auto"/>
            <w:bottom w:val="none" w:sz="0" w:space="0" w:color="auto"/>
            <w:right w:val="none" w:sz="0" w:space="0" w:color="auto"/>
          </w:divBdr>
        </w:div>
        <w:div w:id="1387754875">
          <w:marLeft w:val="0"/>
          <w:marRight w:val="0"/>
          <w:marTop w:val="0"/>
          <w:marBottom w:val="0"/>
          <w:divBdr>
            <w:top w:val="none" w:sz="0" w:space="0" w:color="auto"/>
            <w:left w:val="none" w:sz="0" w:space="0" w:color="auto"/>
            <w:bottom w:val="none" w:sz="0" w:space="0" w:color="auto"/>
            <w:right w:val="none" w:sz="0" w:space="0" w:color="auto"/>
          </w:divBdr>
        </w:div>
        <w:div w:id="661347539">
          <w:marLeft w:val="0"/>
          <w:marRight w:val="0"/>
          <w:marTop w:val="0"/>
          <w:marBottom w:val="0"/>
          <w:divBdr>
            <w:top w:val="none" w:sz="0" w:space="0" w:color="auto"/>
            <w:left w:val="none" w:sz="0" w:space="0" w:color="auto"/>
            <w:bottom w:val="none" w:sz="0" w:space="0" w:color="auto"/>
            <w:right w:val="none" w:sz="0" w:space="0" w:color="auto"/>
          </w:divBdr>
        </w:div>
        <w:div w:id="956910805">
          <w:marLeft w:val="0"/>
          <w:marRight w:val="0"/>
          <w:marTop w:val="0"/>
          <w:marBottom w:val="0"/>
          <w:divBdr>
            <w:top w:val="none" w:sz="0" w:space="0" w:color="auto"/>
            <w:left w:val="none" w:sz="0" w:space="0" w:color="auto"/>
            <w:bottom w:val="none" w:sz="0" w:space="0" w:color="auto"/>
            <w:right w:val="none" w:sz="0" w:space="0" w:color="auto"/>
          </w:divBdr>
        </w:div>
        <w:div w:id="377707578">
          <w:marLeft w:val="0"/>
          <w:marRight w:val="0"/>
          <w:marTop w:val="0"/>
          <w:marBottom w:val="0"/>
          <w:divBdr>
            <w:top w:val="none" w:sz="0" w:space="0" w:color="auto"/>
            <w:left w:val="none" w:sz="0" w:space="0" w:color="auto"/>
            <w:bottom w:val="none" w:sz="0" w:space="0" w:color="auto"/>
            <w:right w:val="none" w:sz="0" w:space="0" w:color="auto"/>
          </w:divBdr>
        </w:div>
        <w:div w:id="1255897904">
          <w:marLeft w:val="0"/>
          <w:marRight w:val="0"/>
          <w:marTop w:val="0"/>
          <w:marBottom w:val="0"/>
          <w:divBdr>
            <w:top w:val="none" w:sz="0" w:space="0" w:color="auto"/>
            <w:left w:val="none" w:sz="0" w:space="0" w:color="auto"/>
            <w:bottom w:val="none" w:sz="0" w:space="0" w:color="auto"/>
            <w:right w:val="none" w:sz="0" w:space="0" w:color="auto"/>
          </w:divBdr>
        </w:div>
        <w:div w:id="476915973">
          <w:marLeft w:val="0"/>
          <w:marRight w:val="0"/>
          <w:marTop w:val="0"/>
          <w:marBottom w:val="0"/>
          <w:divBdr>
            <w:top w:val="none" w:sz="0" w:space="0" w:color="auto"/>
            <w:left w:val="none" w:sz="0" w:space="0" w:color="auto"/>
            <w:bottom w:val="none" w:sz="0" w:space="0" w:color="auto"/>
            <w:right w:val="none" w:sz="0" w:space="0" w:color="auto"/>
          </w:divBdr>
        </w:div>
        <w:div w:id="646009375">
          <w:marLeft w:val="0"/>
          <w:marRight w:val="0"/>
          <w:marTop w:val="0"/>
          <w:marBottom w:val="0"/>
          <w:divBdr>
            <w:top w:val="none" w:sz="0" w:space="0" w:color="auto"/>
            <w:left w:val="none" w:sz="0" w:space="0" w:color="auto"/>
            <w:bottom w:val="none" w:sz="0" w:space="0" w:color="auto"/>
            <w:right w:val="none" w:sz="0" w:space="0" w:color="auto"/>
          </w:divBdr>
        </w:div>
        <w:div w:id="312219053">
          <w:marLeft w:val="0"/>
          <w:marRight w:val="0"/>
          <w:marTop w:val="0"/>
          <w:marBottom w:val="0"/>
          <w:divBdr>
            <w:top w:val="none" w:sz="0" w:space="0" w:color="auto"/>
            <w:left w:val="none" w:sz="0" w:space="0" w:color="auto"/>
            <w:bottom w:val="none" w:sz="0" w:space="0" w:color="auto"/>
            <w:right w:val="none" w:sz="0" w:space="0" w:color="auto"/>
          </w:divBdr>
        </w:div>
        <w:div w:id="207452006">
          <w:marLeft w:val="0"/>
          <w:marRight w:val="0"/>
          <w:marTop w:val="0"/>
          <w:marBottom w:val="0"/>
          <w:divBdr>
            <w:top w:val="none" w:sz="0" w:space="0" w:color="auto"/>
            <w:left w:val="none" w:sz="0" w:space="0" w:color="auto"/>
            <w:bottom w:val="none" w:sz="0" w:space="0" w:color="auto"/>
            <w:right w:val="none" w:sz="0" w:space="0" w:color="auto"/>
          </w:divBdr>
        </w:div>
        <w:div w:id="771824823">
          <w:marLeft w:val="0"/>
          <w:marRight w:val="0"/>
          <w:marTop w:val="0"/>
          <w:marBottom w:val="0"/>
          <w:divBdr>
            <w:top w:val="none" w:sz="0" w:space="0" w:color="auto"/>
            <w:left w:val="none" w:sz="0" w:space="0" w:color="auto"/>
            <w:bottom w:val="none" w:sz="0" w:space="0" w:color="auto"/>
            <w:right w:val="none" w:sz="0" w:space="0" w:color="auto"/>
          </w:divBdr>
        </w:div>
        <w:div w:id="776683751">
          <w:marLeft w:val="0"/>
          <w:marRight w:val="0"/>
          <w:marTop w:val="0"/>
          <w:marBottom w:val="0"/>
          <w:divBdr>
            <w:top w:val="none" w:sz="0" w:space="0" w:color="auto"/>
            <w:left w:val="none" w:sz="0" w:space="0" w:color="auto"/>
            <w:bottom w:val="none" w:sz="0" w:space="0" w:color="auto"/>
            <w:right w:val="none" w:sz="0" w:space="0" w:color="auto"/>
          </w:divBdr>
        </w:div>
        <w:div w:id="1721124571">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21135</Words>
  <Characters>116246</Characters>
  <Application>Microsoft Office Word</Application>
  <DocSecurity>0</DocSecurity>
  <Lines>968</Lines>
  <Paragraphs>274</Paragraphs>
  <ScaleCrop>false</ScaleCrop>
  <Company/>
  <LinksUpToDate>false</LinksUpToDate>
  <CharactersWithSpaces>137107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A — De narratieve audit</dc:title>
  <dc:subject/>
  <dc:creator>Eric Messa</dc:creator>
  <cp:keywords/>
  <dc:description/>
  <cp:lastModifiedBy>Eric Messa</cp:lastModifiedBy>
  <cp:revision>2</cp:revision>
  <dcterms:created xsi:type="dcterms:W3CDTF">2026-10-06T12:21:00Z</dcterms:created>
  <dcterms:modified xsi:type="dcterms:W3CDTF">2026-10-06T12:21:00Z</dcterms:modified>
</cp:coreProperties>
</file>