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1F6B5" w14:textId="77777777" w:rsidR="0020702A" w:rsidRDefault="0020702A">
      <w:pPr>
        <w:spacing w:after="480"/>
        <w:jc w:val="center"/>
        <w:outlineLvl w:val="1"/>
        <w:divId w:val="1975525921"/>
        <w:rPr>
          <w:rFonts w:ascii="Aptos Display" w:eastAsia="Times New Roman" w:hAnsi="Aptos Display"/>
          <w:b/>
          <w:bCs/>
          <w:color w:val="4A3B6B"/>
          <w:kern w:val="36"/>
          <w:sz w:val="72"/>
          <w:szCs w:val="72"/>
          <w:lang w:val="fr-FR"/>
        </w:rPr>
      </w:pPr>
      <w:r>
        <w:rPr>
          <w:rFonts w:ascii="Aptos Display" w:eastAsia="Times New Roman" w:hAnsi="Aptos Display"/>
          <w:b/>
          <w:bCs/>
          <w:color w:val="4A3B6B"/>
          <w:kern w:val="36"/>
          <w:sz w:val="72"/>
          <w:szCs w:val="72"/>
          <w:lang w:val="fr-FR"/>
        </w:rPr>
        <w:t>Audit du système</w:t>
      </w:r>
    </w:p>
    <w:p w14:paraId="337241B7" w14:textId="77777777" w:rsidR="0020702A" w:rsidRDefault="0020702A">
      <w:pPr>
        <w:pStyle w:val="ondertitel2"/>
        <w:divId w:val="1975525921"/>
        <w:rPr>
          <w:lang w:val="fr-FR"/>
        </w:rPr>
      </w:pPr>
      <w:r>
        <w:rPr>
          <w:lang w:val="fr-FR"/>
        </w:rPr>
        <w:t>Vide de compétence transfrontalier en matière de sécurité sociale</w:t>
      </w:r>
    </w:p>
    <w:p w14:paraId="414FD9A7" w14:textId="77777777" w:rsidR="0020702A" w:rsidRDefault="0020702A">
      <w:pPr>
        <w:pStyle w:val="documentaanduiding2"/>
        <w:divId w:val="1975525921"/>
        <w:rPr>
          <w:lang w:val="fr-FR"/>
        </w:rPr>
      </w:pPr>
      <w:r>
        <w:rPr>
          <w:lang w:val="fr-FR"/>
        </w:rPr>
        <w:t>Document C — L'architecture visuelle</w:t>
      </w:r>
    </w:p>
    <w:p w14:paraId="2F5DC325" w14:textId="77777777" w:rsidR="0020702A" w:rsidRDefault="0020702A">
      <w:pPr>
        <w:pStyle w:val="auteur2"/>
        <w:divId w:val="1975525921"/>
        <w:rPr>
          <w:lang w:val="fr-FR"/>
        </w:rPr>
      </w:pPr>
      <w:r>
        <w:rPr>
          <w:lang w:val="fr-FR"/>
        </w:rPr>
        <w:t>Auteur : Eric Messa</w:t>
      </w:r>
    </w:p>
    <w:p w14:paraId="3B14365D" w14:textId="77777777" w:rsidR="0020702A" w:rsidRDefault="0020702A">
      <w:pPr>
        <w:pStyle w:val="meta-lijn2"/>
        <w:divId w:val="1975525921"/>
        <w:rPr>
          <w:lang w:val="fr-FR"/>
        </w:rPr>
      </w:pPr>
      <w:r>
        <w:rPr>
          <w:lang w:val="fr-FR"/>
        </w:rPr>
        <w:t>Version mise à jour : 1er octobre 2026, 13 h 02</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3365C0C" w14:textId="77777777">
        <w:trPr>
          <w:divId w:val="1419013937"/>
        </w:trPr>
        <w:tc>
          <w:tcPr>
            <w:tcW w:w="0" w:type="auto"/>
            <w:tcBorders>
              <w:top w:val="single" w:sz="6" w:space="0" w:color="D5D0C5"/>
              <w:left w:val="single" w:sz="36" w:space="0" w:color="E6A817"/>
              <w:bottom w:val="single" w:sz="6" w:space="0" w:color="D5D0C5"/>
              <w:right w:val="single" w:sz="6" w:space="0" w:color="D5D0C5"/>
            </w:tcBorders>
            <w:shd w:val="clear" w:color="auto" w:fill="FFF8E1"/>
            <w:tcMar>
              <w:top w:w="160" w:type="dxa"/>
              <w:left w:w="240" w:type="dxa"/>
              <w:bottom w:w="160" w:type="dxa"/>
              <w:right w:w="240" w:type="dxa"/>
            </w:tcMar>
            <w:hideMark/>
          </w:tcPr>
          <w:p w14:paraId="1176520C" w14:textId="77777777" w:rsidR="0020702A" w:rsidRDefault="0020702A">
            <w:pPr>
              <w:spacing w:before="240" w:after="240"/>
              <w:rPr>
                <w:rFonts w:eastAsia="Times New Roman"/>
                <w:color w:val="665500"/>
                <w:sz w:val="21"/>
                <w:szCs w:val="21"/>
              </w:rPr>
            </w:pPr>
            <w:r>
              <w:rPr>
                <w:rStyle w:val="Zwaar"/>
                <w:rFonts w:eastAsia="Times New Roman"/>
                <w:color w:val="665500"/>
                <w:sz w:val="21"/>
                <w:szCs w:val="21"/>
              </w:rPr>
              <w:t>Note sur la traduction :</w:t>
            </w:r>
            <w:r>
              <w:rPr>
                <w:rFonts w:eastAsia="Times New Roman"/>
                <w:color w:val="665500"/>
                <w:sz w:val="21"/>
                <w:szCs w:val="21"/>
              </w:rPr>
              <w:t xml:space="preserve"> </w:t>
            </w:r>
            <w:r>
              <w:rPr>
                <w:rFonts w:eastAsia="Times New Roman"/>
                <w:color w:val="665500"/>
                <w:sz w:val="21"/>
                <w:szCs w:val="21"/>
              </w:rPr>
              <w:t>Ce document est une traduction de la version source néerlandaise. Il peut donc arriver qu'une petite erreur de traduction ou irrégularité linguistique se trouve dans le texte. En cas de doute, le texte néerlandais sert de référence.</w:t>
            </w:r>
          </w:p>
        </w:tc>
      </w:tr>
    </w:tbl>
    <w:p w14:paraId="787CCF60" w14:textId="77777777" w:rsidR="0020702A" w:rsidRDefault="0020702A">
      <w:pPr>
        <w:pStyle w:val="marker"/>
        <w:ind w:left="800" w:right="800"/>
        <w:divId w:val="1419013937"/>
        <w:rPr>
          <w:lang w:val="fr-FR"/>
        </w:rPr>
      </w:pPr>
      <w:r>
        <w:br w:type="page"/>
      </w:r>
    </w:p>
    <w:p w14:paraId="61780754" w14:textId="77777777" w:rsidR="0020702A" w:rsidRDefault="0020702A">
      <w:pPr>
        <w:pStyle w:val="Kop2"/>
        <w:divId w:val="69544635"/>
        <w:rPr>
          <w:rFonts w:eastAsia="Times New Roman"/>
          <w:lang w:val="fr-FR"/>
        </w:rPr>
      </w:pPr>
      <w:bookmarkStart w:id="0" w:name="_Toc242103240"/>
      <w:r>
        <w:rPr>
          <w:rFonts w:eastAsia="Times New Roman"/>
          <w:lang w:val="fr-FR"/>
        </w:rPr>
        <w:t>Table des matières</w:t>
      </w:r>
      <w:bookmarkEnd w:id="0"/>
    </w:p>
    <w:p w14:paraId="4CF12E04" w14:textId="043CF32C"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Pr>
          <w:lang w:val="fr-FR"/>
        </w:rPr>
        <w:fldChar w:fldCharType="begin"/>
      </w:r>
      <w:r>
        <w:rPr>
          <w:lang w:val="fr-FR"/>
        </w:rPr>
        <w:instrText xml:space="preserve"> TOC \o "1-3" </w:instrText>
      </w:r>
      <w:r>
        <w:rPr>
          <w:lang w:val="fr-FR"/>
        </w:rPr>
        <w:fldChar w:fldCharType="separate"/>
      </w:r>
      <w:r w:rsidRPr="00B56FCF">
        <w:rPr>
          <w:rFonts w:eastAsia="Times New Roman"/>
          <w:noProof/>
          <w:lang w:val="fr-FR"/>
        </w:rPr>
        <w:t>Table des matières</w:t>
      </w:r>
      <w:r>
        <w:rPr>
          <w:noProof/>
        </w:rPr>
        <w:tab/>
      </w:r>
      <w:r>
        <w:rPr>
          <w:noProof/>
        </w:rPr>
        <w:fldChar w:fldCharType="begin"/>
      </w:r>
      <w:r>
        <w:rPr>
          <w:noProof/>
        </w:rPr>
        <w:instrText xml:space="preserve"> PAGEREF _Toc242103240 \h </w:instrText>
      </w:r>
      <w:r>
        <w:rPr>
          <w:noProof/>
        </w:rPr>
      </w:r>
      <w:r>
        <w:rPr>
          <w:noProof/>
        </w:rPr>
        <w:fldChar w:fldCharType="separate"/>
      </w:r>
      <w:r>
        <w:rPr>
          <w:noProof/>
        </w:rPr>
        <w:t>2</w:t>
      </w:r>
      <w:r>
        <w:rPr>
          <w:noProof/>
        </w:rPr>
        <w:fldChar w:fldCharType="end"/>
      </w:r>
    </w:p>
    <w:p w14:paraId="5B7F1AFB" w14:textId="17871378"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Introduction et guide de lecture</w:t>
      </w:r>
      <w:r>
        <w:rPr>
          <w:noProof/>
        </w:rPr>
        <w:tab/>
      </w:r>
      <w:r>
        <w:rPr>
          <w:noProof/>
        </w:rPr>
        <w:fldChar w:fldCharType="begin"/>
      </w:r>
      <w:r>
        <w:rPr>
          <w:noProof/>
        </w:rPr>
        <w:instrText xml:space="preserve"> PAGEREF _Toc242103241 \h </w:instrText>
      </w:r>
      <w:r>
        <w:rPr>
          <w:noProof/>
        </w:rPr>
      </w:r>
      <w:r>
        <w:rPr>
          <w:noProof/>
        </w:rPr>
        <w:fldChar w:fldCharType="separate"/>
      </w:r>
      <w:r>
        <w:rPr>
          <w:noProof/>
        </w:rPr>
        <w:t>7</w:t>
      </w:r>
      <w:r>
        <w:rPr>
          <w:noProof/>
        </w:rPr>
        <w:fldChar w:fldCharType="end"/>
      </w:r>
    </w:p>
    <w:p w14:paraId="363AEC9F" w14:textId="754CCB84"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Nature de ce document</w:t>
      </w:r>
      <w:r>
        <w:rPr>
          <w:noProof/>
        </w:rPr>
        <w:tab/>
      </w:r>
      <w:r>
        <w:rPr>
          <w:noProof/>
        </w:rPr>
        <w:fldChar w:fldCharType="begin"/>
      </w:r>
      <w:r>
        <w:rPr>
          <w:noProof/>
        </w:rPr>
        <w:instrText xml:space="preserve"> PAGEREF _Toc242103242 \h </w:instrText>
      </w:r>
      <w:r>
        <w:rPr>
          <w:noProof/>
        </w:rPr>
      </w:r>
      <w:r>
        <w:rPr>
          <w:noProof/>
        </w:rPr>
        <w:fldChar w:fldCharType="separate"/>
      </w:r>
      <w:r>
        <w:rPr>
          <w:noProof/>
        </w:rPr>
        <w:t>7</w:t>
      </w:r>
      <w:r>
        <w:rPr>
          <w:noProof/>
        </w:rPr>
        <w:fldChar w:fldCharType="end"/>
      </w:r>
    </w:p>
    <w:p w14:paraId="0D9456A6" w14:textId="6F3D60B9"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différence par rapport aux autres documents</w:t>
      </w:r>
      <w:r>
        <w:rPr>
          <w:noProof/>
        </w:rPr>
        <w:tab/>
      </w:r>
      <w:r>
        <w:rPr>
          <w:noProof/>
        </w:rPr>
        <w:fldChar w:fldCharType="begin"/>
      </w:r>
      <w:r>
        <w:rPr>
          <w:noProof/>
        </w:rPr>
        <w:instrText xml:space="preserve"> PAGEREF _Toc242103243 \h </w:instrText>
      </w:r>
      <w:r>
        <w:rPr>
          <w:noProof/>
        </w:rPr>
      </w:r>
      <w:r>
        <w:rPr>
          <w:noProof/>
        </w:rPr>
        <w:fldChar w:fldCharType="separate"/>
      </w:r>
      <w:r>
        <w:rPr>
          <w:noProof/>
        </w:rPr>
        <w:t>7</w:t>
      </w:r>
      <w:r>
        <w:rPr>
          <w:noProof/>
        </w:rPr>
        <w:fldChar w:fldCharType="end"/>
      </w:r>
    </w:p>
    <w:p w14:paraId="0ECCCB57" w14:textId="1511BB65"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grammaire fixe</w:t>
      </w:r>
      <w:r>
        <w:rPr>
          <w:noProof/>
        </w:rPr>
        <w:tab/>
      </w:r>
      <w:r>
        <w:rPr>
          <w:noProof/>
        </w:rPr>
        <w:fldChar w:fldCharType="begin"/>
      </w:r>
      <w:r>
        <w:rPr>
          <w:noProof/>
        </w:rPr>
        <w:instrText xml:space="preserve"> PAGEREF _Toc242103244 \h </w:instrText>
      </w:r>
      <w:r>
        <w:rPr>
          <w:noProof/>
        </w:rPr>
      </w:r>
      <w:r>
        <w:rPr>
          <w:noProof/>
        </w:rPr>
        <w:fldChar w:fldCharType="separate"/>
      </w:r>
      <w:r>
        <w:rPr>
          <w:noProof/>
        </w:rPr>
        <w:t>7</w:t>
      </w:r>
      <w:r>
        <w:rPr>
          <w:noProof/>
        </w:rPr>
        <w:fldChar w:fldCharType="end"/>
      </w:r>
    </w:p>
    <w:p w14:paraId="61A18273" w14:textId="10050CB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deux mondes</w:t>
      </w:r>
      <w:r>
        <w:rPr>
          <w:noProof/>
        </w:rPr>
        <w:tab/>
      </w:r>
      <w:r>
        <w:rPr>
          <w:noProof/>
        </w:rPr>
        <w:fldChar w:fldCharType="begin"/>
      </w:r>
      <w:r>
        <w:rPr>
          <w:noProof/>
        </w:rPr>
        <w:instrText xml:space="preserve"> PAGEREF _Toc242103245 \h </w:instrText>
      </w:r>
      <w:r>
        <w:rPr>
          <w:noProof/>
        </w:rPr>
      </w:r>
      <w:r>
        <w:rPr>
          <w:noProof/>
        </w:rPr>
        <w:fldChar w:fldCharType="separate"/>
      </w:r>
      <w:r>
        <w:rPr>
          <w:noProof/>
        </w:rPr>
        <w:t>7</w:t>
      </w:r>
      <w:r>
        <w:rPr>
          <w:noProof/>
        </w:rPr>
        <w:fldChar w:fldCharType="end"/>
      </w:r>
    </w:p>
    <w:p w14:paraId="0C165850" w14:textId="7C8E066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membrane</w:t>
      </w:r>
      <w:r>
        <w:rPr>
          <w:noProof/>
        </w:rPr>
        <w:tab/>
      </w:r>
      <w:r>
        <w:rPr>
          <w:noProof/>
        </w:rPr>
        <w:fldChar w:fldCharType="begin"/>
      </w:r>
      <w:r>
        <w:rPr>
          <w:noProof/>
        </w:rPr>
        <w:instrText xml:space="preserve"> PAGEREF _Toc242103246 \h </w:instrText>
      </w:r>
      <w:r>
        <w:rPr>
          <w:noProof/>
        </w:rPr>
      </w:r>
      <w:r>
        <w:rPr>
          <w:noProof/>
        </w:rPr>
        <w:fldChar w:fldCharType="separate"/>
      </w:r>
      <w:r>
        <w:rPr>
          <w:noProof/>
        </w:rPr>
        <w:t>8</w:t>
      </w:r>
      <w:r>
        <w:rPr>
          <w:noProof/>
        </w:rPr>
        <w:fldChar w:fldCharType="end"/>
      </w:r>
    </w:p>
    <w:p w14:paraId="5046A311" w14:textId="7984570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trois canaux</w:t>
      </w:r>
      <w:r>
        <w:rPr>
          <w:noProof/>
        </w:rPr>
        <w:tab/>
      </w:r>
      <w:r>
        <w:rPr>
          <w:noProof/>
        </w:rPr>
        <w:fldChar w:fldCharType="begin"/>
      </w:r>
      <w:r>
        <w:rPr>
          <w:noProof/>
        </w:rPr>
        <w:instrText xml:space="preserve"> PAGEREF _Toc242103247 \h </w:instrText>
      </w:r>
      <w:r>
        <w:rPr>
          <w:noProof/>
        </w:rPr>
      </w:r>
      <w:r>
        <w:rPr>
          <w:noProof/>
        </w:rPr>
        <w:fldChar w:fldCharType="separate"/>
      </w:r>
      <w:r>
        <w:rPr>
          <w:noProof/>
        </w:rPr>
        <w:t>8</w:t>
      </w:r>
      <w:r>
        <w:rPr>
          <w:noProof/>
        </w:rPr>
        <w:fldChar w:fldCharType="end"/>
      </w:r>
    </w:p>
    <w:p w14:paraId="40EAB13F" w14:textId="4F5FC1F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couleurs</w:t>
      </w:r>
      <w:r>
        <w:rPr>
          <w:noProof/>
        </w:rPr>
        <w:tab/>
      </w:r>
      <w:r>
        <w:rPr>
          <w:noProof/>
        </w:rPr>
        <w:fldChar w:fldCharType="begin"/>
      </w:r>
      <w:r>
        <w:rPr>
          <w:noProof/>
        </w:rPr>
        <w:instrText xml:space="preserve"> PAGEREF _Toc242103248 \h </w:instrText>
      </w:r>
      <w:r>
        <w:rPr>
          <w:noProof/>
        </w:rPr>
      </w:r>
      <w:r>
        <w:rPr>
          <w:noProof/>
        </w:rPr>
        <w:fldChar w:fldCharType="separate"/>
      </w:r>
      <w:r>
        <w:rPr>
          <w:noProof/>
        </w:rPr>
        <w:t>8</w:t>
      </w:r>
      <w:r>
        <w:rPr>
          <w:noProof/>
        </w:rPr>
        <w:fldChar w:fldCharType="end"/>
      </w:r>
    </w:p>
    <w:p w14:paraId="069E9136" w14:textId="6FD4DC2C"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L'ordre de ce document</w:t>
      </w:r>
      <w:r>
        <w:rPr>
          <w:noProof/>
        </w:rPr>
        <w:tab/>
      </w:r>
      <w:r>
        <w:rPr>
          <w:noProof/>
        </w:rPr>
        <w:fldChar w:fldCharType="begin"/>
      </w:r>
      <w:r>
        <w:rPr>
          <w:noProof/>
        </w:rPr>
        <w:instrText xml:space="preserve"> PAGEREF _Toc242103249 \h </w:instrText>
      </w:r>
      <w:r>
        <w:rPr>
          <w:noProof/>
        </w:rPr>
      </w:r>
      <w:r>
        <w:rPr>
          <w:noProof/>
        </w:rPr>
        <w:fldChar w:fldCharType="separate"/>
      </w:r>
      <w:r>
        <w:rPr>
          <w:noProof/>
        </w:rPr>
        <w:t>8</w:t>
      </w:r>
      <w:r>
        <w:rPr>
          <w:noProof/>
        </w:rPr>
        <w:fldChar w:fldCharType="end"/>
      </w:r>
    </w:p>
    <w:p w14:paraId="0C35777F" w14:textId="5496FD43"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Comment le lire</w:t>
      </w:r>
      <w:r>
        <w:rPr>
          <w:noProof/>
        </w:rPr>
        <w:tab/>
      </w:r>
      <w:r>
        <w:rPr>
          <w:noProof/>
        </w:rPr>
        <w:fldChar w:fldCharType="begin"/>
      </w:r>
      <w:r>
        <w:rPr>
          <w:noProof/>
        </w:rPr>
        <w:instrText xml:space="preserve"> PAGEREF _Toc242103250 \h </w:instrText>
      </w:r>
      <w:r>
        <w:rPr>
          <w:noProof/>
        </w:rPr>
      </w:r>
      <w:r>
        <w:rPr>
          <w:noProof/>
        </w:rPr>
        <w:fldChar w:fldCharType="separate"/>
      </w:r>
      <w:r>
        <w:rPr>
          <w:noProof/>
        </w:rPr>
        <w:t>9</w:t>
      </w:r>
      <w:r>
        <w:rPr>
          <w:noProof/>
        </w:rPr>
        <w:fldChar w:fldCharType="end"/>
      </w:r>
    </w:p>
    <w:p w14:paraId="7A36036C" w14:textId="50CC2C3F"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À quoi le lecteur peut-il s’attendre ?</w:t>
      </w:r>
      <w:r>
        <w:rPr>
          <w:noProof/>
        </w:rPr>
        <w:tab/>
      </w:r>
      <w:r>
        <w:rPr>
          <w:noProof/>
        </w:rPr>
        <w:fldChar w:fldCharType="begin"/>
      </w:r>
      <w:r>
        <w:rPr>
          <w:noProof/>
        </w:rPr>
        <w:instrText xml:space="preserve"> PAGEREF _Toc242103251 \h </w:instrText>
      </w:r>
      <w:r>
        <w:rPr>
          <w:noProof/>
        </w:rPr>
      </w:r>
      <w:r>
        <w:rPr>
          <w:noProof/>
        </w:rPr>
        <w:fldChar w:fldCharType="separate"/>
      </w:r>
      <w:r>
        <w:rPr>
          <w:noProof/>
        </w:rPr>
        <w:t>9</w:t>
      </w:r>
      <w:r>
        <w:rPr>
          <w:noProof/>
        </w:rPr>
        <w:fldChar w:fldCharType="end"/>
      </w:r>
    </w:p>
    <w:p w14:paraId="052E4099" w14:textId="235F3A4A"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place du document C dans l’ensemble</w:t>
      </w:r>
      <w:r>
        <w:rPr>
          <w:noProof/>
        </w:rPr>
        <w:tab/>
      </w:r>
      <w:r>
        <w:rPr>
          <w:noProof/>
        </w:rPr>
        <w:fldChar w:fldCharType="begin"/>
      </w:r>
      <w:r>
        <w:rPr>
          <w:noProof/>
        </w:rPr>
        <w:instrText xml:space="preserve"> PAGEREF _Toc242103252 \h </w:instrText>
      </w:r>
      <w:r>
        <w:rPr>
          <w:noProof/>
        </w:rPr>
      </w:r>
      <w:r>
        <w:rPr>
          <w:noProof/>
        </w:rPr>
        <w:fldChar w:fldCharType="separate"/>
      </w:r>
      <w:r>
        <w:rPr>
          <w:noProof/>
        </w:rPr>
        <w:t>9</w:t>
      </w:r>
      <w:r>
        <w:rPr>
          <w:noProof/>
        </w:rPr>
        <w:fldChar w:fldCharType="end"/>
      </w:r>
    </w:p>
    <w:p w14:paraId="5A70D285" w14:textId="6DC96816"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I. L’être humain</w:t>
      </w:r>
      <w:r>
        <w:rPr>
          <w:noProof/>
        </w:rPr>
        <w:tab/>
      </w:r>
      <w:r>
        <w:rPr>
          <w:noProof/>
        </w:rPr>
        <w:fldChar w:fldCharType="begin"/>
      </w:r>
      <w:r>
        <w:rPr>
          <w:noProof/>
        </w:rPr>
        <w:instrText xml:space="preserve"> PAGEREF _Toc242103253 \h </w:instrText>
      </w:r>
      <w:r>
        <w:rPr>
          <w:noProof/>
        </w:rPr>
      </w:r>
      <w:r>
        <w:rPr>
          <w:noProof/>
        </w:rPr>
        <w:fldChar w:fldCharType="separate"/>
      </w:r>
      <w:r>
        <w:rPr>
          <w:noProof/>
        </w:rPr>
        <w:t>11</w:t>
      </w:r>
      <w:r>
        <w:rPr>
          <w:noProof/>
        </w:rPr>
        <w:fldChar w:fldCharType="end"/>
      </w:r>
    </w:p>
    <w:p w14:paraId="35492736" w14:textId="2F9B33AA"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présentation</w:t>
      </w:r>
      <w:r>
        <w:rPr>
          <w:noProof/>
        </w:rPr>
        <w:tab/>
      </w:r>
      <w:r>
        <w:rPr>
          <w:noProof/>
        </w:rPr>
        <w:fldChar w:fldCharType="begin"/>
      </w:r>
      <w:r>
        <w:rPr>
          <w:noProof/>
        </w:rPr>
        <w:instrText xml:space="preserve"> PAGEREF _Toc242103254 \h </w:instrText>
      </w:r>
      <w:r>
        <w:rPr>
          <w:noProof/>
        </w:rPr>
      </w:r>
      <w:r>
        <w:rPr>
          <w:noProof/>
        </w:rPr>
        <w:fldChar w:fldCharType="separate"/>
      </w:r>
      <w:r>
        <w:rPr>
          <w:noProof/>
        </w:rPr>
        <w:t>11</w:t>
      </w:r>
      <w:r>
        <w:rPr>
          <w:noProof/>
        </w:rPr>
        <w:fldChar w:fldCharType="end"/>
      </w:r>
    </w:p>
    <w:p w14:paraId="527215DD" w14:textId="2182BFF8"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I-A — La structure</w:t>
      </w:r>
      <w:r>
        <w:rPr>
          <w:noProof/>
        </w:rPr>
        <w:tab/>
      </w:r>
      <w:r>
        <w:rPr>
          <w:noProof/>
        </w:rPr>
        <w:fldChar w:fldCharType="begin"/>
      </w:r>
      <w:r>
        <w:rPr>
          <w:noProof/>
        </w:rPr>
        <w:instrText xml:space="preserve"> PAGEREF _Toc242103255 \h </w:instrText>
      </w:r>
      <w:r>
        <w:rPr>
          <w:noProof/>
        </w:rPr>
      </w:r>
      <w:r>
        <w:rPr>
          <w:noProof/>
        </w:rPr>
        <w:fldChar w:fldCharType="separate"/>
      </w:r>
      <w:r>
        <w:rPr>
          <w:noProof/>
        </w:rPr>
        <w:t>11</w:t>
      </w:r>
      <w:r>
        <w:rPr>
          <w:noProof/>
        </w:rPr>
        <w:fldChar w:fldCharType="end"/>
      </w:r>
    </w:p>
    <w:p w14:paraId="7DBD918E" w14:textId="447F884F"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I-B — Les acteurs</w:t>
      </w:r>
      <w:r>
        <w:rPr>
          <w:noProof/>
        </w:rPr>
        <w:tab/>
      </w:r>
      <w:r>
        <w:rPr>
          <w:noProof/>
        </w:rPr>
        <w:fldChar w:fldCharType="begin"/>
      </w:r>
      <w:r>
        <w:rPr>
          <w:noProof/>
        </w:rPr>
        <w:instrText xml:space="preserve"> PAGEREF _Toc242103256 \h </w:instrText>
      </w:r>
      <w:r>
        <w:rPr>
          <w:noProof/>
        </w:rPr>
      </w:r>
      <w:r>
        <w:rPr>
          <w:noProof/>
        </w:rPr>
        <w:fldChar w:fldCharType="separate"/>
      </w:r>
      <w:r>
        <w:rPr>
          <w:noProof/>
        </w:rPr>
        <w:t>14</w:t>
      </w:r>
      <w:r>
        <w:rPr>
          <w:noProof/>
        </w:rPr>
        <w:fldChar w:fldCharType="end"/>
      </w:r>
    </w:p>
    <w:p w14:paraId="6C85DF5B" w14:textId="5FF4485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I-C — Les relations</w:t>
      </w:r>
      <w:r>
        <w:rPr>
          <w:noProof/>
        </w:rPr>
        <w:tab/>
      </w:r>
      <w:r>
        <w:rPr>
          <w:noProof/>
        </w:rPr>
        <w:fldChar w:fldCharType="begin"/>
      </w:r>
      <w:r>
        <w:rPr>
          <w:noProof/>
        </w:rPr>
        <w:instrText xml:space="preserve"> PAGEREF _Toc242103257 \h </w:instrText>
      </w:r>
      <w:r>
        <w:rPr>
          <w:noProof/>
        </w:rPr>
      </w:r>
      <w:r>
        <w:rPr>
          <w:noProof/>
        </w:rPr>
        <w:fldChar w:fldCharType="separate"/>
      </w:r>
      <w:r>
        <w:rPr>
          <w:noProof/>
        </w:rPr>
        <w:t>23</w:t>
      </w:r>
      <w:r>
        <w:rPr>
          <w:noProof/>
        </w:rPr>
        <w:fldChar w:fldCharType="end"/>
      </w:r>
    </w:p>
    <w:p w14:paraId="66D6A01D" w14:textId="0564F68D"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cascade</w:t>
      </w:r>
      <w:r>
        <w:rPr>
          <w:noProof/>
        </w:rPr>
        <w:tab/>
      </w:r>
      <w:r>
        <w:rPr>
          <w:noProof/>
        </w:rPr>
        <w:fldChar w:fldCharType="begin"/>
      </w:r>
      <w:r>
        <w:rPr>
          <w:noProof/>
        </w:rPr>
        <w:instrText xml:space="preserve"> PAGEREF _Toc242103258 \h </w:instrText>
      </w:r>
      <w:r>
        <w:rPr>
          <w:noProof/>
        </w:rPr>
      </w:r>
      <w:r>
        <w:rPr>
          <w:noProof/>
        </w:rPr>
        <w:fldChar w:fldCharType="separate"/>
      </w:r>
      <w:r>
        <w:rPr>
          <w:noProof/>
        </w:rPr>
        <w:t>26</w:t>
      </w:r>
      <w:r>
        <w:rPr>
          <w:noProof/>
        </w:rPr>
        <w:fldChar w:fldCharType="end"/>
      </w:r>
    </w:p>
    <w:p w14:paraId="52C974B1" w14:textId="06D845DE"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Cadre 1 — Le déclencheur</w:t>
      </w:r>
      <w:r>
        <w:rPr>
          <w:noProof/>
        </w:rPr>
        <w:tab/>
      </w:r>
      <w:r>
        <w:rPr>
          <w:noProof/>
        </w:rPr>
        <w:fldChar w:fldCharType="begin"/>
      </w:r>
      <w:r>
        <w:rPr>
          <w:noProof/>
        </w:rPr>
        <w:instrText xml:space="preserve"> PAGEREF _Toc242103259 \h </w:instrText>
      </w:r>
      <w:r>
        <w:rPr>
          <w:noProof/>
        </w:rPr>
      </w:r>
      <w:r>
        <w:rPr>
          <w:noProof/>
        </w:rPr>
        <w:fldChar w:fldCharType="separate"/>
      </w:r>
      <w:r>
        <w:rPr>
          <w:noProof/>
        </w:rPr>
        <w:t>26</w:t>
      </w:r>
      <w:r>
        <w:rPr>
          <w:noProof/>
        </w:rPr>
        <w:fldChar w:fldCharType="end"/>
      </w:r>
    </w:p>
    <w:p w14:paraId="158E8352" w14:textId="60607B2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Cadre 2 — Ce qui continue de couler</w:t>
      </w:r>
      <w:r>
        <w:rPr>
          <w:noProof/>
        </w:rPr>
        <w:tab/>
      </w:r>
      <w:r>
        <w:rPr>
          <w:noProof/>
        </w:rPr>
        <w:fldChar w:fldCharType="begin"/>
      </w:r>
      <w:r>
        <w:rPr>
          <w:noProof/>
        </w:rPr>
        <w:instrText xml:space="preserve"> PAGEREF _Toc242103260 \h </w:instrText>
      </w:r>
      <w:r>
        <w:rPr>
          <w:noProof/>
        </w:rPr>
      </w:r>
      <w:r>
        <w:rPr>
          <w:noProof/>
        </w:rPr>
        <w:fldChar w:fldCharType="separate"/>
      </w:r>
      <w:r>
        <w:rPr>
          <w:noProof/>
        </w:rPr>
        <w:t>26</w:t>
      </w:r>
      <w:r>
        <w:rPr>
          <w:noProof/>
        </w:rPr>
        <w:fldChar w:fldCharType="end"/>
      </w:r>
    </w:p>
    <w:p w14:paraId="17508C2D" w14:textId="339870FE"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Cadre 3 — Ce qui s'écoule</w:t>
      </w:r>
      <w:r>
        <w:rPr>
          <w:noProof/>
        </w:rPr>
        <w:tab/>
      </w:r>
      <w:r>
        <w:rPr>
          <w:noProof/>
        </w:rPr>
        <w:fldChar w:fldCharType="begin"/>
      </w:r>
      <w:r>
        <w:rPr>
          <w:noProof/>
        </w:rPr>
        <w:instrText xml:space="preserve"> PAGEREF _Toc242103261 \h </w:instrText>
      </w:r>
      <w:r>
        <w:rPr>
          <w:noProof/>
        </w:rPr>
      </w:r>
      <w:r>
        <w:rPr>
          <w:noProof/>
        </w:rPr>
        <w:fldChar w:fldCharType="separate"/>
      </w:r>
      <w:r>
        <w:rPr>
          <w:noProof/>
        </w:rPr>
        <w:t>26</w:t>
      </w:r>
      <w:r>
        <w:rPr>
          <w:noProof/>
        </w:rPr>
        <w:fldChar w:fldCharType="end"/>
      </w:r>
    </w:p>
    <w:p w14:paraId="081E5459" w14:textId="2B45F7F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Cadre 4 — Ce qui n’entre pas</w:t>
      </w:r>
      <w:r>
        <w:rPr>
          <w:noProof/>
        </w:rPr>
        <w:tab/>
      </w:r>
      <w:r>
        <w:rPr>
          <w:noProof/>
        </w:rPr>
        <w:fldChar w:fldCharType="begin"/>
      </w:r>
      <w:r>
        <w:rPr>
          <w:noProof/>
        </w:rPr>
        <w:instrText xml:space="preserve"> PAGEREF _Toc242103262 \h </w:instrText>
      </w:r>
      <w:r>
        <w:rPr>
          <w:noProof/>
        </w:rPr>
      </w:r>
      <w:r>
        <w:rPr>
          <w:noProof/>
        </w:rPr>
        <w:fldChar w:fldCharType="separate"/>
      </w:r>
      <w:r>
        <w:rPr>
          <w:noProof/>
        </w:rPr>
        <w:t>27</w:t>
      </w:r>
      <w:r>
        <w:rPr>
          <w:noProof/>
        </w:rPr>
        <w:fldChar w:fldCharType="end"/>
      </w:r>
    </w:p>
    <w:p w14:paraId="0E967E14" w14:textId="18DA2A5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Cadre 5 — Le résultat</w:t>
      </w:r>
      <w:r>
        <w:rPr>
          <w:noProof/>
        </w:rPr>
        <w:tab/>
      </w:r>
      <w:r>
        <w:rPr>
          <w:noProof/>
        </w:rPr>
        <w:fldChar w:fldCharType="begin"/>
      </w:r>
      <w:r>
        <w:rPr>
          <w:noProof/>
        </w:rPr>
        <w:instrText xml:space="preserve"> PAGEREF _Toc242103263 \h </w:instrText>
      </w:r>
      <w:r>
        <w:rPr>
          <w:noProof/>
        </w:rPr>
      </w:r>
      <w:r>
        <w:rPr>
          <w:noProof/>
        </w:rPr>
        <w:fldChar w:fldCharType="separate"/>
      </w:r>
      <w:r>
        <w:rPr>
          <w:noProof/>
        </w:rPr>
        <w:t>27</w:t>
      </w:r>
      <w:r>
        <w:rPr>
          <w:noProof/>
        </w:rPr>
        <w:fldChar w:fldCharType="end"/>
      </w:r>
    </w:p>
    <w:p w14:paraId="3E6F6B08" w14:textId="32556529"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II. Belgique</w:t>
      </w:r>
      <w:r>
        <w:rPr>
          <w:noProof/>
        </w:rPr>
        <w:tab/>
      </w:r>
      <w:r>
        <w:rPr>
          <w:noProof/>
        </w:rPr>
        <w:fldChar w:fldCharType="begin"/>
      </w:r>
      <w:r>
        <w:rPr>
          <w:noProof/>
        </w:rPr>
        <w:instrText xml:space="preserve"> PAGEREF _Toc242103264 \h </w:instrText>
      </w:r>
      <w:r>
        <w:rPr>
          <w:noProof/>
        </w:rPr>
      </w:r>
      <w:r>
        <w:rPr>
          <w:noProof/>
        </w:rPr>
        <w:fldChar w:fldCharType="separate"/>
      </w:r>
      <w:r>
        <w:rPr>
          <w:noProof/>
        </w:rPr>
        <w:t>29</w:t>
      </w:r>
      <w:r>
        <w:rPr>
          <w:noProof/>
        </w:rPr>
        <w:fldChar w:fldCharType="end"/>
      </w:r>
    </w:p>
    <w:p w14:paraId="5369DA5C" w14:textId="4A41E504"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caisses et les ventes liées</w:t>
      </w:r>
      <w:r>
        <w:rPr>
          <w:noProof/>
        </w:rPr>
        <w:tab/>
      </w:r>
      <w:r>
        <w:rPr>
          <w:noProof/>
        </w:rPr>
        <w:fldChar w:fldCharType="begin"/>
      </w:r>
      <w:r>
        <w:rPr>
          <w:noProof/>
        </w:rPr>
        <w:instrText xml:space="preserve"> PAGEREF _Toc242103265 \h </w:instrText>
      </w:r>
      <w:r>
        <w:rPr>
          <w:noProof/>
        </w:rPr>
      </w:r>
      <w:r>
        <w:rPr>
          <w:noProof/>
        </w:rPr>
        <w:fldChar w:fldCharType="separate"/>
      </w:r>
      <w:r>
        <w:rPr>
          <w:noProof/>
        </w:rPr>
        <w:t>29</w:t>
      </w:r>
      <w:r>
        <w:rPr>
          <w:noProof/>
        </w:rPr>
        <w:fldChar w:fldCharType="end"/>
      </w:r>
    </w:p>
    <w:p w14:paraId="1EEAEE11" w14:textId="1C5FC57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II-A — Les sources de revenus</w:t>
      </w:r>
      <w:r>
        <w:rPr>
          <w:noProof/>
        </w:rPr>
        <w:tab/>
      </w:r>
      <w:r>
        <w:rPr>
          <w:noProof/>
        </w:rPr>
        <w:fldChar w:fldCharType="begin"/>
      </w:r>
      <w:r>
        <w:rPr>
          <w:noProof/>
        </w:rPr>
        <w:instrText xml:space="preserve"> PAGEREF _Toc242103266 \h </w:instrText>
      </w:r>
      <w:r>
        <w:rPr>
          <w:noProof/>
        </w:rPr>
      </w:r>
      <w:r>
        <w:rPr>
          <w:noProof/>
        </w:rPr>
        <w:fldChar w:fldCharType="separate"/>
      </w:r>
      <w:r>
        <w:rPr>
          <w:noProof/>
        </w:rPr>
        <w:t>29</w:t>
      </w:r>
      <w:r>
        <w:rPr>
          <w:noProof/>
        </w:rPr>
        <w:fldChar w:fldCharType="end"/>
      </w:r>
    </w:p>
    <w:p w14:paraId="35BBB235" w14:textId="40022D5D"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II-B — La vente liée</w:t>
      </w:r>
      <w:r>
        <w:rPr>
          <w:noProof/>
        </w:rPr>
        <w:tab/>
      </w:r>
      <w:r>
        <w:rPr>
          <w:noProof/>
        </w:rPr>
        <w:fldChar w:fldCharType="begin"/>
      </w:r>
      <w:r>
        <w:rPr>
          <w:noProof/>
        </w:rPr>
        <w:instrText xml:space="preserve"> PAGEREF _Toc242103267 \h </w:instrText>
      </w:r>
      <w:r>
        <w:rPr>
          <w:noProof/>
        </w:rPr>
      </w:r>
      <w:r>
        <w:rPr>
          <w:noProof/>
        </w:rPr>
        <w:fldChar w:fldCharType="separate"/>
      </w:r>
      <w:r>
        <w:rPr>
          <w:noProof/>
        </w:rPr>
        <w:t>33</w:t>
      </w:r>
      <w:r>
        <w:rPr>
          <w:noProof/>
        </w:rPr>
        <w:fldChar w:fldCharType="end"/>
      </w:r>
    </w:p>
    <w:p w14:paraId="7CB05F49" w14:textId="4BCCC53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II-C — Les quatre « catch-22 »</w:t>
      </w:r>
      <w:r>
        <w:rPr>
          <w:noProof/>
        </w:rPr>
        <w:tab/>
      </w:r>
      <w:r>
        <w:rPr>
          <w:noProof/>
        </w:rPr>
        <w:fldChar w:fldCharType="begin"/>
      </w:r>
      <w:r>
        <w:rPr>
          <w:noProof/>
        </w:rPr>
        <w:instrText xml:space="preserve"> PAGEREF _Toc242103268 \h </w:instrText>
      </w:r>
      <w:r>
        <w:rPr>
          <w:noProof/>
        </w:rPr>
      </w:r>
      <w:r>
        <w:rPr>
          <w:noProof/>
        </w:rPr>
        <w:fldChar w:fldCharType="separate"/>
      </w:r>
      <w:r>
        <w:rPr>
          <w:noProof/>
        </w:rPr>
        <w:t>34</w:t>
      </w:r>
      <w:r>
        <w:rPr>
          <w:noProof/>
        </w:rPr>
        <w:fldChar w:fldCharType="end"/>
      </w:r>
    </w:p>
    <w:p w14:paraId="15447107" w14:textId="49AD1A08"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précise ce chapitre</w:t>
      </w:r>
      <w:r>
        <w:rPr>
          <w:noProof/>
        </w:rPr>
        <w:tab/>
      </w:r>
      <w:r>
        <w:rPr>
          <w:noProof/>
        </w:rPr>
        <w:fldChar w:fldCharType="begin"/>
      </w:r>
      <w:r>
        <w:rPr>
          <w:noProof/>
        </w:rPr>
        <w:instrText xml:space="preserve"> PAGEREF _Toc242103269 \h </w:instrText>
      </w:r>
      <w:r>
        <w:rPr>
          <w:noProof/>
        </w:rPr>
      </w:r>
      <w:r>
        <w:rPr>
          <w:noProof/>
        </w:rPr>
        <w:fldChar w:fldCharType="separate"/>
      </w:r>
      <w:r>
        <w:rPr>
          <w:noProof/>
        </w:rPr>
        <w:t>36</w:t>
      </w:r>
      <w:r>
        <w:rPr>
          <w:noProof/>
        </w:rPr>
        <w:fldChar w:fldCharType="end"/>
      </w:r>
    </w:p>
    <w:p w14:paraId="7DB0D69B" w14:textId="1A3836BF"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Constatation et décision</w:t>
      </w:r>
      <w:r>
        <w:rPr>
          <w:noProof/>
        </w:rPr>
        <w:tab/>
      </w:r>
      <w:r>
        <w:rPr>
          <w:noProof/>
        </w:rPr>
        <w:fldChar w:fldCharType="begin"/>
      </w:r>
      <w:r>
        <w:rPr>
          <w:noProof/>
        </w:rPr>
        <w:instrText xml:space="preserve"> PAGEREF _Toc242103270 \h </w:instrText>
      </w:r>
      <w:r>
        <w:rPr>
          <w:noProof/>
        </w:rPr>
      </w:r>
      <w:r>
        <w:rPr>
          <w:noProof/>
        </w:rPr>
        <w:fldChar w:fldCharType="separate"/>
      </w:r>
      <w:r>
        <w:rPr>
          <w:noProof/>
        </w:rPr>
        <w:t>37</w:t>
      </w:r>
      <w:r>
        <w:rPr>
          <w:noProof/>
        </w:rPr>
        <w:fldChar w:fldCharType="end"/>
      </w:r>
    </w:p>
    <w:p w14:paraId="0425F9F0" w14:textId="10922CF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cinq avis</w:t>
      </w:r>
      <w:r>
        <w:rPr>
          <w:noProof/>
        </w:rPr>
        <w:tab/>
      </w:r>
      <w:r>
        <w:rPr>
          <w:noProof/>
        </w:rPr>
        <w:fldChar w:fldCharType="begin"/>
      </w:r>
      <w:r>
        <w:rPr>
          <w:noProof/>
        </w:rPr>
        <w:instrText xml:space="preserve"> PAGEREF _Toc242103271 \h </w:instrText>
      </w:r>
      <w:r>
        <w:rPr>
          <w:noProof/>
        </w:rPr>
      </w:r>
      <w:r>
        <w:rPr>
          <w:noProof/>
        </w:rPr>
        <w:fldChar w:fldCharType="separate"/>
      </w:r>
      <w:r>
        <w:rPr>
          <w:noProof/>
        </w:rPr>
        <w:t>37</w:t>
      </w:r>
      <w:r>
        <w:rPr>
          <w:noProof/>
        </w:rPr>
        <w:fldChar w:fldCharType="end"/>
      </w:r>
    </w:p>
    <w:p w14:paraId="3FF228F4" w14:textId="2032569F"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Deux décideurs, un seul mécanisme</w:t>
      </w:r>
      <w:r>
        <w:rPr>
          <w:noProof/>
        </w:rPr>
        <w:tab/>
      </w:r>
      <w:r>
        <w:rPr>
          <w:noProof/>
        </w:rPr>
        <w:fldChar w:fldCharType="begin"/>
      </w:r>
      <w:r>
        <w:rPr>
          <w:noProof/>
        </w:rPr>
        <w:instrText xml:space="preserve"> PAGEREF _Toc242103272 \h </w:instrText>
      </w:r>
      <w:r>
        <w:rPr>
          <w:noProof/>
        </w:rPr>
      </w:r>
      <w:r>
        <w:rPr>
          <w:noProof/>
        </w:rPr>
        <w:fldChar w:fldCharType="separate"/>
      </w:r>
      <w:r>
        <w:rPr>
          <w:noProof/>
        </w:rPr>
        <w:t>37</w:t>
      </w:r>
      <w:r>
        <w:rPr>
          <w:noProof/>
        </w:rPr>
        <w:fldChar w:fldCharType="end"/>
      </w:r>
    </w:p>
    <w:p w14:paraId="4819FE65" w14:textId="7176123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schéma commun</w:t>
      </w:r>
      <w:r>
        <w:rPr>
          <w:noProof/>
        </w:rPr>
        <w:tab/>
      </w:r>
      <w:r>
        <w:rPr>
          <w:noProof/>
        </w:rPr>
        <w:fldChar w:fldCharType="begin"/>
      </w:r>
      <w:r>
        <w:rPr>
          <w:noProof/>
        </w:rPr>
        <w:instrText xml:space="preserve"> PAGEREF _Toc242103273 \h </w:instrText>
      </w:r>
      <w:r>
        <w:rPr>
          <w:noProof/>
        </w:rPr>
      </w:r>
      <w:r>
        <w:rPr>
          <w:noProof/>
        </w:rPr>
        <w:fldChar w:fldCharType="separate"/>
      </w:r>
      <w:r>
        <w:rPr>
          <w:noProof/>
        </w:rPr>
        <w:t>38</w:t>
      </w:r>
      <w:r>
        <w:rPr>
          <w:noProof/>
        </w:rPr>
        <w:fldChar w:fldCharType="end"/>
      </w:r>
    </w:p>
    <w:p w14:paraId="284135CB" w14:textId="458FD490"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L’escalier Parentia</w:t>
      </w:r>
      <w:r>
        <w:rPr>
          <w:noProof/>
        </w:rPr>
        <w:tab/>
      </w:r>
      <w:r>
        <w:rPr>
          <w:noProof/>
        </w:rPr>
        <w:fldChar w:fldCharType="begin"/>
      </w:r>
      <w:r>
        <w:rPr>
          <w:noProof/>
        </w:rPr>
        <w:instrText xml:space="preserve"> PAGEREF _Toc242103274 \h </w:instrText>
      </w:r>
      <w:r>
        <w:rPr>
          <w:noProof/>
        </w:rPr>
      </w:r>
      <w:r>
        <w:rPr>
          <w:noProof/>
        </w:rPr>
        <w:fldChar w:fldCharType="separate"/>
      </w:r>
      <w:r>
        <w:rPr>
          <w:noProof/>
        </w:rPr>
        <w:t>39</w:t>
      </w:r>
      <w:r>
        <w:rPr>
          <w:noProof/>
        </w:rPr>
        <w:fldChar w:fldCharType="end"/>
      </w:r>
    </w:p>
    <w:p w14:paraId="68B98310" w14:textId="50E173C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Niveau 1 — Le blocage de la BCSS</w:t>
      </w:r>
      <w:r>
        <w:rPr>
          <w:noProof/>
        </w:rPr>
        <w:tab/>
      </w:r>
      <w:r>
        <w:rPr>
          <w:noProof/>
        </w:rPr>
        <w:fldChar w:fldCharType="begin"/>
      </w:r>
      <w:r>
        <w:rPr>
          <w:noProof/>
        </w:rPr>
        <w:instrText xml:space="preserve"> PAGEREF _Toc242103275 \h </w:instrText>
      </w:r>
      <w:r>
        <w:rPr>
          <w:noProof/>
        </w:rPr>
      </w:r>
      <w:r>
        <w:rPr>
          <w:noProof/>
        </w:rPr>
        <w:fldChar w:fldCharType="separate"/>
      </w:r>
      <w:r>
        <w:rPr>
          <w:noProof/>
        </w:rPr>
        <w:t>39</w:t>
      </w:r>
      <w:r>
        <w:rPr>
          <w:noProof/>
        </w:rPr>
        <w:fldChar w:fldCharType="end"/>
      </w:r>
    </w:p>
    <w:p w14:paraId="2FE5E03E" w14:textId="4035580A"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Niveau 2 — Le contournement est accepté</w:t>
      </w:r>
      <w:r>
        <w:rPr>
          <w:noProof/>
        </w:rPr>
        <w:tab/>
      </w:r>
      <w:r>
        <w:rPr>
          <w:noProof/>
        </w:rPr>
        <w:fldChar w:fldCharType="begin"/>
      </w:r>
      <w:r>
        <w:rPr>
          <w:noProof/>
        </w:rPr>
        <w:instrText xml:space="preserve"> PAGEREF _Toc242103276 \h </w:instrText>
      </w:r>
      <w:r>
        <w:rPr>
          <w:noProof/>
        </w:rPr>
      </w:r>
      <w:r>
        <w:rPr>
          <w:noProof/>
        </w:rPr>
        <w:fldChar w:fldCharType="separate"/>
      </w:r>
      <w:r>
        <w:rPr>
          <w:noProof/>
        </w:rPr>
        <w:t>39</w:t>
      </w:r>
      <w:r>
        <w:rPr>
          <w:noProof/>
        </w:rPr>
        <w:fldChar w:fldCharType="end"/>
      </w:r>
    </w:p>
    <w:p w14:paraId="20D885CA" w14:textId="0E9BA578"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Niveau 3 — Le refus de prise en charge</w:t>
      </w:r>
      <w:r>
        <w:rPr>
          <w:noProof/>
        </w:rPr>
        <w:tab/>
      </w:r>
      <w:r>
        <w:rPr>
          <w:noProof/>
        </w:rPr>
        <w:fldChar w:fldCharType="begin"/>
      </w:r>
      <w:r>
        <w:rPr>
          <w:noProof/>
        </w:rPr>
        <w:instrText xml:space="preserve"> PAGEREF _Toc242103277 \h </w:instrText>
      </w:r>
      <w:r>
        <w:rPr>
          <w:noProof/>
        </w:rPr>
      </w:r>
      <w:r>
        <w:rPr>
          <w:noProof/>
        </w:rPr>
        <w:fldChar w:fldCharType="separate"/>
      </w:r>
      <w:r>
        <w:rPr>
          <w:noProof/>
        </w:rPr>
        <w:t>39</w:t>
      </w:r>
      <w:r>
        <w:rPr>
          <w:noProof/>
        </w:rPr>
        <w:fldChar w:fldCharType="end"/>
      </w:r>
    </w:p>
    <w:p w14:paraId="2D915300" w14:textId="4B30D1D8"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schéma se répète</w:t>
      </w:r>
      <w:r>
        <w:rPr>
          <w:noProof/>
        </w:rPr>
        <w:tab/>
      </w:r>
      <w:r>
        <w:rPr>
          <w:noProof/>
        </w:rPr>
        <w:fldChar w:fldCharType="begin"/>
      </w:r>
      <w:r>
        <w:rPr>
          <w:noProof/>
        </w:rPr>
        <w:instrText xml:space="preserve"> PAGEREF _Toc242103278 \h </w:instrText>
      </w:r>
      <w:r>
        <w:rPr>
          <w:noProof/>
        </w:rPr>
      </w:r>
      <w:r>
        <w:rPr>
          <w:noProof/>
        </w:rPr>
        <w:fldChar w:fldCharType="separate"/>
      </w:r>
      <w:r>
        <w:rPr>
          <w:noProof/>
        </w:rPr>
        <w:t>40</w:t>
      </w:r>
      <w:r>
        <w:rPr>
          <w:noProof/>
        </w:rPr>
        <w:fldChar w:fldCharType="end"/>
      </w:r>
    </w:p>
    <w:p w14:paraId="3B29FED1" w14:textId="0E9687F9"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parcours fiscal belge</w:t>
      </w:r>
      <w:r>
        <w:rPr>
          <w:noProof/>
        </w:rPr>
        <w:tab/>
      </w:r>
      <w:r>
        <w:rPr>
          <w:noProof/>
        </w:rPr>
        <w:fldChar w:fldCharType="begin"/>
      </w:r>
      <w:r>
        <w:rPr>
          <w:noProof/>
        </w:rPr>
        <w:instrText xml:space="preserve"> PAGEREF _Toc242103279 \h </w:instrText>
      </w:r>
      <w:r>
        <w:rPr>
          <w:noProof/>
        </w:rPr>
      </w:r>
      <w:r>
        <w:rPr>
          <w:noProof/>
        </w:rPr>
        <w:fldChar w:fldCharType="separate"/>
      </w:r>
      <w:r>
        <w:rPr>
          <w:noProof/>
        </w:rPr>
        <w:t>41</w:t>
      </w:r>
      <w:r>
        <w:rPr>
          <w:noProof/>
        </w:rPr>
        <w:fldChar w:fldCharType="end"/>
      </w:r>
    </w:p>
    <w:p w14:paraId="55216D45" w14:textId="6ECBA5C8"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Ce qui fonctionne</w:t>
      </w:r>
      <w:r>
        <w:rPr>
          <w:noProof/>
        </w:rPr>
        <w:tab/>
      </w:r>
      <w:r>
        <w:rPr>
          <w:noProof/>
        </w:rPr>
        <w:fldChar w:fldCharType="begin"/>
      </w:r>
      <w:r>
        <w:rPr>
          <w:noProof/>
        </w:rPr>
        <w:instrText xml:space="preserve"> PAGEREF _Toc242103280 \h </w:instrText>
      </w:r>
      <w:r>
        <w:rPr>
          <w:noProof/>
        </w:rPr>
      </w:r>
      <w:r>
        <w:rPr>
          <w:noProof/>
        </w:rPr>
        <w:fldChar w:fldCharType="separate"/>
      </w:r>
      <w:r>
        <w:rPr>
          <w:noProof/>
        </w:rPr>
        <w:t>41</w:t>
      </w:r>
      <w:r>
        <w:rPr>
          <w:noProof/>
        </w:rPr>
        <w:fldChar w:fldCharType="end"/>
      </w:r>
    </w:p>
    <w:p w14:paraId="7E69C5A2" w14:textId="43AF86C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 contournement de l’abattement fiscal majoré</w:t>
      </w:r>
      <w:r>
        <w:rPr>
          <w:noProof/>
        </w:rPr>
        <w:tab/>
      </w:r>
      <w:r>
        <w:rPr>
          <w:noProof/>
        </w:rPr>
        <w:fldChar w:fldCharType="begin"/>
      </w:r>
      <w:r>
        <w:rPr>
          <w:noProof/>
        </w:rPr>
        <w:instrText xml:space="preserve"> PAGEREF _Toc242103281 \h </w:instrText>
      </w:r>
      <w:r>
        <w:rPr>
          <w:noProof/>
        </w:rPr>
      </w:r>
      <w:r>
        <w:rPr>
          <w:noProof/>
        </w:rPr>
        <w:fldChar w:fldCharType="separate"/>
      </w:r>
      <w:r>
        <w:rPr>
          <w:noProof/>
        </w:rPr>
        <w:t>42</w:t>
      </w:r>
      <w:r>
        <w:rPr>
          <w:noProof/>
        </w:rPr>
        <w:fldChar w:fldCharType="end"/>
      </w:r>
    </w:p>
    <w:p w14:paraId="3ACFC253" w14:textId="3996BFDD"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La double confirmation</w:t>
      </w:r>
      <w:r>
        <w:rPr>
          <w:noProof/>
        </w:rPr>
        <w:tab/>
      </w:r>
      <w:r>
        <w:rPr>
          <w:noProof/>
        </w:rPr>
        <w:fldChar w:fldCharType="begin"/>
      </w:r>
      <w:r>
        <w:rPr>
          <w:noProof/>
        </w:rPr>
        <w:instrText xml:space="preserve"> PAGEREF _Toc242103282 \h </w:instrText>
      </w:r>
      <w:r>
        <w:rPr>
          <w:noProof/>
        </w:rPr>
      </w:r>
      <w:r>
        <w:rPr>
          <w:noProof/>
        </w:rPr>
        <w:fldChar w:fldCharType="separate"/>
      </w:r>
      <w:r>
        <w:rPr>
          <w:noProof/>
        </w:rPr>
        <w:t>43</w:t>
      </w:r>
      <w:r>
        <w:rPr>
          <w:noProof/>
        </w:rPr>
        <w:fldChar w:fldCharType="end"/>
      </w:r>
    </w:p>
    <w:p w14:paraId="4F5EC856" w14:textId="3E9B13B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AGODI : la cible mouvante et la conclusion finale</w:t>
      </w:r>
      <w:r>
        <w:rPr>
          <w:noProof/>
        </w:rPr>
        <w:tab/>
      </w:r>
      <w:r>
        <w:rPr>
          <w:noProof/>
        </w:rPr>
        <w:fldChar w:fldCharType="begin"/>
      </w:r>
      <w:r>
        <w:rPr>
          <w:noProof/>
        </w:rPr>
        <w:instrText xml:space="preserve"> PAGEREF _Toc242103283 \h </w:instrText>
      </w:r>
      <w:r>
        <w:rPr>
          <w:noProof/>
        </w:rPr>
      </w:r>
      <w:r>
        <w:rPr>
          <w:noProof/>
        </w:rPr>
        <w:fldChar w:fldCharType="separate"/>
      </w:r>
      <w:r>
        <w:rPr>
          <w:noProof/>
        </w:rPr>
        <w:t>44</w:t>
      </w:r>
      <w:r>
        <w:rPr>
          <w:noProof/>
        </w:rPr>
        <w:fldChar w:fldCharType="end"/>
      </w:r>
    </w:p>
    <w:p w14:paraId="02387173" w14:textId="13E81CDA"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Ce que ce chapitre établit</w:t>
      </w:r>
      <w:r>
        <w:rPr>
          <w:noProof/>
        </w:rPr>
        <w:tab/>
      </w:r>
      <w:r>
        <w:rPr>
          <w:noProof/>
        </w:rPr>
        <w:fldChar w:fldCharType="begin"/>
      </w:r>
      <w:r>
        <w:rPr>
          <w:noProof/>
        </w:rPr>
        <w:instrText xml:space="preserve"> PAGEREF _Toc242103284 \h </w:instrText>
      </w:r>
      <w:r>
        <w:rPr>
          <w:noProof/>
        </w:rPr>
      </w:r>
      <w:r>
        <w:rPr>
          <w:noProof/>
        </w:rPr>
        <w:fldChar w:fldCharType="separate"/>
      </w:r>
      <w:r>
        <w:rPr>
          <w:noProof/>
        </w:rPr>
        <w:t>45</w:t>
      </w:r>
      <w:r>
        <w:rPr>
          <w:noProof/>
        </w:rPr>
        <w:fldChar w:fldCharType="end"/>
      </w:r>
    </w:p>
    <w:p w14:paraId="4A64F2F6" w14:textId="10C7E79C"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réouverture</w:t>
      </w:r>
      <w:r>
        <w:rPr>
          <w:noProof/>
        </w:rPr>
        <w:tab/>
      </w:r>
      <w:r>
        <w:rPr>
          <w:noProof/>
        </w:rPr>
        <w:fldChar w:fldCharType="begin"/>
      </w:r>
      <w:r>
        <w:rPr>
          <w:noProof/>
        </w:rPr>
        <w:instrText xml:space="preserve"> PAGEREF _Toc242103285 \h </w:instrText>
      </w:r>
      <w:r>
        <w:rPr>
          <w:noProof/>
        </w:rPr>
      </w:r>
      <w:r>
        <w:rPr>
          <w:noProof/>
        </w:rPr>
        <w:fldChar w:fldCharType="separate"/>
      </w:r>
      <w:r>
        <w:rPr>
          <w:noProof/>
        </w:rPr>
        <w:t>47</w:t>
      </w:r>
      <w:r>
        <w:rPr>
          <w:noProof/>
        </w:rPr>
        <w:fldChar w:fldCharType="end"/>
      </w:r>
    </w:p>
    <w:p w14:paraId="1DC9AB54" w14:textId="3C700F1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dit la lettre</w:t>
      </w:r>
      <w:r>
        <w:rPr>
          <w:noProof/>
        </w:rPr>
        <w:tab/>
      </w:r>
      <w:r>
        <w:rPr>
          <w:noProof/>
        </w:rPr>
        <w:fldChar w:fldCharType="begin"/>
      </w:r>
      <w:r>
        <w:rPr>
          <w:noProof/>
        </w:rPr>
        <w:instrText xml:space="preserve"> PAGEREF _Toc242103286 \h </w:instrText>
      </w:r>
      <w:r>
        <w:rPr>
          <w:noProof/>
        </w:rPr>
      </w:r>
      <w:r>
        <w:rPr>
          <w:noProof/>
        </w:rPr>
        <w:fldChar w:fldCharType="separate"/>
      </w:r>
      <w:r>
        <w:rPr>
          <w:noProof/>
        </w:rPr>
        <w:t>47</w:t>
      </w:r>
      <w:r>
        <w:rPr>
          <w:noProof/>
        </w:rPr>
        <w:fldChar w:fldCharType="end"/>
      </w:r>
    </w:p>
    <w:p w14:paraId="5CBE6578" w14:textId="31E440E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dit le site web</w:t>
      </w:r>
      <w:r>
        <w:rPr>
          <w:noProof/>
        </w:rPr>
        <w:tab/>
      </w:r>
      <w:r>
        <w:rPr>
          <w:noProof/>
        </w:rPr>
        <w:fldChar w:fldCharType="begin"/>
      </w:r>
      <w:r>
        <w:rPr>
          <w:noProof/>
        </w:rPr>
        <w:instrText xml:space="preserve"> PAGEREF _Toc242103287 \h </w:instrText>
      </w:r>
      <w:r>
        <w:rPr>
          <w:noProof/>
        </w:rPr>
      </w:r>
      <w:r>
        <w:rPr>
          <w:noProof/>
        </w:rPr>
        <w:fldChar w:fldCharType="separate"/>
      </w:r>
      <w:r>
        <w:rPr>
          <w:noProof/>
        </w:rPr>
        <w:t>47</w:t>
      </w:r>
      <w:r>
        <w:rPr>
          <w:noProof/>
        </w:rPr>
        <w:fldChar w:fldCharType="end"/>
      </w:r>
    </w:p>
    <w:p w14:paraId="0F479007" w14:textId="67B4E38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cela apporte</w:t>
      </w:r>
      <w:r>
        <w:rPr>
          <w:noProof/>
        </w:rPr>
        <w:tab/>
      </w:r>
      <w:r>
        <w:rPr>
          <w:noProof/>
        </w:rPr>
        <w:fldChar w:fldCharType="begin"/>
      </w:r>
      <w:r>
        <w:rPr>
          <w:noProof/>
        </w:rPr>
        <w:instrText xml:space="preserve"> PAGEREF _Toc242103288 \h </w:instrText>
      </w:r>
      <w:r>
        <w:rPr>
          <w:noProof/>
        </w:rPr>
      </w:r>
      <w:r>
        <w:rPr>
          <w:noProof/>
        </w:rPr>
        <w:fldChar w:fldCharType="separate"/>
      </w:r>
      <w:r>
        <w:rPr>
          <w:noProof/>
        </w:rPr>
        <w:t>47</w:t>
      </w:r>
      <w:r>
        <w:rPr>
          <w:noProof/>
        </w:rPr>
        <w:fldChar w:fldCharType="end"/>
      </w:r>
    </w:p>
    <w:p w14:paraId="476D1171" w14:textId="75730136"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MC et les flux financiers</w:t>
      </w:r>
      <w:r>
        <w:rPr>
          <w:noProof/>
        </w:rPr>
        <w:tab/>
      </w:r>
      <w:r>
        <w:rPr>
          <w:noProof/>
        </w:rPr>
        <w:fldChar w:fldCharType="begin"/>
      </w:r>
      <w:r>
        <w:rPr>
          <w:noProof/>
        </w:rPr>
        <w:instrText xml:space="preserve"> PAGEREF _Toc242103289 \h </w:instrText>
      </w:r>
      <w:r>
        <w:rPr>
          <w:noProof/>
        </w:rPr>
      </w:r>
      <w:r>
        <w:rPr>
          <w:noProof/>
        </w:rPr>
        <w:fldChar w:fldCharType="separate"/>
      </w:r>
      <w:r>
        <w:rPr>
          <w:noProof/>
        </w:rPr>
        <w:t>49</w:t>
      </w:r>
      <w:r>
        <w:rPr>
          <w:noProof/>
        </w:rPr>
        <w:fldChar w:fldCharType="end"/>
      </w:r>
    </w:p>
    <w:p w14:paraId="3E42FF08" w14:textId="363927FA"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Les trois flux financiers</w:t>
      </w:r>
      <w:r>
        <w:rPr>
          <w:noProof/>
        </w:rPr>
        <w:tab/>
      </w:r>
      <w:r>
        <w:rPr>
          <w:noProof/>
        </w:rPr>
        <w:fldChar w:fldCharType="begin"/>
      </w:r>
      <w:r>
        <w:rPr>
          <w:noProof/>
        </w:rPr>
        <w:instrText xml:space="preserve"> PAGEREF _Toc242103290 \h </w:instrText>
      </w:r>
      <w:r>
        <w:rPr>
          <w:noProof/>
        </w:rPr>
      </w:r>
      <w:r>
        <w:rPr>
          <w:noProof/>
        </w:rPr>
        <w:fldChar w:fldCharType="separate"/>
      </w:r>
      <w:r>
        <w:rPr>
          <w:noProof/>
        </w:rPr>
        <w:t>49</w:t>
      </w:r>
      <w:r>
        <w:rPr>
          <w:noProof/>
        </w:rPr>
        <w:fldChar w:fldCharType="end"/>
      </w:r>
    </w:p>
    <w:p w14:paraId="2B3EADB9" w14:textId="7C74AABF"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La cotisation ONSS et son affectation</w:t>
      </w:r>
      <w:r>
        <w:rPr>
          <w:noProof/>
        </w:rPr>
        <w:tab/>
      </w:r>
      <w:r>
        <w:rPr>
          <w:noProof/>
        </w:rPr>
        <w:fldChar w:fldCharType="begin"/>
      </w:r>
      <w:r>
        <w:rPr>
          <w:noProof/>
        </w:rPr>
        <w:instrText xml:space="preserve"> PAGEREF _Toc242103291 \h </w:instrText>
      </w:r>
      <w:r>
        <w:rPr>
          <w:noProof/>
        </w:rPr>
      </w:r>
      <w:r>
        <w:rPr>
          <w:noProof/>
        </w:rPr>
        <w:fldChar w:fldCharType="separate"/>
      </w:r>
      <w:r>
        <w:rPr>
          <w:noProof/>
        </w:rPr>
        <w:t>49</w:t>
      </w:r>
      <w:r>
        <w:rPr>
          <w:noProof/>
        </w:rPr>
        <w:fldChar w:fldCharType="end"/>
      </w:r>
    </w:p>
    <w:p w14:paraId="1E9B678D" w14:textId="76C1985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Pourquoi les moyens auxiliaires oui et les prestations non</w:t>
      </w:r>
      <w:r>
        <w:rPr>
          <w:noProof/>
        </w:rPr>
        <w:tab/>
      </w:r>
      <w:r>
        <w:rPr>
          <w:noProof/>
        </w:rPr>
        <w:fldChar w:fldCharType="begin"/>
      </w:r>
      <w:r>
        <w:rPr>
          <w:noProof/>
        </w:rPr>
        <w:instrText xml:space="preserve"> PAGEREF _Toc242103292 \h </w:instrText>
      </w:r>
      <w:r>
        <w:rPr>
          <w:noProof/>
        </w:rPr>
      </w:r>
      <w:r>
        <w:rPr>
          <w:noProof/>
        </w:rPr>
        <w:fldChar w:fldCharType="separate"/>
      </w:r>
      <w:r>
        <w:rPr>
          <w:noProof/>
        </w:rPr>
        <w:t>50</w:t>
      </w:r>
      <w:r>
        <w:rPr>
          <w:noProof/>
        </w:rPr>
        <w:fldChar w:fldCharType="end"/>
      </w:r>
    </w:p>
    <w:p w14:paraId="4AE061CA" w14:textId="56169AA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Le OCM en tant qu’autorité de contrôle</w:t>
      </w:r>
      <w:r>
        <w:rPr>
          <w:noProof/>
        </w:rPr>
        <w:tab/>
      </w:r>
      <w:r>
        <w:rPr>
          <w:noProof/>
        </w:rPr>
        <w:fldChar w:fldCharType="begin"/>
      </w:r>
      <w:r>
        <w:rPr>
          <w:noProof/>
        </w:rPr>
        <w:instrText xml:space="preserve"> PAGEREF _Toc242103293 \h </w:instrText>
      </w:r>
      <w:r>
        <w:rPr>
          <w:noProof/>
        </w:rPr>
      </w:r>
      <w:r>
        <w:rPr>
          <w:noProof/>
        </w:rPr>
        <w:fldChar w:fldCharType="separate"/>
      </w:r>
      <w:r>
        <w:rPr>
          <w:noProof/>
        </w:rPr>
        <w:t>50</w:t>
      </w:r>
      <w:r>
        <w:rPr>
          <w:noProof/>
        </w:rPr>
        <w:fldChar w:fldCharType="end"/>
      </w:r>
    </w:p>
    <w:p w14:paraId="1D146CDC" w14:textId="495626B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L’Auditorat du travail : qui contrôle le contrôleur ?</w:t>
      </w:r>
      <w:r>
        <w:rPr>
          <w:noProof/>
        </w:rPr>
        <w:tab/>
      </w:r>
      <w:r>
        <w:rPr>
          <w:noProof/>
        </w:rPr>
        <w:fldChar w:fldCharType="begin"/>
      </w:r>
      <w:r>
        <w:rPr>
          <w:noProof/>
        </w:rPr>
        <w:instrText xml:space="preserve"> PAGEREF _Toc242103294 \h </w:instrText>
      </w:r>
      <w:r>
        <w:rPr>
          <w:noProof/>
        </w:rPr>
      </w:r>
      <w:r>
        <w:rPr>
          <w:noProof/>
        </w:rPr>
        <w:fldChar w:fldCharType="separate"/>
      </w:r>
      <w:r>
        <w:rPr>
          <w:noProof/>
        </w:rPr>
        <w:t>51</w:t>
      </w:r>
      <w:r>
        <w:rPr>
          <w:noProof/>
        </w:rPr>
        <w:fldChar w:fldCharType="end"/>
      </w:r>
    </w:p>
    <w:p w14:paraId="33A0EBAB" w14:textId="4D0C5D4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F — L’Ordre des médecins : le droit disciplinaire à l’encontre du médecin-conseil</w:t>
      </w:r>
      <w:r>
        <w:rPr>
          <w:noProof/>
        </w:rPr>
        <w:tab/>
      </w:r>
      <w:r>
        <w:rPr>
          <w:noProof/>
        </w:rPr>
        <w:fldChar w:fldCharType="begin"/>
      </w:r>
      <w:r>
        <w:rPr>
          <w:noProof/>
        </w:rPr>
        <w:instrText xml:space="preserve"> PAGEREF _Toc242103295 \h </w:instrText>
      </w:r>
      <w:r>
        <w:rPr>
          <w:noProof/>
        </w:rPr>
      </w:r>
      <w:r>
        <w:rPr>
          <w:noProof/>
        </w:rPr>
        <w:fldChar w:fldCharType="separate"/>
      </w:r>
      <w:r>
        <w:rPr>
          <w:noProof/>
        </w:rPr>
        <w:t>51</w:t>
      </w:r>
      <w:r>
        <w:rPr>
          <w:noProof/>
        </w:rPr>
        <w:fldChar w:fldCharType="end"/>
      </w:r>
    </w:p>
    <w:p w14:paraId="3F7DDE5B" w14:textId="4686F18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G — Ce que ce chapitre établit</w:t>
      </w:r>
      <w:r>
        <w:rPr>
          <w:noProof/>
        </w:rPr>
        <w:tab/>
      </w:r>
      <w:r>
        <w:rPr>
          <w:noProof/>
        </w:rPr>
        <w:fldChar w:fldCharType="begin"/>
      </w:r>
      <w:r>
        <w:rPr>
          <w:noProof/>
        </w:rPr>
        <w:instrText xml:space="preserve"> PAGEREF _Toc242103296 \h </w:instrText>
      </w:r>
      <w:r>
        <w:rPr>
          <w:noProof/>
        </w:rPr>
      </w:r>
      <w:r>
        <w:rPr>
          <w:noProof/>
        </w:rPr>
        <w:fldChar w:fldCharType="separate"/>
      </w:r>
      <w:r>
        <w:rPr>
          <w:noProof/>
        </w:rPr>
        <w:t>52</w:t>
      </w:r>
      <w:r>
        <w:rPr>
          <w:noProof/>
        </w:rPr>
        <w:fldChar w:fldCharType="end"/>
      </w:r>
    </w:p>
    <w:p w14:paraId="5AC81DBA" w14:textId="58A75715"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III. Pays-Bas</w:t>
      </w:r>
      <w:r>
        <w:rPr>
          <w:noProof/>
        </w:rPr>
        <w:tab/>
      </w:r>
      <w:r>
        <w:rPr>
          <w:noProof/>
        </w:rPr>
        <w:fldChar w:fldCharType="begin"/>
      </w:r>
      <w:r>
        <w:rPr>
          <w:noProof/>
        </w:rPr>
        <w:instrText xml:space="preserve"> PAGEREF _Toc242103297 \h </w:instrText>
      </w:r>
      <w:r>
        <w:rPr>
          <w:noProof/>
        </w:rPr>
      </w:r>
      <w:r>
        <w:rPr>
          <w:noProof/>
        </w:rPr>
        <w:fldChar w:fldCharType="separate"/>
      </w:r>
      <w:r>
        <w:rPr>
          <w:noProof/>
        </w:rPr>
        <w:t>54</w:t>
      </w:r>
      <w:r>
        <w:rPr>
          <w:noProof/>
        </w:rPr>
        <w:fldChar w:fldCharType="end"/>
      </w:r>
    </w:p>
    <w:p w14:paraId="4A294C26" w14:textId="2CEC4581"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UWV et la machine administrative des recours</w:t>
      </w:r>
      <w:r>
        <w:rPr>
          <w:noProof/>
        </w:rPr>
        <w:tab/>
      </w:r>
      <w:r>
        <w:rPr>
          <w:noProof/>
        </w:rPr>
        <w:fldChar w:fldCharType="begin"/>
      </w:r>
      <w:r>
        <w:rPr>
          <w:noProof/>
        </w:rPr>
        <w:instrText xml:space="preserve"> PAGEREF _Toc242103298 \h </w:instrText>
      </w:r>
      <w:r>
        <w:rPr>
          <w:noProof/>
        </w:rPr>
      </w:r>
      <w:r>
        <w:rPr>
          <w:noProof/>
        </w:rPr>
        <w:fldChar w:fldCharType="separate"/>
      </w:r>
      <w:r>
        <w:rPr>
          <w:noProof/>
        </w:rPr>
        <w:t>54</w:t>
      </w:r>
      <w:r>
        <w:rPr>
          <w:noProof/>
        </w:rPr>
        <w:fldChar w:fldCharType="end"/>
      </w:r>
    </w:p>
    <w:p w14:paraId="2D5B3701" w14:textId="12B6CA4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Six étapes auprès du UWV</w:t>
      </w:r>
      <w:r>
        <w:rPr>
          <w:noProof/>
        </w:rPr>
        <w:tab/>
      </w:r>
      <w:r>
        <w:rPr>
          <w:noProof/>
        </w:rPr>
        <w:fldChar w:fldCharType="begin"/>
      </w:r>
      <w:r>
        <w:rPr>
          <w:noProof/>
        </w:rPr>
        <w:instrText xml:space="preserve"> PAGEREF _Toc242103299 \h </w:instrText>
      </w:r>
      <w:r>
        <w:rPr>
          <w:noProof/>
        </w:rPr>
      </w:r>
      <w:r>
        <w:rPr>
          <w:noProof/>
        </w:rPr>
        <w:fldChar w:fldCharType="separate"/>
      </w:r>
      <w:r>
        <w:rPr>
          <w:noProof/>
        </w:rPr>
        <w:t>54</w:t>
      </w:r>
      <w:r>
        <w:rPr>
          <w:noProof/>
        </w:rPr>
        <w:fldChar w:fldCharType="end"/>
      </w:r>
    </w:p>
    <w:p w14:paraId="1F59FC1B" w14:textId="0780A0A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L’ONEM et le formulaire C4</w:t>
      </w:r>
      <w:r>
        <w:rPr>
          <w:noProof/>
        </w:rPr>
        <w:tab/>
      </w:r>
      <w:r>
        <w:rPr>
          <w:noProof/>
        </w:rPr>
        <w:fldChar w:fldCharType="begin"/>
      </w:r>
      <w:r>
        <w:rPr>
          <w:noProof/>
        </w:rPr>
        <w:instrText xml:space="preserve"> PAGEREF _Toc242103300 \h </w:instrText>
      </w:r>
      <w:r>
        <w:rPr>
          <w:noProof/>
        </w:rPr>
      </w:r>
      <w:r>
        <w:rPr>
          <w:noProof/>
        </w:rPr>
        <w:fldChar w:fldCharType="separate"/>
      </w:r>
      <w:r>
        <w:rPr>
          <w:noProof/>
        </w:rPr>
        <w:t>54</w:t>
      </w:r>
      <w:r>
        <w:rPr>
          <w:noProof/>
        </w:rPr>
        <w:fldChar w:fldCharType="end"/>
      </w:r>
    </w:p>
    <w:p w14:paraId="5A294A02" w14:textId="0DF77A7C"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 refus de synchroniser les données étrangères</w:t>
      </w:r>
      <w:r>
        <w:rPr>
          <w:noProof/>
        </w:rPr>
        <w:tab/>
      </w:r>
      <w:r>
        <w:rPr>
          <w:noProof/>
        </w:rPr>
        <w:fldChar w:fldCharType="begin"/>
      </w:r>
      <w:r>
        <w:rPr>
          <w:noProof/>
        </w:rPr>
        <w:instrText xml:space="preserve"> PAGEREF _Toc242103301 \h </w:instrText>
      </w:r>
      <w:r>
        <w:rPr>
          <w:noProof/>
        </w:rPr>
      </w:r>
      <w:r>
        <w:rPr>
          <w:noProof/>
        </w:rPr>
        <w:fldChar w:fldCharType="separate"/>
      </w:r>
      <w:r>
        <w:rPr>
          <w:noProof/>
        </w:rPr>
        <w:t>55</w:t>
      </w:r>
      <w:r>
        <w:rPr>
          <w:noProof/>
        </w:rPr>
        <w:fldChar w:fldCharType="end"/>
      </w:r>
    </w:p>
    <w:p w14:paraId="7D092363" w14:textId="70132C6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Le schéma : le rejet procédural</w:t>
      </w:r>
      <w:r>
        <w:rPr>
          <w:noProof/>
        </w:rPr>
        <w:tab/>
      </w:r>
      <w:r>
        <w:rPr>
          <w:noProof/>
        </w:rPr>
        <w:fldChar w:fldCharType="begin"/>
      </w:r>
      <w:r>
        <w:rPr>
          <w:noProof/>
        </w:rPr>
        <w:instrText xml:space="preserve"> PAGEREF _Toc242103302 \h </w:instrText>
      </w:r>
      <w:r>
        <w:rPr>
          <w:noProof/>
        </w:rPr>
      </w:r>
      <w:r>
        <w:rPr>
          <w:noProof/>
        </w:rPr>
        <w:fldChar w:fldCharType="separate"/>
      </w:r>
      <w:r>
        <w:rPr>
          <w:noProof/>
        </w:rPr>
        <w:t>56</w:t>
      </w:r>
      <w:r>
        <w:rPr>
          <w:noProof/>
        </w:rPr>
        <w:fldChar w:fldCharType="end"/>
      </w:r>
    </w:p>
    <w:p w14:paraId="629F860C" w14:textId="727159DE"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Les motifs de rejet en bref</w:t>
      </w:r>
      <w:r>
        <w:rPr>
          <w:noProof/>
        </w:rPr>
        <w:tab/>
      </w:r>
      <w:r>
        <w:rPr>
          <w:noProof/>
        </w:rPr>
        <w:fldChar w:fldCharType="begin"/>
      </w:r>
      <w:r>
        <w:rPr>
          <w:noProof/>
        </w:rPr>
        <w:instrText xml:space="preserve"> PAGEREF _Toc242103303 \h </w:instrText>
      </w:r>
      <w:r>
        <w:rPr>
          <w:noProof/>
        </w:rPr>
      </w:r>
      <w:r>
        <w:rPr>
          <w:noProof/>
        </w:rPr>
        <w:fldChar w:fldCharType="separate"/>
      </w:r>
      <w:r>
        <w:rPr>
          <w:noProof/>
        </w:rPr>
        <w:t>56</w:t>
      </w:r>
      <w:r>
        <w:rPr>
          <w:noProof/>
        </w:rPr>
        <w:fldChar w:fldCharType="end"/>
      </w:r>
    </w:p>
    <w:p w14:paraId="1CE66895" w14:textId="07E3CDD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F — Les deux recours en détail</w:t>
      </w:r>
      <w:r>
        <w:rPr>
          <w:noProof/>
        </w:rPr>
        <w:tab/>
      </w:r>
      <w:r>
        <w:rPr>
          <w:noProof/>
        </w:rPr>
        <w:fldChar w:fldCharType="begin"/>
      </w:r>
      <w:r>
        <w:rPr>
          <w:noProof/>
        </w:rPr>
        <w:instrText xml:space="preserve"> PAGEREF _Toc242103304 \h </w:instrText>
      </w:r>
      <w:r>
        <w:rPr>
          <w:noProof/>
        </w:rPr>
      </w:r>
      <w:r>
        <w:rPr>
          <w:noProof/>
        </w:rPr>
        <w:fldChar w:fldCharType="separate"/>
      </w:r>
      <w:r>
        <w:rPr>
          <w:noProof/>
        </w:rPr>
        <w:t>57</w:t>
      </w:r>
      <w:r>
        <w:rPr>
          <w:noProof/>
        </w:rPr>
        <w:fldChar w:fldCharType="end"/>
      </w:r>
    </w:p>
    <w:p w14:paraId="4E46D706" w14:textId="511379D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G — Conclusions de ce chapitre</w:t>
      </w:r>
      <w:r>
        <w:rPr>
          <w:noProof/>
        </w:rPr>
        <w:tab/>
      </w:r>
      <w:r>
        <w:rPr>
          <w:noProof/>
        </w:rPr>
        <w:fldChar w:fldCharType="begin"/>
      </w:r>
      <w:r>
        <w:rPr>
          <w:noProof/>
        </w:rPr>
        <w:instrText xml:space="preserve"> PAGEREF _Toc242103305 \h </w:instrText>
      </w:r>
      <w:r>
        <w:rPr>
          <w:noProof/>
        </w:rPr>
      </w:r>
      <w:r>
        <w:rPr>
          <w:noProof/>
        </w:rPr>
        <w:fldChar w:fldCharType="separate"/>
      </w:r>
      <w:r>
        <w:rPr>
          <w:noProof/>
        </w:rPr>
        <w:t>57</w:t>
      </w:r>
      <w:r>
        <w:rPr>
          <w:noProof/>
        </w:rPr>
        <w:fldChar w:fldCharType="end"/>
      </w:r>
    </w:p>
    <w:p w14:paraId="0EB3D22E" w14:textId="331A5C81"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CZ — les deux visages du « gardien »</w:t>
      </w:r>
      <w:r>
        <w:rPr>
          <w:noProof/>
        </w:rPr>
        <w:tab/>
      </w:r>
      <w:r>
        <w:rPr>
          <w:noProof/>
        </w:rPr>
        <w:fldChar w:fldCharType="begin"/>
      </w:r>
      <w:r>
        <w:rPr>
          <w:noProof/>
        </w:rPr>
        <w:instrText xml:space="preserve"> PAGEREF _Toc242103306 \h </w:instrText>
      </w:r>
      <w:r>
        <w:rPr>
          <w:noProof/>
        </w:rPr>
      </w:r>
      <w:r>
        <w:rPr>
          <w:noProof/>
        </w:rPr>
        <w:fldChar w:fldCharType="separate"/>
      </w:r>
      <w:r>
        <w:rPr>
          <w:noProof/>
        </w:rPr>
        <w:t>59</w:t>
      </w:r>
      <w:r>
        <w:rPr>
          <w:noProof/>
        </w:rPr>
        <w:fldChar w:fldCharType="end"/>
      </w:r>
    </w:p>
    <w:p w14:paraId="2392EFC0" w14:textId="3AAC2A9D"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Récit n° 1 — La police d’assurance conventionnelle et l’allocation de soins</w:t>
      </w:r>
      <w:r>
        <w:rPr>
          <w:noProof/>
        </w:rPr>
        <w:tab/>
      </w:r>
      <w:r>
        <w:rPr>
          <w:noProof/>
        </w:rPr>
        <w:fldChar w:fldCharType="begin"/>
      </w:r>
      <w:r>
        <w:rPr>
          <w:noProof/>
        </w:rPr>
        <w:instrText xml:space="preserve"> PAGEREF _Toc242103307 \h </w:instrText>
      </w:r>
      <w:r>
        <w:rPr>
          <w:noProof/>
        </w:rPr>
      </w:r>
      <w:r>
        <w:rPr>
          <w:noProof/>
        </w:rPr>
        <w:fldChar w:fldCharType="separate"/>
      </w:r>
      <w:r>
        <w:rPr>
          <w:noProof/>
        </w:rPr>
        <w:t>59</w:t>
      </w:r>
      <w:r>
        <w:rPr>
          <w:noProof/>
        </w:rPr>
        <w:fldChar w:fldCharType="end"/>
      </w:r>
    </w:p>
    <w:p w14:paraId="570465B3" w14:textId="161955F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Histoire 1bis — La chaîne du blocage : CZ, CAK, ZIN</w:t>
      </w:r>
      <w:r>
        <w:rPr>
          <w:noProof/>
        </w:rPr>
        <w:tab/>
      </w:r>
      <w:r>
        <w:rPr>
          <w:noProof/>
        </w:rPr>
        <w:fldChar w:fldCharType="begin"/>
      </w:r>
      <w:r>
        <w:rPr>
          <w:noProof/>
        </w:rPr>
        <w:instrText xml:space="preserve"> PAGEREF _Toc242103308 \h </w:instrText>
      </w:r>
      <w:r>
        <w:rPr>
          <w:noProof/>
        </w:rPr>
      </w:r>
      <w:r>
        <w:rPr>
          <w:noProof/>
        </w:rPr>
        <w:fldChar w:fldCharType="separate"/>
      </w:r>
      <w:r>
        <w:rPr>
          <w:noProof/>
        </w:rPr>
        <w:t>60</w:t>
      </w:r>
      <w:r>
        <w:rPr>
          <w:noProof/>
        </w:rPr>
        <w:fldChar w:fldCharType="end"/>
      </w:r>
    </w:p>
    <w:p w14:paraId="5EBE72C5" w14:textId="1184A55C"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Histoire n° 2 — Le transport médical</w:t>
      </w:r>
      <w:r>
        <w:rPr>
          <w:noProof/>
        </w:rPr>
        <w:tab/>
      </w:r>
      <w:r>
        <w:rPr>
          <w:noProof/>
        </w:rPr>
        <w:fldChar w:fldCharType="begin"/>
      </w:r>
      <w:r>
        <w:rPr>
          <w:noProof/>
        </w:rPr>
        <w:instrText xml:space="preserve"> PAGEREF _Toc242103309 \h </w:instrText>
      </w:r>
      <w:r>
        <w:rPr>
          <w:noProof/>
        </w:rPr>
      </w:r>
      <w:r>
        <w:rPr>
          <w:noProof/>
        </w:rPr>
        <w:fldChar w:fldCharType="separate"/>
      </w:r>
      <w:r>
        <w:rPr>
          <w:noProof/>
        </w:rPr>
        <w:t>61</w:t>
      </w:r>
      <w:r>
        <w:rPr>
          <w:noProof/>
        </w:rPr>
        <w:fldChar w:fldCharType="end"/>
      </w:r>
    </w:p>
    <w:p w14:paraId="4B45DB3D" w14:textId="1BA3C50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 parallèle : CZ et MC</w:t>
      </w:r>
      <w:r>
        <w:rPr>
          <w:noProof/>
        </w:rPr>
        <w:tab/>
      </w:r>
      <w:r>
        <w:rPr>
          <w:noProof/>
        </w:rPr>
        <w:fldChar w:fldCharType="begin"/>
      </w:r>
      <w:r>
        <w:rPr>
          <w:noProof/>
        </w:rPr>
        <w:instrText xml:space="preserve"> PAGEREF _Toc242103310 \h </w:instrText>
      </w:r>
      <w:r>
        <w:rPr>
          <w:noProof/>
        </w:rPr>
      </w:r>
      <w:r>
        <w:rPr>
          <w:noProof/>
        </w:rPr>
        <w:fldChar w:fldCharType="separate"/>
      </w:r>
      <w:r>
        <w:rPr>
          <w:noProof/>
        </w:rPr>
        <w:t>62</w:t>
      </w:r>
      <w:r>
        <w:rPr>
          <w:noProof/>
        </w:rPr>
        <w:fldChar w:fldCharType="end"/>
      </w:r>
    </w:p>
    <w:p w14:paraId="51F88DAC" w14:textId="231C60A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Ce que cela apporte</w:t>
      </w:r>
      <w:r>
        <w:rPr>
          <w:noProof/>
        </w:rPr>
        <w:tab/>
      </w:r>
      <w:r>
        <w:rPr>
          <w:noProof/>
        </w:rPr>
        <w:fldChar w:fldCharType="begin"/>
      </w:r>
      <w:r>
        <w:rPr>
          <w:noProof/>
        </w:rPr>
        <w:instrText xml:space="preserve"> PAGEREF _Toc242103311 \h </w:instrText>
      </w:r>
      <w:r>
        <w:rPr>
          <w:noProof/>
        </w:rPr>
      </w:r>
      <w:r>
        <w:rPr>
          <w:noProof/>
        </w:rPr>
        <w:fldChar w:fldCharType="separate"/>
      </w:r>
      <w:r>
        <w:rPr>
          <w:noProof/>
        </w:rPr>
        <w:t>62</w:t>
      </w:r>
      <w:r>
        <w:rPr>
          <w:noProof/>
        </w:rPr>
        <w:fldChar w:fldCharType="end"/>
      </w:r>
    </w:p>
    <w:p w14:paraId="475FE982" w14:textId="3BC14C87"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L'escalier de la commune de Hulst</w:t>
      </w:r>
      <w:r>
        <w:rPr>
          <w:noProof/>
        </w:rPr>
        <w:tab/>
      </w:r>
      <w:r>
        <w:rPr>
          <w:noProof/>
        </w:rPr>
        <w:fldChar w:fldCharType="begin"/>
      </w:r>
      <w:r>
        <w:rPr>
          <w:noProof/>
        </w:rPr>
        <w:instrText xml:space="preserve"> PAGEREF _Toc242103312 \h </w:instrText>
      </w:r>
      <w:r>
        <w:rPr>
          <w:noProof/>
        </w:rPr>
      </w:r>
      <w:r>
        <w:rPr>
          <w:noProof/>
        </w:rPr>
        <w:fldChar w:fldCharType="separate"/>
      </w:r>
      <w:r>
        <w:rPr>
          <w:noProof/>
        </w:rPr>
        <w:t>64</w:t>
      </w:r>
      <w:r>
        <w:rPr>
          <w:noProof/>
        </w:rPr>
        <w:fldChar w:fldCharType="end"/>
      </w:r>
    </w:p>
    <w:p w14:paraId="458DFAE4" w14:textId="7197C15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La commune, première ligne d’aide qui n’aide pas</w:t>
      </w:r>
      <w:r>
        <w:rPr>
          <w:noProof/>
        </w:rPr>
        <w:tab/>
      </w:r>
      <w:r>
        <w:rPr>
          <w:noProof/>
        </w:rPr>
        <w:fldChar w:fldCharType="begin"/>
      </w:r>
      <w:r>
        <w:rPr>
          <w:noProof/>
        </w:rPr>
        <w:instrText xml:space="preserve"> PAGEREF _Toc242103313 \h </w:instrText>
      </w:r>
      <w:r>
        <w:rPr>
          <w:noProof/>
        </w:rPr>
      </w:r>
      <w:r>
        <w:rPr>
          <w:noProof/>
        </w:rPr>
        <w:fldChar w:fldCharType="separate"/>
      </w:r>
      <w:r>
        <w:rPr>
          <w:noProof/>
        </w:rPr>
        <w:t>64</w:t>
      </w:r>
      <w:r>
        <w:rPr>
          <w:noProof/>
        </w:rPr>
        <w:fldChar w:fldCharType="end"/>
      </w:r>
    </w:p>
    <w:p w14:paraId="72DECE6C" w14:textId="72595665"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 recours en cours</w:t>
      </w:r>
      <w:r>
        <w:rPr>
          <w:noProof/>
        </w:rPr>
        <w:tab/>
      </w:r>
      <w:r>
        <w:rPr>
          <w:noProof/>
        </w:rPr>
        <w:fldChar w:fldCharType="begin"/>
      </w:r>
      <w:r>
        <w:rPr>
          <w:noProof/>
        </w:rPr>
        <w:instrText xml:space="preserve"> PAGEREF _Toc242103314 \h </w:instrText>
      </w:r>
      <w:r>
        <w:rPr>
          <w:noProof/>
        </w:rPr>
      </w:r>
      <w:r>
        <w:rPr>
          <w:noProof/>
        </w:rPr>
        <w:fldChar w:fldCharType="separate"/>
      </w:r>
      <w:r>
        <w:rPr>
          <w:noProof/>
        </w:rPr>
        <w:t>65</w:t>
      </w:r>
      <w:r>
        <w:rPr>
          <w:noProof/>
        </w:rPr>
        <w:fldChar w:fldCharType="end"/>
      </w:r>
    </w:p>
    <w:p w14:paraId="68A1FE04" w14:textId="42698F5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Les modèles de calcul qui ne reflètent pas la réalité</w:t>
      </w:r>
      <w:r>
        <w:rPr>
          <w:noProof/>
        </w:rPr>
        <w:tab/>
      </w:r>
      <w:r>
        <w:rPr>
          <w:noProof/>
        </w:rPr>
        <w:fldChar w:fldCharType="begin"/>
      </w:r>
      <w:r>
        <w:rPr>
          <w:noProof/>
        </w:rPr>
        <w:instrText xml:space="preserve"> PAGEREF _Toc242103315 \h </w:instrText>
      </w:r>
      <w:r>
        <w:rPr>
          <w:noProof/>
        </w:rPr>
      </w:r>
      <w:r>
        <w:rPr>
          <w:noProof/>
        </w:rPr>
        <w:fldChar w:fldCharType="separate"/>
      </w:r>
      <w:r>
        <w:rPr>
          <w:noProof/>
        </w:rPr>
        <w:t>65</w:t>
      </w:r>
      <w:r>
        <w:rPr>
          <w:noProof/>
        </w:rPr>
        <w:fldChar w:fldCharType="end"/>
      </w:r>
    </w:p>
    <w:p w14:paraId="299AD82A" w14:textId="6950D61D"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Les aléas de la mobilité</w:t>
      </w:r>
      <w:r>
        <w:rPr>
          <w:noProof/>
        </w:rPr>
        <w:tab/>
      </w:r>
      <w:r>
        <w:rPr>
          <w:noProof/>
        </w:rPr>
        <w:fldChar w:fldCharType="begin"/>
      </w:r>
      <w:r>
        <w:rPr>
          <w:noProof/>
        </w:rPr>
        <w:instrText xml:space="preserve"> PAGEREF _Toc242103316 \h </w:instrText>
      </w:r>
      <w:r>
        <w:rPr>
          <w:noProof/>
        </w:rPr>
      </w:r>
      <w:r>
        <w:rPr>
          <w:noProof/>
        </w:rPr>
        <w:fldChar w:fldCharType="separate"/>
      </w:r>
      <w:r>
        <w:rPr>
          <w:noProof/>
        </w:rPr>
        <w:t>66</w:t>
      </w:r>
      <w:r>
        <w:rPr>
          <w:noProof/>
        </w:rPr>
        <w:fldChar w:fldCharType="end"/>
      </w:r>
    </w:p>
    <w:p w14:paraId="34638EA3" w14:textId="17EAB29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Les limites du transport Wmo</w:t>
      </w:r>
      <w:r>
        <w:rPr>
          <w:noProof/>
        </w:rPr>
        <w:tab/>
      </w:r>
      <w:r>
        <w:rPr>
          <w:noProof/>
        </w:rPr>
        <w:fldChar w:fldCharType="begin"/>
      </w:r>
      <w:r>
        <w:rPr>
          <w:noProof/>
        </w:rPr>
        <w:instrText xml:space="preserve"> PAGEREF _Toc242103317 \h </w:instrText>
      </w:r>
      <w:r>
        <w:rPr>
          <w:noProof/>
        </w:rPr>
      </w:r>
      <w:r>
        <w:rPr>
          <w:noProof/>
        </w:rPr>
        <w:fldChar w:fldCharType="separate"/>
      </w:r>
      <w:r>
        <w:rPr>
          <w:noProof/>
        </w:rPr>
        <w:t>67</w:t>
      </w:r>
      <w:r>
        <w:rPr>
          <w:noProof/>
        </w:rPr>
        <w:fldChar w:fldCharType="end"/>
      </w:r>
    </w:p>
    <w:p w14:paraId="6A63D2B6" w14:textId="429E054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F — Le schéma se répète</w:t>
      </w:r>
      <w:r>
        <w:rPr>
          <w:noProof/>
        </w:rPr>
        <w:tab/>
      </w:r>
      <w:r>
        <w:rPr>
          <w:noProof/>
        </w:rPr>
        <w:fldChar w:fldCharType="begin"/>
      </w:r>
      <w:r>
        <w:rPr>
          <w:noProof/>
        </w:rPr>
        <w:instrText xml:space="preserve"> PAGEREF _Toc242103318 \h </w:instrText>
      </w:r>
      <w:r>
        <w:rPr>
          <w:noProof/>
        </w:rPr>
      </w:r>
      <w:r>
        <w:rPr>
          <w:noProof/>
        </w:rPr>
        <w:fldChar w:fldCharType="separate"/>
      </w:r>
      <w:r>
        <w:rPr>
          <w:noProof/>
        </w:rPr>
        <w:t>67</w:t>
      </w:r>
      <w:r>
        <w:rPr>
          <w:noProof/>
        </w:rPr>
        <w:fldChar w:fldCharType="end"/>
      </w:r>
    </w:p>
    <w:p w14:paraId="1297859C" w14:textId="27F9D7E5"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qu’aurait dû être la commune</w:t>
      </w:r>
      <w:r>
        <w:rPr>
          <w:noProof/>
        </w:rPr>
        <w:tab/>
      </w:r>
      <w:r>
        <w:rPr>
          <w:noProof/>
        </w:rPr>
        <w:fldChar w:fldCharType="begin"/>
      </w:r>
      <w:r>
        <w:rPr>
          <w:noProof/>
        </w:rPr>
        <w:instrText xml:space="preserve"> PAGEREF _Toc242103319 \h </w:instrText>
      </w:r>
      <w:r>
        <w:rPr>
          <w:noProof/>
        </w:rPr>
      </w:r>
      <w:r>
        <w:rPr>
          <w:noProof/>
        </w:rPr>
        <w:fldChar w:fldCharType="separate"/>
      </w:r>
      <w:r>
        <w:rPr>
          <w:noProof/>
        </w:rPr>
        <w:t>67</w:t>
      </w:r>
      <w:r>
        <w:rPr>
          <w:noProof/>
        </w:rPr>
        <w:fldChar w:fldCharType="end"/>
      </w:r>
    </w:p>
    <w:p w14:paraId="59ED5DF4" w14:textId="17F29FB8"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Administration fiscale et allocations</w:t>
      </w:r>
      <w:r>
        <w:rPr>
          <w:noProof/>
        </w:rPr>
        <w:tab/>
      </w:r>
      <w:r>
        <w:rPr>
          <w:noProof/>
        </w:rPr>
        <w:fldChar w:fldCharType="begin"/>
      </w:r>
      <w:r>
        <w:rPr>
          <w:noProof/>
        </w:rPr>
        <w:instrText xml:space="preserve"> PAGEREF _Toc242103320 \h </w:instrText>
      </w:r>
      <w:r>
        <w:rPr>
          <w:noProof/>
        </w:rPr>
      </w:r>
      <w:r>
        <w:rPr>
          <w:noProof/>
        </w:rPr>
        <w:fldChar w:fldCharType="separate"/>
      </w:r>
      <w:r>
        <w:rPr>
          <w:noProof/>
        </w:rPr>
        <w:t>69</w:t>
      </w:r>
      <w:r>
        <w:rPr>
          <w:noProof/>
        </w:rPr>
        <w:fldChar w:fldCharType="end"/>
      </w:r>
    </w:p>
    <w:p w14:paraId="023A40E5" w14:textId="142EFC0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Les trois allocations</w:t>
      </w:r>
      <w:r>
        <w:rPr>
          <w:noProof/>
        </w:rPr>
        <w:tab/>
      </w:r>
      <w:r>
        <w:rPr>
          <w:noProof/>
        </w:rPr>
        <w:fldChar w:fldCharType="begin"/>
      </w:r>
      <w:r>
        <w:rPr>
          <w:noProof/>
        </w:rPr>
        <w:instrText xml:space="preserve"> PAGEREF _Toc242103321 \h </w:instrText>
      </w:r>
      <w:r>
        <w:rPr>
          <w:noProof/>
        </w:rPr>
      </w:r>
      <w:r>
        <w:rPr>
          <w:noProof/>
        </w:rPr>
        <w:fldChar w:fldCharType="separate"/>
      </w:r>
      <w:r>
        <w:rPr>
          <w:noProof/>
        </w:rPr>
        <w:t>69</w:t>
      </w:r>
      <w:r>
        <w:rPr>
          <w:noProof/>
        </w:rPr>
        <w:fldChar w:fldCharType="end"/>
      </w:r>
    </w:p>
    <w:p w14:paraId="0FD85036" w14:textId="6664EFB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 mécanisme sous-jacent</w:t>
      </w:r>
      <w:r>
        <w:rPr>
          <w:noProof/>
        </w:rPr>
        <w:tab/>
      </w:r>
      <w:r>
        <w:rPr>
          <w:noProof/>
        </w:rPr>
        <w:fldChar w:fldCharType="begin"/>
      </w:r>
      <w:r>
        <w:rPr>
          <w:noProof/>
        </w:rPr>
        <w:instrText xml:space="preserve"> PAGEREF _Toc242103322 \h </w:instrText>
      </w:r>
      <w:r>
        <w:rPr>
          <w:noProof/>
        </w:rPr>
      </w:r>
      <w:r>
        <w:rPr>
          <w:noProof/>
        </w:rPr>
        <w:fldChar w:fldCharType="separate"/>
      </w:r>
      <w:r>
        <w:rPr>
          <w:noProof/>
        </w:rPr>
        <w:t>69</w:t>
      </w:r>
      <w:r>
        <w:rPr>
          <w:noProof/>
        </w:rPr>
        <w:fldChar w:fldCharType="end"/>
      </w:r>
    </w:p>
    <w:p w14:paraId="7889D1E0" w14:textId="578FF68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Les frais médicaux ramenés à zéro</w:t>
      </w:r>
      <w:r>
        <w:rPr>
          <w:noProof/>
        </w:rPr>
        <w:tab/>
      </w:r>
      <w:r>
        <w:rPr>
          <w:noProof/>
        </w:rPr>
        <w:fldChar w:fldCharType="begin"/>
      </w:r>
      <w:r>
        <w:rPr>
          <w:noProof/>
        </w:rPr>
        <w:instrText xml:space="preserve"> PAGEREF _Toc242103323 \h </w:instrText>
      </w:r>
      <w:r>
        <w:rPr>
          <w:noProof/>
        </w:rPr>
      </w:r>
      <w:r>
        <w:rPr>
          <w:noProof/>
        </w:rPr>
        <w:fldChar w:fldCharType="separate"/>
      </w:r>
      <w:r>
        <w:rPr>
          <w:noProof/>
        </w:rPr>
        <w:t>70</w:t>
      </w:r>
      <w:r>
        <w:rPr>
          <w:noProof/>
        </w:rPr>
        <w:fldChar w:fldCharType="end"/>
      </w:r>
    </w:p>
    <w:p w14:paraId="5A45804D" w14:textId="608B4CE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La responsabilité du citoyen</w:t>
      </w:r>
      <w:r>
        <w:rPr>
          <w:noProof/>
        </w:rPr>
        <w:tab/>
      </w:r>
      <w:r>
        <w:rPr>
          <w:noProof/>
        </w:rPr>
        <w:fldChar w:fldCharType="begin"/>
      </w:r>
      <w:r>
        <w:rPr>
          <w:noProof/>
        </w:rPr>
        <w:instrText xml:space="preserve"> PAGEREF _Toc242103324 \h </w:instrText>
      </w:r>
      <w:r>
        <w:rPr>
          <w:noProof/>
        </w:rPr>
      </w:r>
      <w:r>
        <w:rPr>
          <w:noProof/>
        </w:rPr>
        <w:fldChar w:fldCharType="separate"/>
      </w:r>
      <w:r>
        <w:rPr>
          <w:noProof/>
        </w:rPr>
        <w:t>71</w:t>
      </w:r>
      <w:r>
        <w:rPr>
          <w:noProof/>
        </w:rPr>
        <w:fldChar w:fldCharType="end"/>
      </w:r>
    </w:p>
    <w:p w14:paraId="3757E29D" w14:textId="0746A28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Quelles en sont les conséquences ?</w:t>
      </w:r>
      <w:r>
        <w:rPr>
          <w:noProof/>
        </w:rPr>
        <w:tab/>
      </w:r>
      <w:r>
        <w:rPr>
          <w:noProof/>
        </w:rPr>
        <w:fldChar w:fldCharType="begin"/>
      </w:r>
      <w:r>
        <w:rPr>
          <w:noProof/>
        </w:rPr>
        <w:instrText xml:space="preserve"> PAGEREF _Toc242103325 \h </w:instrText>
      </w:r>
      <w:r>
        <w:rPr>
          <w:noProof/>
        </w:rPr>
      </w:r>
      <w:r>
        <w:rPr>
          <w:noProof/>
        </w:rPr>
        <w:fldChar w:fldCharType="separate"/>
      </w:r>
      <w:r>
        <w:rPr>
          <w:noProof/>
        </w:rPr>
        <w:t>71</w:t>
      </w:r>
      <w:r>
        <w:rPr>
          <w:noProof/>
        </w:rPr>
        <w:fldChar w:fldCharType="end"/>
      </w:r>
    </w:p>
    <w:p w14:paraId="419D764E" w14:textId="71A0AAD0"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IV. Aller-retour</w:t>
      </w:r>
      <w:r>
        <w:rPr>
          <w:noProof/>
        </w:rPr>
        <w:tab/>
      </w:r>
      <w:r>
        <w:rPr>
          <w:noProof/>
        </w:rPr>
        <w:fldChar w:fldCharType="begin"/>
      </w:r>
      <w:r>
        <w:rPr>
          <w:noProof/>
        </w:rPr>
        <w:instrText xml:space="preserve"> PAGEREF _Toc242103326 \h </w:instrText>
      </w:r>
      <w:r>
        <w:rPr>
          <w:noProof/>
        </w:rPr>
      </w:r>
      <w:r>
        <w:rPr>
          <w:noProof/>
        </w:rPr>
        <w:fldChar w:fldCharType="separate"/>
      </w:r>
      <w:r>
        <w:rPr>
          <w:noProof/>
        </w:rPr>
        <w:t>73</w:t>
      </w:r>
      <w:r>
        <w:rPr>
          <w:noProof/>
        </w:rPr>
        <w:fldChar w:fldCharType="end"/>
      </w:r>
    </w:p>
    <w:p w14:paraId="50D05CEF" w14:textId="4FC12128"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problème du formulaire U1 rempli manuellement</w:t>
      </w:r>
      <w:r>
        <w:rPr>
          <w:noProof/>
        </w:rPr>
        <w:tab/>
      </w:r>
      <w:r>
        <w:rPr>
          <w:noProof/>
        </w:rPr>
        <w:fldChar w:fldCharType="begin"/>
      </w:r>
      <w:r>
        <w:rPr>
          <w:noProof/>
        </w:rPr>
        <w:instrText xml:space="preserve"> PAGEREF _Toc242103327 \h </w:instrText>
      </w:r>
      <w:r>
        <w:rPr>
          <w:noProof/>
        </w:rPr>
      </w:r>
      <w:r>
        <w:rPr>
          <w:noProof/>
        </w:rPr>
        <w:fldChar w:fldCharType="separate"/>
      </w:r>
      <w:r>
        <w:rPr>
          <w:noProof/>
        </w:rPr>
        <w:t>73</w:t>
      </w:r>
      <w:r>
        <w:rPr>
          <w:noProof/>
        </w:rPr>
        <w:fldChar w:fldCharType="end"/>
      </w:r>
    </w:p>
    <w:p w14:paraId="648A2B6B" w14:textId="18334A1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deux sens</w:t>
      </w:r>
      <w:r>
        <w:rPr>
          <w:noProof/>
        </w:rPr>
        <w:tab/>
      </w:r>
      <w:r>
        <w:rPr>
          <w:noProof/>
        </w:rPr>
        <w:fldChar w:fldCharType="begin"/>
      </w:r>
      <w:r>
        <w:rPr>
          <w:noProof/>
        </w:rPr>
        <w:instrText xml:space="preserve"> PAGEREF _Toc242103328 \h </w:instrText>
      </w:r>
      <w:r>
        <w:rPr>
          <w:noProof/>
        </w:rPr>
      </w:r>
      <w:r>
        <w:rPr>
          <w:noProof/>
        </w:rPr>
        <w:fldChar w:fldCharType="separate"/>
      </w:r>
      <w:r>
        <w:rPr>
          <w:noProof/>
        </w:rPr>
        <w:t>73</w:t>
      </w:r>
      <w:r>
        <w:rPr>
          <w:noProof/>
        </w:rPr>
        <w:fldChar w:fldCharType="end"/>
      </w:r>
    </w:p>
    <w:p w14:paraId="23B0859C" w14:textId="045BFC35"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Sens 1 — De la Belgique vers les Pays-Bas</w:t>
      </w:r>
      <w:r>
        <w:rPr>
          <w:noProof/>
        </w:rPr>
        <w:tab/>
      </w:r>
      <w:r>
        <w:rPr>
          <w:noProof/>
        </w:rPr>
        <w:fldChar w:fldCharType="begin"/>
      </w:r>
      <w:r>
        <w:rPr>
          <w:noProof/>
        </w:rPr>
        <w:instrText xml:space="preserve"> PAGEREF _Toc242103329 \h </w:instrText>
      </w:r>
      <w:r>
        <w:rPr>
          <w:noProof/>
        </w:rPr>
      </w:r>
      <w:r>
        <w:rPr>
          <w:noProof/>
        </w:rPr>
        <w:fldChar w:fldCharType="separate"/>
      </w:r>
      <w:r>
        <w:rPr>
          <w:noProof/>
        </w:rPr>
        <w:t>73</w:t>
      </w:r>
      <w:r>
        <w:rPr>
          <w:noProof/>
        </w:rPr>
        <w:fldChar w:fldCharType="end"/>
      </w:r>
    </w:p>
    <w:p w14:paraId="46026E10" w14:textId="4162F85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Parcours 2 — Des Pays-Bas vers la Belgique</w:t>
      </w:r>
      <w:r>
        <w:rPr>
          <w:noProof/>
        </w:rPr>
        <w:tab/>
      </w:r>
      <w:r>
        <w:rPr>
          <w:noProof/>
        </w:rPr>
        <w:fldChar w:fldCharType="begin"/>
      </w:r>
      <w:r>
        <w:rPr>
          <w:noProof/>
        </w:rPr>
        <w:instrText xml:space="preserve"> PAGEREF _Toc242103330 \h </w:instrText>
      </w:r>
      <w:r>
        <w:rPr>
          <w:noProof/>
        </w:rPr>
      </w:r>
      <w:r>
        <w:rPr>
          <w:noProof/>
        </w:rPr>
        <w:fldChar w:fldCharType="separate"/>
      </w:r>
      <w:r>
        <w:rPr>
          <w:noProof/>
        </w:rPr>
        <w:t>74</w:t>
      </w:r>
      <w:r>
        <w:rPr>
          <w:noProof/>
        </w:rPr>
        <w:fldChar w:fldCharType="end"/>
      </w:r>
    </w:p>
    <w:p w14:paraId="66454516" w14:textId="212FA6A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schéma</w:t>
      </w:r>
      <w:r>
        <w:rPr>
          <w:noProof/>
        </w:rPr>
        <w:tab/>
      </w:r>
      <w:r>
        <w:rPr>
          <w:noProof/>
        </w:rPr>
        <w:fldChar w:fldCharType="begin"/>
      </w:r>
      <w:r>
        <w:rPr>
          <w:noProof/>
        </w:rPr>
        <w:instrText xml:space="preserve"> PAGEREF _Toc242103331 \h </w:instrText>
      </w:r>
      <w:r>
        <w:rPr>
          <w:noProof/>
        </w:rPr>
      </w:r>
      <w:r>
        <w:rPr>
          <w:noProof/>
        </w:rPr>
        <w:fldChar w:fldCharType="separate"/>
      </w:r>
      <w:r>
        <w:rPr>
          <w:noProof/>
        </w:rPr>
        <w:t>74</w:t>
      </w:r>
      <w:r>
        <w:rPr>
          <w:noProof/>
        </w:rPr>
        <w:fldChar w:fldCharType="end"/>
      </w:r>
    </w:p>
    <w:p w14:paraId="0A783EB4" w14:textId="05B7761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ESSPASS en 2030 — ce qui ne change pas</w:t>
      </w:r>
      <w:r>
        <w:rPr>
          <w:noProof/>
        </w:rPr>
        <w:tab/>
      </w:r>
      <w:r>
        <w:rPr>
          <w:noProof/>
        </w:rPr>
        <w:fldChar w:fldCharType="begin"/>
      </w:r>
      <w:r>
        <w:rPr>
          <w:noProof/>
        </w:rPr>
        <w:instrText xml:space="preserve"> PAGEREF _Toc242103332 \h </w:instrText>
      </w:r>
      <w:r>
        <w:rPr>
          <w:noProof/>
        </w:rPr>
      </w:r>
      <w:r>
        <w:rPr>
          <w:noProof/>
        </w:rPr>
        <w:fldChar w:fldCharType="separate"/>
      </w:r>
      <w:r>
        <w:rPr>
          <w:noProof/>
        </w:rPr>
        <w:t>75</w:t>
      </w:r>
      <w:r>
        <w:rPr>
          <w:noProof/>
        </w:rPr>
        <w:fldChar w:fldCharType="end"/>
      </w:r>
    </w:p>
    <w:p w14:paraId="420A2D79" w14:textId="7A1EAA8E"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le ESSPASS résout et ce qu’il ne résout pas</w:t>
      </w:r>
      <w:r>
        <w:rPr>
          <w:noProof/>
        </w:rPr>
        <w:tab/>
      </w:r>
      <w:r>
        <w:rPr>
          <w:noProof/>
        </w:rPr>
        <w:fldChar w:fldCharType="begin"/>
      </w:r>
      <w:r>
        <w:rPr>
          <w:noProof/>
        </w:rPr>
        <w:instrText xml:space="preserve"> PAGEREF _Toc242103333 \h </w:instrText>
      </w:r>
      <w:r>
        <w:rPr>
          <w:noProof/>
        </w:rPr>
      </w:r>
      <w:r>
        <w:rPr>
          <w:noProof/>
        </w:rPr>
        <w:fldChar w:fldCharType="separate"/>
      </w:r>
      <w:r>
        <w:rPr>
          <w:noProof/>
        </w:rPr>
        <w:t>76</w:t>
      </w:r>
      <w:r>
        <w:rPr>
          <w:noProof/>
        </w:rPr>
        <w:fldChar w:fldCharType="end"/>
      </w:r>
    </w:p>
    <w:p w14:paraId="1B7F49A2" w14:textId="4854F63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Pourquoi cela constitue-t-il un lien avec la partie néerlandaise ?</w:t>
      </w:r>
      <w:r>
        <w:rPr>
          <w:noProof/>
        </w:rPr>
        <w:tab/>
      </w:r>
      <w:r>
        <w:rPr>
          <w:noProof/>
        </w:rPr>
        <w:fldChar w:fldCharType="begin"/>
      </w:r>
      <w:r>
        <w:rPr>
          <w:noProof/>
        </w:rPr>
        <w:instrText xml:space="preserve"> PAGEREF _Toc242103334 \h </w:instrText>
      </w:r>
      <w:r>
        <w:rPr>
          <w:noProof/>
        </w:rPr>
      </w:r>
      <w:r>
        <w:rPr>
          <w:noProof/>
        </w:rPr>
        <w:fldChar w:fldCharType="separate"/>
      </w:r>
      <w:r>
        <w:rPr>
          <w:noProof/>
        </w:rPr>
        <w:t>77</w:t>
      </w:r>
      <w:r>
        <w:rPr>
          <w:noProof/>
        </w:rPr>
        <w:fldChar w:fldCharType="end"/>
      </w:r>
    </w:p>
    <w:p w14:paraId="7D389B0C" w14:textId="2D0A22FA"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SVB et Parentia — un exemple concret</w:t>
      </w:r>
      <w:r>
        <w:rPr>
          <w:noProof/>
        </w:rPr>
        <w:tab/>
      </w:r>
      <w:r>
        <w:rPr>
          <w:noProof/>
        </w:rPr>
        <w:fldChar w:fldCharType="begin"/>
      </w:r>
      <w:r>
        <w:rPr>
          <w:noProof/>
        </w:rPr>
        <w:instrText xml:space="preserve"> PAGEREF _Toc242103335 \h </w:instrText>
      </w:r>
      <w:r>
        <w:rPr>
          <w:noProof/>
        </w:rPr>
      </w:r>
      <w:r>
        <w:rPr>
          <w:noProof/>
        </w:rPr>
        <w:fldChar w:fldCharType="separate"/>
      </w:r>
      <w:r>
        <w:rPr>
          <w:noProof/>
        </w:rPr>
        <w:t>79</w:t>
      </w:r>
      <w:r>
        <w:rPr>
          <w:noProof/>
        </w:rPr>
        <w:fldChar w:fldCharType="end"/>
      </w:r>
    </w:p>
    <w:p w14:paraId="7FA11B55" w14:textId="5808302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La répartition</w:t>
      </w:r>
      <w:r>
        <w:rPr>
          <w:noProof/>
        </w:rPr>
        <w:tab/>
      </w:r>
      <w:r>
        <w:rPr>
          <w:noProof/>
        </w:rPr>
        <w:fldChar w:fldCharType="begin"/>
      </w:r>
      <w:r>
        <w:rPr>
          <w:noProof/>
        </w:rPr>
        <w:instrText xml:space="preserve"> PAGEREF _Toc242103336 \h </w:instrText>
      </w:r>
      <w:r>
        <w:rPr>
          <w:noProof/>
        </w:rPr>
      </w:r>
      <w:r>
        <w:rPr>
          <w:noProof/>
        </w:rPr>
        <w:fldChar w:fldCharType="separate"/>
      </w:r>
      <w:r>
        <w:rPr>
          <w:noProof/>
        </w:rPr>
        <w:t>79</w:t>
      </w:r>
      <w:r>
        <w:rPr>
          <w:noProof/>
        </w:rPr>
        <w:fldChar w:fldCharType="end"/>
      </w:r>
    </w:p>
    <w:p w14:paraId="62A2955F" w14:textId="5116EA3A"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Pourquoi cela fonctionne</w:t>
      </w:r>
      <w:r>
        <w:rPr>
          <w:noProof/>
        </w:rPr>
        <w:tab/>
      </w:r>
      <w:r>
        <w:rPr>
          <w:noProof/>
        </w:rPr>
        <w:fldChar w:fldCharType="begin"/>
      </w:r>
      <w:r>
        <w:rPr>
          <w:noProof/>
        </w:rPr>
        <w:instrText xml:space="preserve"> PAGEREF _Toc242103337 \h </w:instrText>
      </w:r>
      <w:r>
        <w:rPr>
          <w:noProof/>
        </w:rPr>
      </w:r>
      <w:r>
        <w:rPr>
          <w:noProof/>
        </w:rPr>
        <w:fldChar w:fldCharType="separate"/>
      </w:r>
      <w:r>
        <w:rPr>
          <w:noProof/>
        </w:rPr>
        <w:t>79</w:t>
      </w:r>
      <w:r>
        <w:rPr>
          <w:noProof/>
        </w:rPr>
        <w:fldChar w:fldCharType="end"/>
      </w:r>
    </w:p>
    <w:p w14:paraId="12494358" w14:textId="741E26EA"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 recalcul qui menace le succès</w:t>
      </w:r>
      <w:r>
        <w:rPr>
          <w:noProof/>
        </w:rPr>
        <w:tab/>
      </w:r>
      <w:r>
        <w:rPr>
          <w:noProof/>
        </w:rPr>
        <w:fldChar w:fldCharType="begin"/>
      </w:r>
      <w:r>
        <w:rPr>
          <w:noProof/>
        </w:rPr>
        <w:instrText xml:space="preserve"> PAGEREF _Toc242103338 \h </w:instrText>
      </w:r>
      <w:r>
        <w:rPr>
          <w:noProof/>
        </w:rPr>
      </w:r>
      <w:r>
        <w:rPr>
          <w:noProof/>
        </w:rPr>
        <w:fldChar w:fldCharType="separate"/>
      </w:r>
      <w:r>
        <w:rPr>
          <w:noProof/>
        </w:rPr>
        <w:t>80</w:t>
      </w:r>
      <w:r>
        <w:rPr>
          <w:noProof/>
        </w:rPr>
        <w:fldChar w:fldCharType="end"/>
      </w:r>
    </w:p>
    <w:p w14:paraId="1FA934AD" w14:textId="62ACD84C"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Ce que montre ce chapitre</w:t>
      </w:r>
      <w:r>
        <w:rPr>
          <w:noProof/>
        </w:rPr>
        <w:tab/>
      </w:r>
      <w:r>
        <w:rPr>
          <w:noProof/>
        </w:rPr>
        <w:fldChar w:fldCharType="begin"/>
      </w:r>
      <w:r>
        <w:rPr>
          <w:noProof/>
        </w:rPr>
        <w:instrText xml:space="preserve"> PAGEREF _Toc242103339 \h </w:instrText>
      </w:r>
      <w:r>
        <w:rPr>
          <w:noProof/>
        </w:rPr>
      </w:r>
      <w:r>
        <w:rPr>
          <w:noProof/>
        </w:rPr>
        <w:fldChar w:fldCharType="separate"/>
      </w:r>
      <w:r>
        <w:rPr>
          <w:noProof/>
        </w:rPr>
        <w:t>80</w:t>
      </w:r>
      <w:r>
        <w:rPr>
          <w:noProof/>
        </w:rPr>
        <w:fldChar w:fldCharType="end"/>
      </w:r>
    </w:p>
    <w:p w14:paraId="3956A30B" w14:textId="08A08BA8"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corps sans soutien</w:t>
      </w:r>
      <w:r>
        <w:rPr>
          <w:noProof/>
        </w:rPr>
        <w:tab/>
      </w:r>
      <w:r>
        <w:rPr>
          <w:noProof/>
        </w:rPr>
        <w:fldChar w:fldCharType="begin"/>
      </w:r>
      <w:r>
        <w:rPr>
          <w:noProof/>
        </w:rPr>
        <w:instrText xml:space="preserve"> PAGEREF _Toc242103340 \h </w:instrText>
      </w:r>
      <w:r>
        <w:rPr>
          <w:noProof/>
        </w:rPr>
      </w:r>
      <w:r>
        <w:rPr>
          <w:noProof/>
        </w:rPr>
        <w:fldChar w:fldCharType="separate"/>
      </w:r>
      <w:r>
        <w:rPr>
          <w:noProof/>
        </w:rPr>
        <w:t>82</w:t>
      </w:r>
      <w:r>
        <w:rPr>
          <w:noProof/>
        </w:rPr>
        <w:fldChar w:fldCharType="end"/>
      </w:r>
    </w:p>
    <w:p w14:paraId="4BB9C0CD" w14:textId="1074693C"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L’impossibilité légale</w:t>
      </w:r>
      <w:r>
        <w:rPr>
          <w:noProof/>
        </w:rPr>
        <w:tab/>
      </w:r>
      <w:r>
        <w:rPr>
          <w:noProof/>
        </w:rPr>
        <w:fldChar w:fldCharType="begin"/>
      </w:r>
      <w:r>
        <w:rPr>
          <w:noProof/>
        </w:rPr>
        <w:instrText xml:space="preserve"> PAGEREF _Toc242103341 \h </w:instrText>
      </w:r>
      <w:r>
        <w:rPr>
          <w:noProof/>
        </w:rPr>
      </w:r>
      <w:r>
        <w:rPr>
          <w:noProof/>
        </w:rPr>
        <w:fldChar w:fldCharType="separate"/>
      </w:r>
      <w:r>
        <w:rPr>
          <w:noProof/>
        </w:rPr>
        <w:t>82</w:t>
      </w:r>
      <w:r>
        <w:rPr>
          <w:noProof/>
        </w:rPr>
        <w:fldChar w:fldCharType="end"/>
      </w:r>
    </w:p>
    <w:p w14:paraId="30265037" w14:textId="2D302D4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Les conséquences dans la pratique</w:t>
      </w:r>
      <w:r>
        <w:rPr>
          <w:noProof/>
        </w:rPr>
        <w:tab/>
      </w:r>
      <w:r>
        <w:rPr>
          <w:noProof/>
        </w:rPr>
        <w:fldChar w:fldCharType="begin"/>
      </w:r>
      <w:r>
        <w:rPr>
          <w:noProof/>
        </w:rPr>
        <w:instrText xml:space="preserve"> PAGEREF _Toc242103342 \h </w:instrText>
      </w:r>
      <w:r>
        <w:rPr>
          <w:noProof/>
        </w:rPr>
      </w:r>
      <w:r>
        <w:rPr>
          <w:noProof/>
        </w:rPr>
        <w:fldChar w:fldCharType="separate"/>
      </w:r>
      <w:r>
        <w:rPr>
          <w:noProof/>
        </w:rPr>
        <w:t>82</w:t>
      </w:r>
      <w:r>
        <w:rPr>
          <w:noProof/>
        </w:rPr>
        <w:fldChar w:fldCharType="end"/>
      </w:r>
    </w:p>
    <w:p w14:paraId="48E01C5B" w14:textId="3E1D523F"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La loi qui protège la famille et la paralyse</w:t>
      </w:r>
      <w:r>
        <w:rPr>
          <w:noProof/>
        </w:rPr>
        <w:tab/>
      </w:r>
      <w:r>
        <w:rPr>
          <w:noProof/>
        </w:rPr>
        <w:fldChar w:fldCharType="begin"/>
      </w:r>
      <w:r>
        <w:rPr>
          <w:noProof/>
        </w:rPr>
        <w:instrText xml:space="preserve"> PAGEREF _Toc242103343 \h </w:instrText>
      </w:r>
      <w:r>
        <w:rPr>
          <w:noProof/>
        </w:rPr>
      </w:r>
      <w:r>
        <w:rPr>
          <w:noProof/>
        </w:rPr>
        <w:fldChar w:fldCharType="separate"/>
      </w:r>
      <w:r>
        <w:rPr>
          <w:noProof/>
        </w:rPr>
        <w:t>83</w:t>
      </w:r>
      <w:r>
        <w:rPr>
          <w:noProof/>
        </w:rPr>
        <w:fldChar w:fldCharType="end"/>
      </w:r>
    </w:p>
    <w:p w14:paraId="58ACA8BF" w14:textId="5C733E8F"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Le paradoxe</w:t>
      </w:r>
      <w:r>
        <w:rPr>
          <w:noProof/>
        </w:rPr>
        <w:tab/>
      </w:r>
      <w:r>
        <w:rPr>
          <w:noProof/>
        </w:rPr>
        <w:fldChar w:fldCharType="begin"/>
      </w:r>
      <w:r>
        <w:rPr>
          <w:noProof/>
        </w:rPr>
        <w:instrText xml:space="preserve"> PAGEREF _Toc242103344 \h </w:instrText>
      </w:r>
      <w:r>
        <w:rPr>
          <w:noProof/>
        </w:rPr>
      </w:r>
      <w:r>
        <w:rPr>
          <w:noProof/>
        </w:rPr>
        <w:fldChar w:fldCharType="separate"/>
      </w:r>
      <w:r>
        <w:rPr>
          <w:noProof/>
        </w:rPr>
        <w:t>84</w:t>
      </w:r>
      <w:r>
        <w:rPr>
          <w:noProof/>
        </w:rPr>
        <w:fldChar w:fldCharType="end"/>
      </w:r>
    </w:p>
    <w:p w14:paraId="72D2917B" w14:textId="52B0FDB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ce chapitre met en évidence</w:t>
      </w:r>
      <w:r>
        <w:rPr>
          <w:noProof/>
        </w:rPr>
        <w:tab/>
      </w:r>
      <w:r>
        <w:rPr>
          <w:noProof/>
        </w:rPr>
        <w:fldChar w:fldCharType="begin"/>
      </w:r>
      <w:r>
        <w:rPr>
          <w:noProof/>
        </w:rPr>
        <w:instrText xml:space="preserve"> PAGEREF _Toc242103345 \h </w:instrText>
      </w:r>
      <w:r>
        <w:rPr>
          <w:noProof/>
        </w:rPr>
      </w:r>
      <w:r>
        <w:rPr>
          <w:noProof/>
        </w:rPr>
        <w:fldChar w:fldCharType="separate"/>
      </w:r>
      <w:r>
        <w:rPr>
          <w:noProof/>
        </w:rPr>
        <w:t>84</w:t>
      </w:r>
      <w:r>
        <w:rPr>
          <w:noProof/>
        </w:rPr>
        <w:fldChar w:fldCharType="end"/>
      </w:r>
    </w:p>
    <w:p w14:paraId="132423AE" w14:textId="31EE0195"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fonds commun</w:t>
      </w:r>
      <w:r>
        <w:rPr>
          <w:noProof/>
        </w:rPr>
        <w:tab/>
      </w:r>
      <w:r>
        <w:rPr>
          <w:noProof/>
        </w:rPr>
        <w:fldChar w:fldCharType="begin"/>
      </w:r>
      <w:r>
        <w:rPr>
          <w:noProof/>
        </w:rPr>
        <w:instrText xml:space="preserve"> PAGEREF _Toc242103346 \h </w:instrText>
      </w:r>
      <w:r>
        <w:rPr>
          <w:noProof/>
        </w:rPr>
      </w:r>
      <w:r>
        <w:rPr>
          <w:noProof/>
        </w:rPr>
        <w:fldChar w:fldCharType="separate"/>
      </w:r>
      <w:r>
        <w:rPr>
          <w:noProof/>
        </w:rPr>
        <w:t>86</w:t>
      </w:r>
      <w:r>
        <w:rPr>
          <w:noProof/>
        </w:rPr>
        <w:fldChar w:fldCharType="end"/>
      </w:r>
    </w:p>
    <w:p w14:paraId="6C7997C2" w14:textId="4DF73BD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 compte bancaire comme réserve</w:t>
      </w:r>
      <w:r>
        <w:rPr>
          <w:noProof/>
        </w:rPr>
        <w:tab/>
      </w:r>
      <w:r>
        <w:rPr>
          <w:noProof/>
        </w:rPr>
        <w:fldChar w:fldCharType="begin"/>
      </w:r>
      <w:r>
        <w:rPr>
          <w:noProof/>
        </w:rPr>
        <w:instrText xml:space="preserve"> PAGEREF _Toc242103347 \h </w:instrText>
      </w:r>
      <w:r>
        <w:rPr>
          <w:noProof/>
        </w:rPr>
      </w:r>
      <w:r>
        <w:rPr>
          <w:noProof/>
        </w:rPr>
        <w:fldChar w:fldCharType="separate"/>
      </w:r>
      <w:r>
        <w:rPr>
          <w:noProof/>
        </w:rPr>
        <w:t>86</w:t>
      </w:r>
      <w:r>
        <w:rPr>
          <w:noProof/>
        </w:rPr>
        <w:fldChar w:fldCharType="end"/>
      </w:r>
    </w:p>
    <w:p w14:paraId="0FBFED9B" w14:textId="7D6762E7"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Les trois portes privées</w:t>
      </w:r>
      <w:r>
        <w:rPr>
          <w:noProof/>
        </w:rPr>
        <w:tab/>
      </w:r>
      <w:r>
        <w:rPr>
          <w:noProof/>
        </w:rPr>
        <w:fldChar w:fldCharType="begin"/>
      </w:r>
      <w:r>
        <w:rPr>
          <w:noProof/>
        </w:rPr>
        <w:instrText xml:space="preserve"> PAGEREF _Toc242103348 \h </w:instrText>
      </w:r>
      <w:r>
        <w:rPr>
          <w:noProof/>
        </w:rPr>
      </w:r>
      <w:r>
        <w:rPr>
          <w:noProof/>
        </w:rPr>
        <w:fldChar w:fldCharType="separate"/>
      </w:r>
      <w:r>
        <w:rPr>
          <w:noProof/>
        </w:rPr>
        <w:t>86</w:t>
      </w:r>
      <w:r>
        <w:rPr>
          <w:noProof/>
        </w:rPr>
        <w:fldChar w:fldCharType="end"/>
      </w:r>
    </w:p>
    <w:p w14:paraId="510B1E29" w14:textId="12D859CD"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La banque en tant que créancier de facto de l’État-providence</w:t>
      </w:r>
      <w:r>
        <w:rPr>
          <w:noProof/>
        </w:rPr>
        <w:tab/>
      </w:r>
      <w:r>
        <w:rPr>
          <w:noProof/>
        </w:rPr>
        <w:fldChar w:fldCharType="begin"/>
      </w:r>
      <w:r>
        <w:rPr>
          <w:noProof/>
        </w:rPr>
        <w:instrText xml:space="preserve"> PAGEREF _Toc242103349 \h </w:instrText>
      </w:r>
      <w:r>
        <w:rPr>
          <w:noProof/>
        </w:rPr>
      </w:r>
      <w:r>
        <w:rPr>
          <w:noProof/>
        </w:rPr>
        <w:fldChar w:fldCharType="separate"/>
      </w:r>
      <w:r>
        <w:rPr>
          <w:noProof/>
        </w:rPr>
        <w:t>87</w:t>
      </w:r>
      <w:r>
        <w:rPr>
          <w:noProof/>
        </w:rPr>
        <w:fldChar w:fldCharType="end"/>
      </w:r>
    </w:p>
    <w:p w14:paraId="3290F658" w14:textId="74D433D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ce chapitre met en évidence</w:t>
      </w:r>
      <w:r>
        <w:rPr>
          <w:noProof/>
        </w:rPr>
        <w:tab/>
      </w:r>
      <w:r>
        <w:rPr>
          <w:noProof/>
        </w:rPr>
        <w:fldChar w:fldCharType="begin"/>
      </w:r>
      <w:r>
        <w:rPr>
          <w:noProof/>
        </w:rPr>
        <w:instrText xml:space="preserve"> PAGEREF _Toc242103350 \h </w:instrText>
      </w:r>
      <w:r>
        <w:rPr>
          <w:noProof/>
        </w:rPr>
      </w:r>
      <w:r>
        <w:rPr>
          <w:noProof/>
        </w:rPr>
        <w:fldChar w:fldCharType="separate"/>
      </w:r>
      <w:r>
        <w:rPr>
          <w:noProof/>
        </w:rPr>
        <w:t>88</w:t>
      </w:r>
      <w:r>
        <w:rPr>
          <w:noProof/>
        </w:rPr>
        <w:fldChar w:fldCharType="end"/>
      </w:r>
    </w:p>
    <w:p w14:paraId="7E475393" w14:textId="30D89548"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V. Europe</w:t>
      </w:r>
      <w:r>
        <w:rPr>
          <w:noProof/>
        </w:rPr>
        <w:tab/>
      </w:r>
      <w:r>
        <w:rPr>
          <w:noProof/>
        </w:rPr>
        <w:fldChar w:fldCharType="begin"/>
      </w:r>
      <w:r>
        <w:rPr>
          <w:noProof/>
        </w:rPr>
        <w:instrText xml:space="preserve"> PAGEREF _Toc242103351 \h </w:instrText>
      </w:r>
      <w:r>
        <w:rPr>
          <w:noProof/>
        </w:rPr>
      </w:r>
      <w:r>
        <w:rPr>
          <w:noProof/>
        </w:rPr>
        <w:fldChar w:fldCharType="separate"/>
      </w:r>
      <w:r>
        <w:rPr>
          <w:noProof/>
        </w:rPr>
        <w:t>89</w:t>
      </w:r>
      <w:r>
        <w:rPr>
          <w:noProof/>
        </w:rPr>
        <w:fldChar w:fldCharType="end"/>
      </w:r>
    </w:p>
    <w:p w14:paraId="115E24CB" w14:textId="5E162ABB"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niveau européen</w:t>
      </w:r>
      <w:r>
        <w:rPr>
          <w:noProof/>
        </w:rPr>
        <w:tab/>
      </w:r>
      <w:r>
        <w:rPr>
          <w:noProof/>
        </w:rPr>
        <w:fldChar w:fldCharType="begin"/>
      </w:r>
      <w:r>
        <w:rPr>
          <w:noProof/>
        </w:rPr>
        <w:instrText xml:space="preserve"> PAGEREF _Toc242103352 \h </w:instrText>
      </w:r>
      <w:r>
        <w:rPr>
          <w:noProof/>
        </w:rPr>
      </w:r>
      <w:r>
        <w:rPr>
          <w:noProof/>
        </w:rPr>
        <w:fldChar w:fldCharType="separate"/>
      </w:r>
      <w:r>
        <w:rPr>
          <w:noProof/>
        </w:rPr>
        <w:t>89</w:t>
      </w:r>
      <w:r>
        <w:rPr>
          <w:noProof/>
        </w:rPr>
        <w:fldChar w:fldCharType="end"/>
      </w:r>
    </w:p>
    <w:p w14:paraId="63B632EC" w14:textId="606CAB9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Les niveaux européen et international</w:t>
      </w:r>
      <w:r>
        <w:rPr>
          <w:noProof/>
        </w:rPr>
        <w:tab/>
      </w:r>
      <w:r>
        <w:rPr>
          <w:noProof/>
        </w:rPr>
        <w:fldChar w:fldCharType="begin"/>
      </w:r>
      <w:r>
        <w:rPr>
          <w:noProof/>
        </w:rPr>
        <w:instrText xml:space="preserve"> PAGEREF _Toc242103353 \h </w:instrText>
      </w:r>
      <w:r>
        <w:rPr>
          <w:noProof/>
        </w:rPr>
      </w:r>
      <w:r>
        <w:rPr>
          <w:noProof/>
        </w:rPr>
        <w:fldChar w:fldCharType="separate"/>
      </w:r>
      <w:r>
        <w:rPr>
          <w:noProof/>
        </w:rPr>
        <w:t>89</w:t>
      </w:r>
      <w:r>
        <w:rPr>
          <w:noProof/>
        </w:rPr>
        <w:fldChar w:fldCharType="end"/>
      </w:r>
    </w:p>
    <w:p w14:paraId="5FCC63E5" w14:textId="4AA1BBA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 cercle vicieux</w:t>
      </w:r>
      <w:r>
        <w:rPr>
          <w:noProof/>
        </w:rPr>
        <w:tab/>
      </w:r>
      <w:r>
        <w:rPr>
          <w:noProof/>
        </w:rPr>
        <w:fldChar w:fldCharType="begin"/>
      </w:r>
      <w:r>
        <w:rPr>
          <w:noProof/>
        </w:rPr>
        <w:instrText xml:space="preserve"> PAGEREF _Toc242103354 \h </w:instrText>
      </w:r>
      <w:r>
        <w:rPr>
          <w:noProof/>
        </w:rPr>
      </w:r>
      <w:r>
        <w:rPr>
          <w:noProof/>
        </w:rPr>
        <w:fldChar w:fldCharType="separate"/>
      </w:r>
      <w:r>
        <w:rPr>
          <w:noProof/>
        </w:rPr>
        <w:t>89</w:t>
      </w:r>
      <w:r>
        <w:rPr>
          <w:noProof/>
        </w:rPr>
        <w:fldChar w:fldCharType="end"/>
      </w:r>
    </w:p>
    <w:p w14:paraId="3F213211" w14:textId="4077E77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Les deux ouvertures</w:t>
      </w:r>
      <w:r>
        <w:rPr>
          <w:noProof/>
        </w:rPr>
        <w:tab/>
      </w:r>
      <w:r>
        <w:rPr>
          <w:noProof/>
        </w:rPr>
        <w:fldChar w:fldCharType="begin"/>
      </w:r>
      <w:r>
        <w:rPr>
          <w:noProof/>
        </w:rPr>
        <w:instrText xml:space="preserve"> PAGEREF _Toc242103355 \h </w:instrText>
      </w:r>
      <w:r>
        <w:rPr>
          <w:noProof/>
        </w:rPr>
      </w:r>
      <w:r>
        <w:rPr>
          <w:noProof/>
        </w:rPr>
        <w:fldChar w:fldCharType="separate"/>
      </w:r>
      <w:r>
        <w:rPr>
          <w:noProof/>
        </w:rPr>
        <w:t>90</w:t>
      </w:r>
      <w:r>
        <w:rPr>
          <w:noProof/>
        </w:rPr>
        <w:fldChar w:fldCharType="end"/>
      </w:r>
    </w:p>
    <w:p w14:paraId="778A82E6" w14:textId="57B5ABE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La procédure d’infraction qui ne vient pas</w:t>
      </w:r>
      <w:r>
        <w:rPr>
          <w:noProof/>
        </w:rPr>
        <w:tab/>
      </w:r>
      <w:r>
        <w:rPr>
          <w:noProof/>
        </w:rPr>
        <w:fldChar w:fldCharType="begin"/>
      </w:r>
      <w:r>
        <w:rPr>
          <w:noProof/>
        </w:rPr>
        <w:instrText xml:space="preserve"> PAGEREF _Toc242103356 \h </w:instrText>
      </w:r>
      <w:r>
        <w:rPr>
          <w:noProof/>
        </w:rPr>
      </w:r>
      <w:r>
        <w:rPr>
          <w:noProof/>
        </w:rPr>
        <w:fldChar w:fldCharType="separate"/>
      </w:r>
      <w:r>
        <w:rPr>
          <w:noProof/>
        </w:rPr>
        <w:t>91</w:t>
      </w:r>
      <w:r>
        <w:rPr>
          <w:noProof/>
        </w:rPr>
        <w:fldChar w:fldCharType="end"/>
      </w:r>
    </w:p>
    <w:p w14:paraId="17CCB1C3" w14:textId="577E305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La contradiction européenne</w:t>
      </w:r>
      <w:r>
        <w:rPr>
          <w:noProof/>
        </w:rPr>
        <w:tab/>
      </w:r>
      <w:r>
        <w:rPr>
          <w:noProof/>
        </w:rPr>
        <w:fldChar w:fldCharType="begin"/>
      </w:r>
      <w:r>
        <w:rPr>
          <w:noProof/>
        </w:rPr>
        <w:instrText xml:space="preserve"> PAGEREF _Toc242103357 \h </w:instrText>
      </w:r>
      <w:r>
        <w:rPr>
          <w:noProof/>
        </w:rPr>
      </w:r>
      <w:r>
        <w:rPr>
          <w:noProof/>
        </w:rPr>
        <w:fldChar w:fldCharType="separate"/>
      </w:r>
      <w:r>
        <w:rPr>
          <w:noProof/>
        </w:rPr>
        <w:t>91</w:t>
      </w:r>
      <w:r>
        <w:rPr>
          <w:noProof/>
        </w:rPr>
        <w:fldChar w:fldCharType="end"/>
      </w:r>
    </w:p>
    <w:p w14:paraId="22CC313A" w14:textId="014B87F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ce chapitre met en évidence</w:t>
      </w:r>
      <w:r>
        <w:rPr>
          <w:noProof/>
        </w:rPr>
        <w:tab/>
      </w:r>
      <w:r>
        <w:rPr>
          <w:noProof/>
        </w:rPr>
        <w:fldChar w:fldCharType="begin"/>
      </w:r>
      <w:r>
        <w:rPr>
          <w:noProof/>
        </w:rPr>
        <w:instrText xml:space="preserve"> PAGEREF _Toc242103358 \h </w:instrText>
      </w:r>
      <w:r>
        <w:rPr>
          <w:noProof/>
        </w:rPr>
      </w:r>
      <w:r>
        <w:rPr>
          <w:noProof/>
        </w:rPr>
        <w:fldChar w:fldCharType="separate"/>
      </w:r>
      <w:r>
        <w:rPr>
          <w:noProof/>
        </w:rPr>
        <w:t>92</w:t>
      </w:r>
      <w:r>
        <w:rPr>
          <w:noProof/>
        </w:rPr>
        <w:fldChar w:fldCharType="end"/>
      </w:r>
    </w:p>
    <w:p w14:paraId="0E893811" w14:textId="0EC65039"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VI. Qui supervise ?</w:t>
      </w:r>
      <w:r>
        <w:rPr>
          <w:noProof/>
        </w:rPr>
        <w:tab/>
      </w:r>
      <w:r>
        <w:rPr>
          <w:noProof/>
        </w:rPr>
        <w:fldChar w:fldCharType="begin"/>
      </w:r>
      <w:r>
        <w:rPr>
          <w:noProof/>
        </w:rPr>
        <w:instrText xml:space="preserve"> PAGEREF _Toc242103359 \h </w:instrText>
      </w:r>
      <w:r>
        <w:rPr>
          <w:noProof/>
        </w:rPr>
      </w:r>
      <w:r>
        <w:rPr>
          <w:noProof/>
        </w:rPr>
        <w:fldChar w:fldCharType="separate"/>
      </w:r>
      <w:r>
        <w:rPr>
          <w:noProof/>
        </w:rPr>
        <w:t>94</w:t>
      </w:r>
      <w:r>
        <w:rPr>
          <w:noProof/>
        </w:rPr>
        <w:fldChar w:fldCharType="end"/>
      </w:r>
    </w:p>
    <w:p w14:paraId="4138AE48" w14:textId="34D6B8DC"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niveau de contrôle et de médiation</w:t>
      </w:r>
      <w:r>
        <w:rPr>
          <w:noProof/>
        </w:rPr>
        <w:tab/>
      </w:r>
      <w:r>
        <w:rPr>
          <w:noProof/>
        </w:rPr>
        <w:fldChar w:fldCharType="begin"/>
      </w:r>
      <w:r>
        <w:rPr>
          <w:noProof/>
        </w:rPr>
        <w:instrText xml:space="preserve"> PAGEREF _Toc242103360 \h </w:instrText>
      </w:r>
      <w:r>
        <w:rPr>
          <w:noProof/>
        </w:rPr>
      </w:r>
      <w:r>
        <w:rPr>
          <w:noProof/>
        </w:rPr>
        <w:fldChar w:fldCharType="separate"/>
      </w:r>
      <w:r>
        <w:rPr>
          <w:noProof/>
        </w:rPr>
        <w:t>94</w:t>
      </w:r>
      <w:r>
        <w:rPr>
          <w:noProof/>
        </w:rPr>
        <w:fldChar w:fldCharType="end"/>
      </w:r>
    </w:p>
    <w:p w14:paraId="3682CC49" w14:textId="328B575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Les quatre médiateurs</w:t>
      </w:r>
      <w:r>
        <w:rPr>
          <w:noProof/>
        </w:rPr>
        <w:tab/>
      </w:r>
      <w:r>
        <w:rPr>
          <w:noProof/>
        </w:rPr>
        <w:fldChar w:fldCharType="begin"/>
      </w:r>
      <w:r>
        <w:rPr>
          <w:noProof/>
        </w:rPr>
        <w:instrText xml:space="preserve"> PAGEREF _Toc242103361 \h </w:instrText>
      </w:r>
      <w:r>
        <w:rPr>
          <w:noProof/>
        </w:rPr>
      </w:r>
      <w:r>
        <w:rPr>
          <w:noProof/>
        </w:rPr>
        <w:fldChar w:fldCharType="separate"/>
      </w:r>
      <w:r>
        <w:rPr>
          <w:noProof/>
        </w:rPr>
        <w:t>94</w:t>
      </w:r>
      <w:r>
        <w:rPr>
          <w:noProof/>
        </w:rPr>
        <w:fldChar w:fldCharType="end"/>
      </w:r>
    </w:p>
    <w:p w14:paraId="52E3D4F9" w14:textId="78186FF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La différence entre les deux médiateurs</w:t>
      </w:r>
      <w:r>
        <w:rPr>
          <w:noProof/>
        </w:rPr>
        <w:tab/>
      </w:r>
      <w:r>
        <w:rPr>
          <w:noProof/>
        </w:rPr>
        <w:fldChar w:fldCharType="begin"/>
      </w:r>
      <w:r>
        <w:rPr>
          <w:noProof/>
        </w:rPr>
        <w:instrText xml:space="preserve"> PAGEREF _Toc242103362 \h </w:instrText>
      </w:r>
      <w:r>
        <w:rPr>
          <w:noProof/>
        </w:rPr>
      </w:r>
      <w:r>
        <w:rPr>
          <w:noProof/>
        </w:rPr>
        <w:fldChar w:fldCharType="separate"/>
      </w:r>
      <w:r>
        <w:rPr>
          <w:noProof/>
        </w:rPr>
        <w:t>94</w:t>
      </w:r>
      <w:r>
        <w:rPr>
          <w:noProof/>
        </w:rPr>
        <w:fldChar w:fldCharType="end"/>
      </w:r>
    </w:p>
    <w:p w14:paraId="096E471A" w14:textId="4E786C9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La référence circulaire entre les deux centres SOLVIT</w:t>
      </w:r>
      <w:r>
        <w:rPr>
          <w:noProof/>
        </w:rPr>
        <w:tab/>
      </w:r>
      <w:r>
        <w:rPr>
          <w:noProof/>
        </w:rPr>
        <w:fldChar w:fldCharType="begin"/>
      </w:r>
      <w:r>
        <w:rPr>
          <w:noProof/>
        </w:rPr>
        <w:instrText xml:space="preserve"> PAGEREF _Toc242103363 \h </w:instrText>
      </w:r>
      <w:r>
        <w:rPr>
          <w:noProof/>
        </w:rPr>
      </w:r>
      <w:r>
        <w:rPr>
          <w:noProof/>
        </w:rPr>
        <w:fldChar w:fldCharType="separate"/>
      </w:r>
      <w:r>
        <w:rPr>
          <w:noProof/>
        </w:rPr>
        <w:t>95</w:t>
      </w:r>
      <w:r>
        <w:rPr>
          <w:noProof/>
        </w:rPr>
        <w:fldChar w:fldCharType="end"/>
      </w:r>
    </w:p>
    <w:p w14:paraId="66AA6079" w14:textId="46F3102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Le ELA : la voie qui ne s'ouvre pas</w:t>
      </w:r>
      <w:r>
        <w:rPr>
          <w:noProof/>
        </w:rPr>
        <w:tab/>
      </w:r>
      <w:r>
        <w:rPr>
          <w:noProof/>
        </w:rPr>
        <w:fldChar w:fldCharType="begin"/>
      </w:r>
      <w:r>
        <w:rPr>
          <w:noProof/>
        </w:rPr>
        <w:instrText xml:space="preserve"> PAGEREF _Toc242103364 \h </w:instrText>
      </w:r>
      <w:r>
        <w:rPr>
          <w:noProof/>
        </w:rPr>
      </w:r>
      <w:r>
        <w:rPr>
          <w:noProof/>
        </w:rPr>
        <w:fldChar w:fldCharType="separate"/>
      </w:r>
      <w:r>
        <w:rPr>
          <w:noProof/>
        </w:rPr>
        <w:t>95</w:t>
      </w:r>
      <w:r>
        <w:rPr>
          <w:noProof/>
        </w:rPr>
        <w:fldChar w:fldCharType="end"/>
      </w:r>
    </w:p>
    <w:p w14:paraId="3143EC5B" w14:textId="4785799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Le schéma</w:t>
      </w:r>
      <w:r>
        <w:rPr>
          <w:noProof/>
        </w:rPr>
        <w:tab/>
      </w:r>
      <w:r>
        <w:rPr>
          <w:noProof/>
        </w:rPr>
        <w:fldChar w:fldCharType="begin"/>
      </w:r>
      <w:r>
        <w:rPr>
          <w:noProof/>
        </w:rPr>
        <w:instrText xml:space="preserve"> PAGEREF _Toc242103365 \h </w:instrText>
      </w:r>
      <w:r>
        <w:rPr>
          <w:noProof/>
        </w:rPr>
      </w:r>
      <w:r>
        <w:rPr>
          <w:noProof/>
        </w:rPr>
        <w:fldChar w:fldCharType="separate"/>
      </w:r>
      <w:r>
        <w:rPr>
          <w:noProof/>
        </w:rPr>
        <w:t>96</w:t>
      </w:r>
      <w:r>
        <w:rPr>
          <w:noProof/>
        </w:rPr>
        <w:fldChar w:fldCharType="end"/>
      </w:r>
    </w:p>
    <w:p w14:paraId="15CF3634" w14:textId="33EF302A"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tribunaux</w:t>
      </w:r>
      <w:r>
        <w:rPr>
          <w:noProof/>
        </w:rPr>
        <w:tab/>
      </w:r>
      <w:r>
        <w:rPr>
          <w:noProof/>
        </w:rPr>
        <w:fldChar w:fldCharType="begin"/>
      </w:r>
      <w:r>
        <w:rPr>
          <w:noProof/>
        </w:rPr>
        <w:instrText xml:space="preserve"> PAGEREF _Toc242103366 \h </w:instrText>
      </w:r>
      <w:r>
        <w:rPr>
          <w:noProof/>
        </w:rPr>
      </w:r>
      <w:r>
        <w:rPr>
          <w:noProof/>
        </w:rPr>
        <w:fldChar w:fldCharType="separate"/>
      </w:r>
      <w:r>
        <w:rPr>
          <w:noProof/>
        </w:rPr>
        <w:t>98</w:t>
      </w:r>
      <w:r>
        <w:rPr>
          <w:noProof/>
        </w:rPr>
        <w:fldChar w:fldCharType="end"/>
      </w:r>
    </w:p>
    <w:p w14:paraId="495F25E2" w14:textId="313576A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Les deux voies de recours</w:t>
      </w:r>
      <w:r>
        <w:rPr>
          <w:noProof/>
        </w:rPr>
        <w:tab/>
      </w:r>
      <w:r>
        <w:rPr>
          <w:noProof/>
        </w:rPr>
        <w:fldChar w:fldCharType="begin"/>
      </w:r>
      <w:r>
        <w:rPr>
          <w:noProof/>
        </w:rPr>
        <w:instrText xml:space="preserve"> PAGEREF _Toc242103367 \h </w:instrText>
      </w:r>
      <w:r>
        <w:rPr>
          <w:noProof/>
        </w:rPr>
      </w:r>
      <w:r>
        <w:rPr>
          <w:noProof/>
        </w:rPr>
        <w:fldChar w:fldCharType="separate"/>
      </w:r>
      <w:r>
        <w:rPr>
          <w:noProof/>
        </w:rPr>
        <w:t>98</w:t>
      </w:r>
      <w:r>
        <w:rPr>
          <w:noProof/>
        </w:rPr>
        <w:fldChar w:fldCharType="end"/>
      </w:r>
    </w:p>
    <w:p w14:paraId="623D2365" w14:textId="2F82ECB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 seuil d’accès à l’aide juridictionnelle</w:t>
      </w:r>
      <w:r>
        <w:rPr>
          <w:noProof/>
        </w:rPr>
        <w:tab/>
      </w:r>
      <w:r>
        <w:rPr>
          <w:noProof/>
        </w:rPr>
        <w:fldChar w:fldCharType="begin"/>
      </w:r>
      <w:r>
        <w:rPr>
          <w:noProof/>
        </w:rPr>
        <w:instrText xml:space="preserve"> PAGEREF _Toc242103368 \h </w:instrText>
      </w:r>
      <w:r>
        <w:rPr>
          <w:noProof/>
        </w:rPr>
      </w:r>
      <w:r>
        <w:rPr>
          <w:noProof/>
        </w:rPr>
        <w:fldChar w:fldCharType="separate"/>
      </w:r>
      <w:r>
        <w:rPr>
          <w:noProof/>
        </w:rPr>
        <w:t>98</w:t>
      </w:r>
      <w:r>
        <w:rPr>
          <w:noProof/>
        </w:rPr>
        <w:fldChar w:fldCharType="end"/>
      </w:r>
    </w:p>
    <w:p w14:paraId="5E83C0CB" w14:textId="4DAC9BE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L’ironie de l’année de référence</w:t>
      </w:r>
      <w:r>
        <w:rPr>
          <w:noProof/>
        </w:rPr>
        <w:tab/>
      </w:r>
      <w:r>
        <w:rPr>
          <w:noProof/>
        </w:rPr>
        <w:fldChar w:fldCharType="begin"/>
      </w:r>
      <w:r>
        <w:rPr>
          <w:noProof/>
        </w:rPr>
        <w:instrText xml:space="preserve"> PAGEREF _Toc242103369 \h </w:instrText>
      </w:r>
      <w:r>
        <w:rPr>
          <w:noProof/>
        </w:rPr>
      </w:r>
      <w:r>
        <w:rPr>
          <w:noProof/>
        </w:rPr>
        <w:fldChar w:fldCharType="separate"/>
      </w:r>
      <w:r>
        <w:rPr>
          <w:noProof/>
        </w:rPr>
        <w:t>99</w:t>
      </w:r>
      <w:r>
        <w:rPr>
          <w:noProof/>
        </w:rPr>
        <w:fldChar w:fldCharType="end"/>
      </w:r>
    </w:p>
    <w:p w14:paraId="7F88032F" w14:textId="75162DF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Ce que cela signifie</w:t>
      </w:r>
      <w:r>
        <w:rPr>
          <w:noProof/>
        </w:rPr>
        <w:tab/>
      </w:r>
      <w:r>
        <w:rPr>
          <w:noProof/>
        </w:rPr>
        <w:fldChar w:fldCharType="begin"/>
      </w:r>
      <w:r>
        <w:rPr>
          <w:noProof/>
        </w:rPr>
        <w:instrText xml:space="preserve"> PAGEREF _Toc242103370 \h </w:instrText>
      </w:r>
      <w:r>
        <w:rPr>
          <w:noProof/>
        </w:rPr>
      </w:r>
      <w:r>
        <w:rPr>
          <w:noProof/>
        </w:rPr>
        <w:fldChar w:fldCharType="separate"/>
      </w:r>
      <w:r>
        <w:rPr>
          <w:noProof/>
        </w:rPr>
        <w:t>100</w:t>
      </w:r>
      <w:r>
        <w:rPr>
          <w:noProof/>
        </w:rPr>
        <w:fldChar w:fldCharType="end"/>
      </w:r>
    </w:p>
    <w:p w14:paraId="1FEF214E" w14:textId="244844F4"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politique</w:t>
      </w:r>
      <w:r>
        <w:rPr>
          <w:noProof/>
        </w:rPr>
        <w:tab/>
      </w:r>
      <w:r>
        <w:rPr>
          <w:noProof/>
        </w:rPr>
        <w:fldChar w:fldCharType="begin"/>
      </w:r>
      <w:r>
        <w:rPr>
          <w:noProof/>
        </w:rPr>
        <w:instrText xml:space="preserve"> PAGEREF _Toc242103371 \h </w:instrText>
      </w:r>
      <w:r>
        <w:rPr>
          <w:noProof/>
        </w:rPr>
      </w:r>
      <w:r>
        <w:rPr>
          <w:noProof/>
        </w:rPr>
        <w:fldChar w:fldCharType="separate"/>
      </w:r>
      <w:r>
        <w:rPr>
          <w:noProof/>
        </w:rPr>
        <w:t>102</w:t>
      </w:r>
      <w:r>
        <w:rPr>
          <w:noProof/>
        </w:rPr>
        <w:fldChar w:fldCharType="end"/>
      </w:r>
    </w:p>
    <w:p w14:paraId="33DD714C" w14:textId="5C75E9EC"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La séparation des pouvoirs</w:t>
      </w:r>
      <w:r>
        <w:rPr>
          <w:noProof/>
        </w:rPr>
        <w:tab/>
      </w:r>
      <w:r>
        <w:rPr>
          <w:noProof/>
        </w:rPr>
        <w:fldChar w:fldCharType="begin"/>
      </w:r>
      <w:r>
        <w:rPr>
          <w:noProof/>
        </w:rPr>
        <w:instrText xml:space="preserve"> PAGEREF _Toc242103372 \h </w:instrText>
      </w:r>
      <w:r>
        <w:rPr>
          <w:noProof/>
        </w:rPr>
      </w:r>
      <w:r>
        <w:rPr>
          <w:noProof/>
        </w:rPr>
        <w:fldChar w:fldCharType="separate"/>
      </w:r>
      <w:r>
        <w:rPr>
          <w:noProof/>
        </w:rPr>
        <w:t>102</w:t>
      </w:r>
      <w:r>
        <w:rPr>
          <w:noProof/>
        </w:rPr>
        <w:fldChar w:fldCharType="end"/>
      </w:r>
    </w:p>
    <w:p w14:paraId="515040C8" w14:textId="20239BAD"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Ce que la politique peut et ne peut pas faire</w:t>
      </w:r>
      <w:r>
        <w:rPr>
          <w:noProof/>
        </w:rPr>
        <w:tab/>
      </w:r>
      <w:r>
        <w:rPr>
          <w:noProof/>
        </w:rPr>
        <w:fldChar w:fldCharType="begin"/>
      </w:r>
      <w:r>
        <w:rPr>
          <w:noProof/>
        </w:rPr>
        <w:instrText xml:space="preserve"> PAGEREF _Toc242103373 \h </w:instrText>
      </w:r>
      <w:r>
        <w:rPr>
          <w:noProof/>
        </w:rPr>
      </w:r>
      <w:r>
        <w:rPr>
          <w:noProof/>
        </w:rPr>
        <w:fldChar w:fldCharType="separate"/>
      </w:r>
      <w:r>
        <w:rPr>
          <w:noProof/>
        </w:rPr>
        <w:t>102</w:t>
      </w:r>
      <w:r>
        <w:rPr>
          <w:noProof/>
        </w:rPr>
        <w:fldChar w:fldCharType="end"/>
      </w:r>
    </w:p>
    <w:p w14:paraId="0ED22023" w14:textId="02D590E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La pratique parlementaire belge</w:t>
      </w:r>
      <w:r>
        <w:rPr>
          <w:noProof/>
        </w:rPr>
        <w:tab/>
      </w:r>
      <w:r>
        <w:rPr>
          <w:noProof/>
        </w:rPr>
        <w:fldChar w:fldCharType="begin"/>
      </w:r>
      <w:r>
        <w:rPr>
          <w:noProof/>
        </w:rPr>
        <w:instrText xml:space="preserve"> PAGEREF _Toc242103374 \h </w:instrText>
      </w:r>
      <w:r>
        <w:rPr>
          <w:noProof/>
        </w:rPr>
      </w:r>
      <w:r>
        <w:rPr>
          <w:noProof/>
        </w:rPr>
        <w:fldChar w:fldCharType="separate"/>
      </w:r>
      <w:r>
        <w:rPr>
          <w:noProof/>
        </w:rPr>
        <w:t>103</w:t>
      </w:r>
      <w:r>
        <w:rPr>
          <w:noProof/>
        </w:rPr>
        <w:fldChar w:fldCharType="end"/>
      </w:r>
    </w:p>
    <w:p w14:paraId="2E278C46" w14:textId="4EA98035"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La pratique parlementaire néerlandaise</w:t>
      </w:r>
      <w:r>
        <w:rPr>
          <w:noProof/>
        </w:rPr>
        <w:tab/>
      </w:r>
      <w:r>
        <w:rPr>
          <w:noProof/>
        </w:rPr>
        <w:fldChar w:fldCharType="begin"/>
      </w:r>
      <w:r>
        <w:rPr>
          <w:noProof/>
        </w:rPr>
        <w:instrText xml:space="preserve"> PAGEREF _Toc242103375 \h </w:instrText>
      </w:r>
      <w:r>
        <w:rPr>
          <w:noProof/>
        </w:rPr>
      </w:r>
      <w:r>
        <w:rPr>
          <w:noProof/>
        </w:rPr>
        <w:fldChar w:fldCharType="separate"/>
      </w:r>
      <w:r>
        <w:rPr>
          <w:noProof/>
        </w:rPr>
        <w:t>103</w:t>
      </w:r>
      <w:r>
        <w:rPr>
          <w:noProof/>
        </w:rPr>
        <w:fldChar w:fldCharType="end"/>
      </w:r>
    </w:p>
    <w:p w14:paraId="3E3D1DB1" w14:textId="63443860"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Les différences en bref</w:t>
      </w:r>
      <w:r>
        <w:rPr>
          <w:noProof/>
        </w:rPr>
        <w:tab/>
      </w:r>
      <w:r>
        <w:rPr>
          <w:noProof/>
        </w:rPr>
        <w:fldChar w:fldCharType="begin"/>
      </w:r>
      <w:r>
        <w:rPr>
          <w:noProof/>
        </w:rPr>
        <w:instrText xml:space="preserve"> PAGEREF _Toc242103376 \h </w:instrText>
      </w:r>
      <w:r>
        <w:rPr>
          <w:noProof/>
        </w:rPr>
      </w:r>
      <w:r>
        <w:rPr>
          <w:noProof/>
        </w:rPr>
        <w:fldChar w:fldCharType="separate"/>
      </w:r>
      <w:r>
        <w:rPr>
          <w:noProof/>
        </w:rPr>
        <w:t>104</w:t>
      </w:r>
      <w:r>
        <w:rPr>
          <w:noProof/>
        </w:rPr>
        <w:fldChar w:fldCharType="end"/>
      </w:r>
    </w:p>
    <w:p w14:paraId="49A8D4FC" w14:textId="1310ACB1"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F — Le pouvoir du cadrage</w:t>
      </w:r>
      <w:r>
        <w:rPr>
          <w:noProof/>
        </w:rPr>
        <w:tab/>
      </w:r>
      <w:r>
        <w:rPr>
          <w:noProof/>
        </w:rPr>
        <w:fldChar w:fldCharType="begin"/>
      </w:r>
      <w:r>
        <w:rPr>
          <w:noProof/>
        </w:rPr>
        <w:instrText xml:space="preserve"> PAGEREF _Toc242103377 \h </w:instrText>
      </w:r>
      <w:r>
        <w:rPr>
          <w:noProof/>
        </w:rPr>
      </w:r>
      <w:r>
        <w:rPr>
          <w:noProof/>
        </w:rPr>
        <w:fldChar w:fldCharType="separate"/>
      </w:r>
      <w:r>
        <w:rPr>
          <w:noProof/>
        </w:rPr>
        <w:t>105</w:t>
      </w:r>
      <w:r>
        <w:rPr>
          <w:noProof/>
        </w:rPr>
        <w:fldChar w:fldCharType="end"/>
      </w:r>
    </w:p>
    <w:p w14:paraId="6CFF9E89" w14:textId="5F0891B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G — Ce que fait ce dossier</w:t>
      </w:r>
      <w:r>
        <w:rPr>
          <w:noProof/>
        </w:rPr>
        <w:tab/>
      </w:r>
      <w:r>
        <w:rPr>
          <w:noProof/>
        </w:rPr>
        <w:fldChar w:fldCharType="begin"/>
      </w:r>
      <w:r>
        <w:rPr>
          <w:noProof/>
        </w:rPr>
        <w:instrText xml:space="preserve"> PAGEREF _Toc242103378 \h </w:instrText>
      </w:r>
      <w:r>
        <w:rPr>
          <w:noProof/>
        </w:rPr>
      </w:r>
      <w:r>
        <w:rPr>
          <w:noProof/>
        </w:rPr>
        <w:fldChar w:fldCharType="separate"/>
      </w:r>
      <w:r>
        <w:rPr>
          <w:noProof/>
        </w:rPr>
        <w:t>106</w:t>
      </w:r>
      <w:r>
        <w:rPr>
          <w:noProof/>
        </w:rPr>
        <w:fldChar w:fldCharType="end"/>
      </w:r>
    </w:p>
    <w:p w14:paraId="2571E98E" w14:textId="4B5FC474"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noblesse</w:t>
      </w:r>
      <w:r>
        <w:rPr>
          <w:noProof/>
        </w:rPr>
        <w:tab/>
      </w:r>
      <w:r>
        <w:rPr>
          <w:noProof/>
        </w:rPr>
        <w:fldChar w:fldCharType="begin"/>
      </w:r>
      <w:r>
        <w:rPr>
          <w:noProof/>
        </w:rPr>
        <w:instrText xml:space="preserve"> PAGEREF _Toc242103379 \h </w:instrText>
      </w:r>
      <w:r>
        <w:rPr>
          <w:noProof/>
        </w:rPr>
      </w:r>
      <w:r>
        <w:rPr>
          <w:noProof/>
        </w:rPr>
        <w:fldChar w:fldCharType="separate"/>
      </w:r>
      <w:r>
        <w:rPr>
          <w:noProof/>
        </w:rPr>
        <w:t>107</w:t>
      </w:r>
      <w:r>
        <w:rPr>
          <w:noProof/>
        </w:rPr>
        <w:fldChar w:fldCharType="end"/>
      </w:r>
    </w:p>
    <w:p w14:paraId="1E19A2C3" w14:textId="4ECFBA0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Le pouvoir formel : ce que le roi peut et ne peut pas faire</w:t>
      </w:r>
      <w:r>
        <w:rPr>
          <w:noProof/>
        </w:rPr>
        <w:tab/>
      </w:r>
      <w:r>
        <w:rPr>
          <w:noProof/>
        </w:rPr>
        <w:fldChar w:fldCharType="begin"/>
      </w:r>
      <w:r>
        <w:rPr>
          <w:noProof/>
        </w:rPr>
        <w:instrText xml:space="preserve"> PAGEREF _Toc242103380 \h </w:instrText>
      </w:r>
      <w:r>
        <w:rPr>
          <w:noProof/>
        </w:rPr>
      </w:r>
      <w:r>
        <w:rPr>
          <w:noProof/>
        </w:rPr>
        <w:fldChar w:fldCharType="separate"/>
      </w:r>
      <w:r>
        <w:rPr>
          <w:noProof/>
        </w:rPr>
        <w:t>107</w:t>
      </w:r>
      <w:r>
        <w:rPr>
          <w:noProof/>
        </w:rPr>
        <w:fldChar w:fldCharType="end"/>
      </w:r>
    </w:p>
    <w:p w14:paraId="5885D2D4" w14:textId="26D9E8FC"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Le droit de pétition</w:t>
      </w:r>
      <w:r>
        <w:rPr>
          <w:noProof/>
        </w:rPr>
        <w:tab/>
      </w:r>
      <w:r>
        <w:rPr>
          <w:noProof/>
        </w:rPr>
        <w:fldChar w:fldCharType="begin"/>
      </w:r>
      <w:r>
        <w:rPr>
          <w:noProof/>
        </w:rPr>
        <w:instrText xml:space="preserve"> PAGEREF _Toc242103381 \h </w:instrText>
      </w:r>
      <w:r>
        <w:rPr>
          <w:noProof/>
        </w:rPr>
      </w:r>
      <w:r>
        <w:rPr>
          <w:noProof/>
        </w:rPr>
        <w:fldChar w:fldCharType="separate"/>
      </w:r>
      <w:r>
        <w:rPr>
          <w:noProof/>
        </w:rPr>
        <w:t>107</w:t>
      </w:r>
      <w:r>
        <w:rPr>
          <w:noProof/>
        </w:rPr>
        <w:fldChar w:fldCharType="end"/>
      </w:r>
    </w:p>
    <w:p w14:paraId="20F5ED81" w14:textId="12AD63E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La pratique : comment les pétitions sont-elles traitées ?</w:t>
      </w:r>
      <w:r>
        <w:rPr>
          <w:noProof/>
        </w:rPr>
        <w:tab/>
      </w:r>
      <w:r>
        <w:rPr>
          <w:noProof/>
        </w:rPr>
        <w:fldChar w:fldCharType="begin"/>
      </w:r>
      <w:r>
        <w:rPr>
          <w:noProof/>
        </w:rPr>
        <w:instrText xml:space="preserve"> PAGEREF _Toc242103382 \h </w:instrText>
      </w:r>
      <w:r>
        <w:rPr>
          <w:noProof/>
        </w:rPr>
      </w:r>
      <w:r>
        <w:rPr>
          <w:noProof/>
        </w:rPr>
        <w:fldChar w:fldCharType="separate"/>
      </w:r>
      <w:r>
        <w:rPr>
          <w:noProof/>
        </w:rPr>
        <w:t>108</w:t>
      </w:r>
      <w:r>
        <w:rPr>
          <w:noProof/>
        </w:rPr>
        <w:fldChar w:fldCharType="end"/>
      </w:r>
    </w:p>
    <w:p w14:paraId="15A52337" w14:textId="72072454"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Le paradoxe de la voie informelle</w:t>
      </w:r>
      <w:r>
        <w:rPr>
          <w:noProof/>
        </w:rPr>
        <w:tab/>
      </w:r>
      <w:r>
        <w:rPr>
          <w:noProof/>
        </w:rPr>
        <w:fldChar w:fldCharType="begin"/>
      </w:r>
      <w:r>
        <w:rPr>
          <w:noProof/>
        </w:rPr>
        <w:instrText xml:space="preserve"> PAGEREF _Toc242103383 \h </w:instrText>
      </w:r>
      <w:r>
        <w:rPr>
          <w:noProof/>
        </w:rPr>
      </w:r>
      <w:r>
        <w:rPr>
          <w:noProof/>
        </w:rPr>
        <w:fldChar w:fldCharType="separate"/>
      </w:r>
      <w:r>
        <w:rPr>
          <w:noProof/>
        </w:rPr>
        <w:t>108</w:t>
      </w:r>
      <w:r>
        <w:rPr>
          <w:noProof/>
        </w:rPr>
        <w:fldChar w:fldCharType="end"/>
      </w:r>
    </w:p>
    <w:p w14:paraId="7B44B50A" w14:textId="7196484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E — La pratique dans ce dossier</w:t>
      </w:r>
      <w:r>
        <w:rPr>
          <w:noProof/>
        </w:rPr>
        <w:tab/>
      </w:r>
      <w:r>
        <w:rPr>
          <w:noProof/>
        </w:rPr>
        <w:fldChar w:fldCharType="begin"/>
      </w:r>
      <w:r>
        <w:rPr>
          <w:noProof/>
        </w:rPr>
        <w:instrText xml:space="preserve"> PAGEREF _Toc242103384 \h </w:instrText>
      </w:r>
      <w:r>
        <w:rPr>
          <w:noProof/>
        </w:rPr>
      </w:r>
      <w:r>
        <w:rPr>
          <w:noProof/>
        </w:rPr>
        <w:fldChar w:fldCharType="separate"/>
      </w:r>
      <w:r>
        <w:rPr>
          <w:noProof/>
        </w:rPr>
        <w:t>109</w:t>
      </w:r>
      <w:r>
        <w:rPr>
          <w:noProof/>
        </w:rPr>
        <w:fldChar w:fldCharType="end"/>
      </w:r>
    </w:p>
    <w:p w14:paraId="15E24C74" w14:textId="58205379"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F — Conclusions de ce chapitre</w:t>
      </w:r>
      <w:r>
        <w:rPr>
          <w:noProof/>
        </w:rPr>
        <w:tab/>
      </w:r>
      <w:r>
        <w:rPr>
          <w:noProof/>
        </w:rPr>
        <w:fldChar w:fldCharType="begin"/>
      </w:r>
      <w:r>
        <w:rPr>
          <w:noProof/>
        </w:rPr>
        <w:instrText xml:space="preserve"> PAGEREF _Toc242103385 \h </w:instrText>
      </w:r>
      <w:r>
        <w:rPr>
          <w:noProof/>
        </w:rPr>
      </w:r>
      <w:r>
        <w:rPr>
          <w:noProof/>
        </w:rPr>
        <w:fldChar w:fldCharType="separate"/>
      </w:r>
      <w:r>
        <w:rPr>
          <w:noProof/>
        </w:rPr>
        <w:t>109</w:t>
      </w:r>
      <w:r>
        <w:rPr>
          <w:noProof/>
        </w:rPr>
        <w:fldChar w:fldCharType="end"/>
      </w:r>
    </w:p>
    <w:p w14:paraId="259BAF85" w14:textId="364C2037"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Les alliés et l'organisme de surveillance</w:t>
      </w:r>
      <w:r>
        <w:rPr>
          <w:noProof/>
        </w:rPr>
        <w:tab/>
      </w:r>
      <w:r>
        <w:rPr>
          <w:noProof/>
        </w:rPr>
        <w:fldChar w:fldCharType="begin"/>
      </w:r>
      <w:r>
        <w:rPr>
          <w:noProof/>
        </w:rPr>
        <w:instrText xml:space="preserve"> PAGEREF _Toc242103386 \h </w:instrText>
      </w:r>
      <w:r>
        <w:rPr>
          <w:noProof/>
        </w:rPr>
      </w:r>
      <w:r>
        <w:rPr>
          <w:noProof/>
        </w:rPr>
        <w:fldChar w:fldCharType="separate"/>
      </w:r>
      <w:r>
        <w:rPr>
          <w:noProof/>
        </w:rPr>
        <w:t>111</w:t>
      </w:r>
      <w:r>
        <w:rPr>
          <w:noProof/>
        </w:rPr>
        <w:fldChar w:fldCharType="end"/>
      </w:r>
    </w:p>
    <w:p w14:paraId="60A94FB1" w14:textId="68DAAF7A"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A — CSC : le syndicat qui aide et qui s’arrête</w:t>
      </w:r>
      <w:r>
        <w:rPr>
          <w:noProof/>
        </w:rPr>
        <w:tab/>
      </w:r>
      <w:r>
        <w:rPr>
          <w:noProof/>
        </w:rPr>
        <w:fldChar w:fldCharType="begin"/>
      </w:r>
      <w:r>
        <w:rPr>
          <w:noProof/>
        </w:rPr>
        <w:instrText xml:space="preserve"> PAGEREF _Toc242103387 \h </w:instrText>
      </w:r>
      <w:r>
        <w:rPr>
          <w:noProof/>
        </w:rPr>
      </w:r>
      <w:r>
        <w:rPr>
          <w:noProof/>
        </w:rPr>
        <w:fldChar w:fldCharType="separate"/>
      </w:r>
      <w:r>
        <w:rPr>
          <w:noProof/>
        </w:rPr>
        <w:t>111</w:t>
      </w:r>
      <w:r>
        <w:rPr>
          <w:noProof/>
        </w:rPr>
        <w:fldChar w:fldCharType="end"/>
      </w:r>
    </w:p>
    <w:p w14:paraId="5A6312FD" w14:textId="3F4CE9B6"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B — UNIA : l’organisme de surveillance qui n’a pas le droit de mordre</w:t>
      </w:r>
      <w:r>
        <w:rPr>
          <w:noProof/>
        </w:rPr>
        <w:tab/>
      </w:r>
      <w:r>
        <w:rPr>
          <w:noProof/>
        </w:rPr>
        <w:fldChar w:fldCharType="begin"/>
      </w:r>
      <w:r>
        <w:rPr>
          <w:noProof/>
        </w:rPr>
        <w:instrText xml:space="preserve"> PAGEREF _Toc242103388 \h </w:instrText>
      </w:r>
      <w:r>
        <w:rPr>
          <w:noProof/>
        </w:rPr>
      </w:r>
      <w:r>
        <w:rPr>
          <w:noProof/>
        </w:rPr>
        <w:fldChar w:fldCharType="separate"/>
      </w:r>
      <w:r>
        <w:rPr>
          <w:noProof/>
        </w:rPr>
        <w:t>112</w:t>
      </w:r>
      <w:r>
        <w:rPr>
          <w:noProof/>
        </w:rPr>
        <w:fldChar w:fldCharType="end"/>
      </w:r>
    </w:p>
    <w:p w14:paraId="25DC5E03" w14:textId="3EE3BC32"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C — Le niveau d’observation académique</w:t>
      </w:r>
      <w:r>
        <w:rPr>
          <w:noProof/>
        </w:rPr>
        <w:tab/>
      </w:r>
      <w:r>
        <w:rPr>
          <w:noProof/>
        </w:rPr>
        <w:fldChar w:fldCharType="begin"/>
      </w:r>
      <w:r>
        <w:rPr>
          <w:noProof/>
        </w:rPr>
        <w:instrText xml:space="preserve"> PAGEREF _Toc242103389 \h </w:instrText>
      </w:r>
      <w:r>
        <w:rPr>
          <w:noProof/>
        </w:rPr>
      </w:r>
      <w:r>
        <w:rPr>
          <w:noProof/>
        </w:rPr>
        <w:fldChar w:fldCharType="separate"/>
      </w:r>
      <w:r>
        <w:rPr>
          <w:noProof/>
        </w:rPr>
        <w:t>113</w:t>
      </w:r>
      <w:r>
        <w:rPr>
          <w:noProof/>
        </w:rPr>
        <w:fldChar w:fldCharType="end"/>
      </w:r>
    </w:p>
    <w:p w14:paraId="120F545C" w14:textId="21DE9B75"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Partie D — Ce que ce chapitre établit</w:t>
      </w:r>
      <w:r>
        <w:rPr>
          <w:noProof/>
        </w:rPr>
        <w:tab/>
      </w:r>
      <w:r>
        <w:rPr>
          <w:noProof/>
        </w:rPr>
        <w:fldChar w:fldCharType="begin"/>
      </w:r>
      <w:r>
        <w:rPr>
          <w:noProof/>
        </w:rPr>
        <w:instrText xml:space="preserve"> PAGEREF _Toc242103390 \h </w:instrText>
      </w:r>
      <w:r>
        <w:rPr>
          <w:noProof/>
        </w:rPr>
      </w:r>
      <w:r>
        <w:rPr>
          <w:noProof/>
        </w:rPr>
        <w:fldChar w:fldCharType="separate"/>
      </w:r>
      <w:r>
        <w:rPr>
          <w:noProof/>
        </w:rPr>
        <w:t>114</w:t>
      </w:r>
      <w:r>
        <w:rPr>
          <w:noProof/>
        </w:rPr>
        <w:fldChar w:fldCharType="end"/>
      </w:r>
    </w:p>
    <w:p w14:paraId="71241AE5" w14:textId="66E2660D" w:rsidR="0020702A" w:rsidRDefault="0020702A" w:rsidP="0020702A">
      <w:pPr>
        <w:pStyle w:val="Inhopg1"/>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VII. Conclusion</w:t>
      </w:r>
      <w:r>
        <w:rPr>
          <w:noProof/>
        </w:rPr>
        <w:tab/>
      </w:r>
      <w:r>
        <w:rPr>
          <w:noProof/>
        </w:rPr>
        <w:fldChar w:fldCharType="begin"/>
      </w:r>
      <w:r>
        <w:rPr>
          <w:noProof/>
        </w:rPr>
        <w:instrText xml:space="preserve"> PAGEREF _Toc242103391 \h </w:instrText>
      </w:r>
      <w:r>
        <w:rPr>
          <w:noProof/>
        </w:rPr>
      </w:r>
      <w:r>
        <w:rPr>
          <w:noProof/>
        </w:rPr>
        <w:fldChar w:fldCharType="separate"/>
      </w:r>
      <w:r>
        <w:rPr>
          <w:noProof/>
        </w:rPr>
        <w:t>116</w:t>
      </w:r>
      <w:r>
        <w:rPr>
          <w:noProof/>
        </w:rPr>
        <w:fldChar w:fldCharType="end"/>
      </w:r>
    </w:p>
    <w:p w14:paraId="1128BC5B" w14:textId="6AD9413C"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Conclusion — la pyramide complète</w:t>
      </w:r>
      <w:r>
        <w:rPr>
          <w:noProof/>
        </w:rPr>
        <w:tab/>
      </w:r>
      <w:r>
        <w:rPr>
          <w:noProof/>
        </w:rPr>
        <w:fldChar w:fldCharType="begin"/>
      </w:r>
      <w:r>
        <w:rPr>
          <w:noProof/>
        </w:rPr>
        <w:instrText xml:space="preserve"> PAGEREF _Toc242103392 \h </w:instrText>
      </w:r>
      <w:r>
        <w:rPr>
          <w:noProof/>
        </w:rPr>
      </w:r>
      <w:r>
        <w:rPr>
          <w:noProof/>
        </w:rPr>
        <w:fldChar w:fldCharType="separate"/>
      </w:r>
      <w:r>
        <w:rPr>
          <w:noProof/>
        </w:rPr>
        <w:t>116</w:t>
      </w:r>
      <w:r>
        <w:rPr>
          <w:noProof/>
        </w:rPr>
        <w:fldChar w:fldCharType="end"/>
      </w:r>
    </w:p>
    <w:p w14:paraId="62CE9798" w14:textId="0855292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La pyramide</w:t>
      </w:r>
      <w:r>
        <w:rPr>
          <w:noProof/>
        </w:rPr>
        <w:tab/>
      </w:r>
      <w:r>
        <w:rPr>
          <w:noProof/>
        </w:rPr>
        <w:fldChar w:fldCharType="begin"/>
      </w:r>
      <w:r>
        <w:rPr>
          <w:noProof/>
        </w:rPr>
        <w:instrText xml:space="preserve"> PAGEREF _Toc242103393 \h </w:instrText>
      </w:r>
      <w:r>
        <w:rPr>
          <w:noProof/>
        </w:rPr>
      </w:r>
      <w:r>
        <w:rPr>
          <w:noProof/>
        </w:rPr>
        <w:fldChar w:fldCharType="separate"/>
      </w:r>
      <w:r>
        <w:rPr>
          <w:noProof/>
        </w:rPr>
        <w:t>116</w:t>
      </w:r>
      <w:r>
        <w:rPr>
          <w:noProof/>
        </w:rPr>
        <w:fldChar w:fldCharType="end"/>
      </w:r>
    </w:p>
    <w:p w14:paraId="2A9A8653" w14:textId="02E6FD7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ce dossier a mis en évidence</w:t>
      </w:r>
      <w:r>
        <w:rPr>
          <w:noProof/>
        </w:rPr>
        <w:tab/>
      </w:r>
      <w:r>
        <w:rPr>
          <w:noProof/>
        </w:rPr>
        <w:fldChar w:fldCharType="begin"/>
      </w:r>
      <w:r>
        <w:rPr>
          <w:noProof/>
        </w:rPr>
        <w:instrText xml:space="preserve"> PAGEREF _Toc242103394 \h </w:instrText>
      </w:r>
      <w:r>
        <w:rPr>
          <w:noProof/>
        </w:rPr>
      </w:r>
      <w:r>
        <w:rPr>
          <w:noProof/>
        </w:rPr>
        <w:fldChar w:fldCharType="separate"/>
      </w:r>
      <w:r>
        <w:rPr>
          <w:noProof/>
        </w:rPr>
        <w:t>116</w:t>
      </w:r>
      <w:r>
        <w:rPr>
          <w:noProof/>
        </w:rPr>
        <w:fldChar w:fldCharType="end"/>
      </w:r>
    </w:p>
    <w:p w14:paraId="051FEB68" w14:textId="60B2CC8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pont vers le document D</w:t>
      </w:r>
      <w:r>
        <w:rPr>
          <w:noProof/>
        </w:rPr>
        <w:tab/>
      </w:r>
      <w:r>
        <w:rPr>
          <w:noProof/>
        </w:rPr>
        <w:fldChar w:fldCharType="begin"/>
      </w:r>
      <w:r>
        <w:rPr>
          <w:noProof/>
        </w:rPr>
        <w:instrText xml:space="preserve"> PAGEREF _Toc242103395 \h </w:instrText>
      </w:r>
      <w:r>
        <w:rPr>
          <w:noProof/>
        </w:rPr>
      </w:r>
      <w:r>
        <w:rPr>
          <w:noProof/>
        </w:rPr>
        <w:fldChar w:fldCharType="separate"/>
      </w:r>
      <w:r>
        <w:rPr>
          <w:noProof/>
        </w:rPr>
        <w:t>117</w:t>
      </w:r>
      <w:r>
        <w:rPr>
          <w:noProof/>
        </w:rPr>
        <w:fldChar w:fldCharType="end"/>
      </w:r>
    </w:p>
    <w:p w14:paraId="3496B2AC" w14:textId="522D63B0" w:rsidR="0020702A" w:rsidRDefault="0020702A" w:rsidP="0020702A">
      <w:pPr>
        <w:pStyle w:val="Inhopg2"/>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Le réseau complet</w:t>
      </w:r>
      <w:r>
        <w:rPr>
          <w:noProof/>
        </w:rPr>
        <w:tab/>
      </w:r>
      <w:r>
        <w:rPr>
          <w:noProof/>
        </w:rPr>
        <w:fldChar w:fldCharType="begin"/>
      </w:r>
      <w:r>
        <w:rPr>
          <w:noProof/>
        </w:rPr>
        <w:instrText xml:space="preserve"> PAGEREF _Toc242103396 \h </w:instrText>
      </w:r>
      <w:r>
        <w:rPr>
          <w:noProof/>
        </w:rPr>
      </w:r>
      <w:r>
        <w:rPr>
          <w:noProof/>
        </w:rPr>
        <w:fldChar w:fldCharType="separate"/>
      </w:r>
      <w:r>
        <w:rPr>
          <w:noProof/>
        </w:rPr>
        <w:t>118</w:t>
      </w:r>
      <w:r>
        <w:rPr>
          <w:noProof/>
        </w:rPr>
        <w:fldChar w:fldCharType="end"/>
      </w:r>
    </w:p>
    <w:p w14:paraId="14514BAD" w14:textId="29827F7B"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voit la famille</w:t>
      </w:r>
      <w:r>
        <w:rPr>
          <w:noProof/>
        </w:rPr>
        <w:tab/>
      </w:r>
      <w:r>
        <w:rPr>
          <w:noProof/>
        </w:rPr>
        <w:fldChar w:fldCharType="begin"/>
      </w:r>
      <w:r>
        <w:rPr>
          <w:noProof/>
        </w:rPr>
        <w:instrText xml:space="preserve"> PAGEREF _Toc242103397 \h </w:instrText>
      </w:r>
      <w:r>
        <w:rPr>
          <w:noProof/>
        </w:rPr>
      </w:r>
      <w:r>
        <w:rPr>
          <w:noProof/>
        </w:rPr>
        <w:fldChar w:fldCharType="separate"/>
      </w:r>
      <w:r>
        <w:rPr>
          <w:noProof/>
        </w:rPr>
        <w:t>118</w:t>
      </w:r>
      <w:r>
        <w:rPr>
          <w:noProof/>
        </w:rPr>
        <w:fldChar w:fldCharType="end"/>
      </w:r>
    </w:p>
    <w:p w14:paraId="0DD0E180" w14:textId="15A872D3"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que montre ce schéma</w:t>
      </w:r>
      <w:r>
        <w:rPr>
          <w:noProof/>
        </w:rPr>
        <w:tab/>
      </w:r>
      <w:r>
        <w:rPr>
          <w:noProof/>
        </w:rPr>
        <w:fldChar w:fldCharType="begin"/>
      </w:r>
      <w:r>
        <w:rPr>
          <w:noProof/>
        </w:rPr>
        <w:instrText xml:space="preserve"> PAGEREF _Toc242103398 \h </w:instrText>
      </w:r>
      <w:r>
        <w:rPr>
          <w:noProof/>
        </w:rPr>
      </w:r>
      <w:r>
        <w:rPr>
          <w:noProof/>
        </w:rPr>
        <w:fldChar w:fldCharType="separate"/>
      </w:r>
      <w:r>
        <w:rPr>
          <w:noProof/>
        </w:rPr>
        <w:t>118</w:t>
      </w:r>
      <w:r>
        <w:rPr>
          <w:noProof/>
        </w:rPr>
        <w:fldChar w:fldCharType="end"/>
      </w:r>
    </w:p>
    <w:p w14:paraId="2167A113" w14:textId="33CE5D8F" w:rsidR="0020702A" w:rsidRDefault="0020702A" w:rsidP="0020702A">
      <w:pPr>
        <w:pStyle w:val="Inhopg3"/>
        <w:tabs>
          <w:tab w:val="right" w:leader="dot" w:pos="9062"/>
        </w:tabs>
        <w:divId w:val="69544635"/>
        <w:rPr>
          <w:rFonts w:asciiTheme="minorHAnsi" w:hAnsiTheme="minorHAnsi" w:cstheme="minorBidi"/>
          <w:noProof/>
          <w:kern w:val="2"/>
          <w:sz w:val="24"/>
          <w14:ligatures w14:val="standardContextual"/>
        </w:rPr>
      </w:pPr>
      <w:r w:rsidRPr="00B56FCF">
        <w:rPr>
          <w:rFonts w:eastAsia="Times New Roman"/>
          <w:noProof/>
          <w:lang w:val="fr-FR"/>
        </w:rPr>
        <w:t>Ce qui n’y figure pas</w:t>
      </w:r>
      <w:r>
        <w:rPr>
          <w:noProof/>
        </w:rPr>
        <w:tab/>
      </w:r>
      <w:r>
        <w:rPr>
          <w:noProof/>
        </w:rPr>
        <w:fldChar w:fldCharType="begin"/>
      </w:r>
      <w:r>
        <w:rPr>
          <w:noProof/>
        </w:rPr>
        <w:instrText xml:space="preserve"> PAGEREF _Toc242103399 \h </w:instrText>
      </w:r>
      <w:r>
        <w:rPr>
          <w:noProof/>
        </w:rPr>
      </w:r>
      <w:r>
        <w:rPr>
          <w:noProof/>
        </w:rPr>
        <w:fldChar w:fldCharType="separate"/>
      </w:r>
      <w:r>
        <w:rPr>
          <w:noProof/>
        </w:rPr>
        <w:t>119</w:t>
      </w:r>
      <w:r>
        <w:rPr>
          <w:noProof/>
        </w:rPr>
        <w:fldChar w:fldCharType="end"/>
      </w:r>
    </w:p>
    <w:p w14:paraId="54BE150E" w14:textId="1F9B2AE0" w:rsidR="0020702A" w:rsidRDefault="0020702A" w:rsidP="0020702A">
      <w:pPr>
        <w:pStyle w:val="marker"/>
        <w:divId w:val="69544635"/>
        <w:rPr>
          <w:lang w:val="fr-FR"/>
        </w:rPr>
      </w:pPr>
      <w:r>
        <w:rPr>
          <w:lang w:val="fr-FR"/>
        </w:rPr>
        <w:fldChar w:fldCharType="end"/>
      </w:r>
    </w:p>
    <w:p w14:paraId="34D10BA7" w14:textId="77777777" w:rsidR="0020702A" w:rsidRDefault="0020702A">
      <w:pPr>
        <w:pStyle w:val="marker"/>
        <w:ind w:left="800" w:right="800"/>
        <w:divId w:val="1419013937"/>
        <w:rPr>
          <w:lang w:val="fr-FR"/>
        </w:rPr>
      </w:pPr>
      <w:r>
        <w:br w:type="page"/>
      </w:r>
    </w:p>
    <w:p w14:paraId="31CDF6D2" w14:textId="77777777" w:rsidR="0020702A" w:rsidRDefault="0020702A">
      <w:pPr>
        <w:pStyle w:val="Kop1"/>
        <w:divId w:val="1419013937"/>
        <w:rPr>
          <w:rFonts w:eastAsia="Times New Roman"/>
          <w:lang w:val="fr-FR"/>
        </w:rPr>
      </w:pPr>
      <w:bookmarkStart w:id="1" w:name="_Toc242103241"/>
      <w:r>
        <w:rPr>
          <w:rFonts w:eastAsia="Times New Roman"/>
          <w:lang w:val="fr-FR"/>
        </w:rPr>
        <w:t>Introduction et guide de lecture</w:t>
      </w:r>
      <w:bookmarkEnd w:id="1"/>
    </w:p>
    <w:p w14:paraId="4582B1ED" w14:textId="77777777" w:rsidR="0020702A" w:rsidRDefault="0020702A">
      <w:pPr>
        <w:pStyle w:val="lead"/>
        <w:divId w:val="1419013937"/>
        <w:rPr>
          <w:lang w:val="fr-FR"/>
        </w:rPr>
      </w:pPr>
      <w:r>
        <w:rPr>
          <w:lang w:val="fr-FR"/>
        </w:rPr>
        <w:t>Le document C est le document visuel du projet d'audit du système. Il présente en un coup d'œil ce qui est dispersé dans les autres documents : la structure du réseau, les flux entre les instances et les mécanismes à l'origine des défaillances.</w:t>
      </w:r>
    </w:p>
    <w:p w14:paraId="41F0B08E" w14:textId="77777777" w:rsidR="0020702A" w:rsidRDefault="0020702A">
      <w:pPr>
        <w:pStyle w:val="Kop2"/>
        <w:divId w:val="1419013937"/>
        <w:rPr>
          <w:rFonts w:eastAsia="Times New Roman"/>
          <w:lang w:val="fr-FR"/>
        </w:rPr>
      </w:pPr>
      <w:bookmarkStart w:id="2" w:name="_Toc242103242"/>
      <w:r>
        <w:rPr>
          <w:rFonts w:eastAsia="Times New Roman"/>
          <w:lang w:val="fr-FR"/>
        </w:rPr>
        <w:t>Nature de ce document</w:t>
      </w:r>
      <w:bookmarkEnd w:id="2"/>
    </w:p>
    <w:p w14:paraId="49B22129" w14:textId="77777777" w:rsidR="0020702A" w:rsidRDefault="0020702A">
      <w:pPr>
        <w:pStyle w:val="Normaalweb"/>
        <w:divId w:val="1419013937"/>
        <w:rPr>
          <w:lang w:val="fr-FR"/>
        </w:rPr>
      </w:pPr>
      <w:r>
        <w:rPr>
          <w:lang w:val="fr-FR"/>
        </w:rPr>
        <w:t xml:space="preserve">Le document C n’est pas une simple reproduction sous forme visuelle des autres documents. Il offre une perspective distincte qui n’existe que sous forme de schémas. Alors que le document A raconte l’histoire, que le document B organise les faits et que le document D en tire les conclusions, le document C présente </w:t>
      </w:r>
      <w:r>
        <w:rPr>
          <w:rStyle w:val="Zwaar"/>
          <w:lang w:val="fr-FR"/>
        </w:rPr>
        <w:t>l’architecture</w:t>
      </w:r>
      <w:r>
        <w:rPr>
          <w:lang w:val="fr-FR"/>
        </w:rPr>
        <w:t xml:space="preserve"> qui sous-tend tous ces faits.</w:t>
      </w:r>
    </w:p>
    <w:p w14:paraId="51AEF91C" w14:textId="77777777" w:rsidR="0020702A" w:rsidRDefault="0020702A">
      <w:pPr>
        <w:pStyle w:val="Normaalweb"/>
        <w:divId w:val="1419013937"/>
        <w:rPr>
          <w:lang w:val="fr-FR"/>
        </w:rPr>
      </w:pPr>
      <w:r>
        <w:rPr>
          <w:lang w:val="fr-FR"/>
        </w:rPr>
        <w:t>Le document est structuré en une série de chapitres. Chaque chapitre est un schéma distinct accompagné d’un court texte. Pas de récit continu, pas de longues analyses. Chaque schéma illustre un mécanisme, un schéma récurrent ou un lien que l’on retrouve certes dans les autres documents, mais jamais d’un seul coup d’œil.</w:t>
      </w:r>
    </w:p>
    <w:p w14:paraId="4097917F" w14:textId="77777777" w:rsidR="0020702A" w:rsidRDefault="0020702A">
      <w:pPr>
        <w:pStyle w:val="Kop2"/>
        <w:divId w:val="1419013937"/>
        <w:rPr>
          <w:rFonts w:eastAsia="Times New Roman"/>
          <w:lang w:val="fr-FR"/>
        </w:rPr>
      </w:pPr>
      <w:bookmarkStart w:id="3" w:name="_Toc242103243"/>
      <w:r>
        <w:rPr>
          <w:rFonts w:eastAsia="Times New Roman"/>
          <w:lang w:val="fr-FR"/>
        </w:rPr>
        <w:t>La différence par rapport aux autres documents</w:t>
      </w:r>
      <w:bookmarkEnd w:id="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4FB0544"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1B58550" w14:textId="77777777" w:rsidR="0020702A" w:rsidRDefault="0020702A">
            <w:pPr>
              <w:pStyle w:val="Normaalweb"/>
              <w:spacing w:before="120"/>
              <w:jc w:val="center"/>
              <w:rPr>
                <w:sz w:val="21"/>
                <w:szCs w:val="21"/>
              </w:rPr>
            </w:pPr>
            <w:r>
              <w:rPr>
                <w:noProof/>
                <w:sz w:val="21"/>
                <w:szCs w:val="21"/>
              </w:rPr>
              <w:drawing>
                <wp:inline distT="0" distB="0" distL="0" distR="0" wp14:anchorId="67FB2CF3" wp14:editId="53DB2269">
                  <wp:extent cx="3810000" cy="1181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7BC80F2C" w14:textId="77777777" w:rsidR="0020702A" w:rsidRDefault="0020702A">
            <w:pPr>
              <w:pStyle w:val="caption"/>
              <w:spacing w:after="120" w:afterAutospacing="0"/>
            </w:pPr>
            <w:r>
              <w:rPr>
                <w:rStyle w:val="Zwaar"/>
              </w:rPr>
              <w:t>Figure 0.1 — Les cinq documents.</w:t>
            </w:r>
            <w:r>
              <w:t xml:space="preserve"> Chaque document a sa propre fonction. Le document 0 est l’introduction et le guide de lecture, le document A est l’audit narratif, le document B est la matrice de données, le document C est l’architecture visuelle, le document D est la synthèse. Le document C présente l’architecture qui sous-tend l’ensemble.</w:t>
            </w:r>
          </w:p>
        </w:tc>
      </w:tr>
    </w:tbl>
    <w:p w14:paraId="6D05EC53" w14:textId="77777777" w:rsidR="0020702A" w:rsidRDefault="0020702A">
      <w:pPr>
        <w:pStyle w:val="Kop2"/>
        <w:divId w:val="1419013937"/>
        <w:rPr>
          <w:rFonts w:eastAsia="Times New Roman"/>
          <w:lang w:val="fr-FR"/>
        </w:rPr>
      </w:pPr>
      <w:bookmarkStart w:id="4" w:name="_Toc242103244"/>
      <w:r>
        <w:rPr>
          <w:rFonts w:eastAsia="Times New Roman"/>
          <w:lang w:val="fr-FR"/>
        </w:rPr>
        <w:t>La grammaire fixe</w:t>
      </w:r>
      <w:bookmarkEnd w:id="4"/>
    </w:p>
    <w:p w14:paraId="17481834" w14:textId="77777777" w:rsidR="0020702A" w:rsidRDefault="0020702A">
      <w:pPr>
        <w:pStyle w:val="Normaalweb"/>
        <w:divId w:val="1419013937"/>
        <w:rPr>
          <w:lang w:val="fr-FR"/>
        </w:rPr>
      </w:pPr>
      <w:r>
        <w:rPr>
          <w:lang w:val="fr-FR"/>
        </w:rPr>
        <w:t>Chaque chapitre du document C utilise le même langage visuel. Une fois ce langage maîtrisé, on peut lire n’importe quel schéma. Voici le vocabulaire.</w:t>
      </w:r>
    </w:p>
    <w:p w14:paraId="43D533AB" w14:textId="77777777" w:rsidR="0020702A" w:rsidRDefault="0020702A">
      <w:pPr>
        <w:pStyle w:val="Kop3"/>
        <w:divId w:val="1419013937"/>
        <w:rPr>
          <w:rFonts w:eastAsia="Times New Roman"/>
          <w:lang w:val="fr-FR"/>
        </w:rPr>
      </w:pPr>
      <w:bookmarkStart w:id="5" w:name="_Toc242103245"/>
      <w:r>
        <w:rPr>
          <w:rFonts w:eastAsia="Times New Roman"/>
          <w:lang w:val="fr-FR"/>
        </w:rPr>
        <w:t>Les deux mondes</w:t>
      </w:r>
      <w:bookmarkEnd w:id="5"/>
    </w:p>
    <w:p w14:paraId="652C0A79" w14:textId="77777777" w:rsidR="0020702A" w:rsidRDefault="0020702A">
      <w:pPr>
        <w:pStyle w:val="Normaalweb"/>
        <w:divId w:val="1419013937"/>
        <w:rPr>
          <w:lang w:val="fr-FR"/>
        </w:rPr>
      </w:pPr>
      <w:r>
        <w:rPr>
          <w:lang w:val="fr-FR"/>
        </w:rPr>
        <w:lastRenderedPageBreak/>
        <w:t xml:space="preserve">La Belgique et les Pays-Bas sont présentés comme deux </w:t>
      </w:r>
      <w:r>
        <w:rPr>
          <w:rStyle w:val="Zwaar"/>
          <w:lang w:val="fr-FR"/>
        </w:rPr>
        <w:t>mondes</w:t>
      </w:r>
      <w:r>
        <w:rPr>
          <w:lang w:val="fr-FR"/>
        </w:rPr>
        <w:t xml:space="preserve"> : des systèmes rigides et fermés qui n’adaptent pas leurs règles à un citoyen vivant simultanément dans les deux pays. Ces deux mondes sont constitués de </w:t>
      </w:r>
      <w:r>
        <w:rPr>
          <w:rStyle w:val="Zwaar"/>
          <w:lang w:val="fr-FR"/>
        </w:rPr>
        <w:t>quatre couches concentriques</w:t>
      </w:r>
      <w:r>
        <w:rPr>
          <w:lang w:val="fr-FR"/>
        </w:rPr>
        <w:t xml:space="preserve"> : exécution, contrôle, politique, symbolique.</w:t>
      </w:r>
    </w:p>
    <w:p w14:paraId="659ABE9D" w14:textId="77777777" w:rsidR="0020702A" w:rsidRDefault="0020702A">
      <w:pPr>
        <w:pStyle w:val="Kop3"/>
        <w:divId w:val="1419013937"/>
        <w:rPr>
          <w:rFonts w:eastAsia="Times New Roman"/>
          <w:lang w:val="fr-FR"/>
        </w:rPr>
      </w:pPr>
      <w:bookmarkStart w:id="6" w:name="_Toc242103246"/>
      <w:r>
        <w:rPr>
          <w:rFonts w:eastAsia="Times New Roman"/>
          <w:lang w:val="fr-FR"/>
        </w:rPr>
        <w:t>La membrane</w:t>
      </w:r>
      <w:bookmarkEnd w:id="6"/>
    </w:p>
    <w:p w14:paraId="7C8F7422" w14:textId="77777777" w:rsidR="0020702A" w:rsidRDefault="0020702A">
      <w:pPr>
        <w:pStyle w:val="Normaalweb"/>
        <w:divId w:val="1419013937"/>
        <w:rPr>
          <w:lang w:val="fr-FR"/>
        </w:rPr>
      </w:pPr>
      <w:r>
        <w:rPr>
          <w:lang w:val="fr-FR"/>
        </w:rPr>
        <w:t xml:space="preserve">Entre ces deux mondes vit la famille. La famille n’est pas une sphère, mais une </w:t>
      </w:r>
      <w:r>
        <w:rPr>
          <w:rStyle w:val="Zwaar"/>
          <w:lang w:val="fr-FR"/>
        </w:rPr>
        <w:t>membrane</w:t>
      </w:r>
      <w:r>
        <w:rPr>
          <w:lang w:val="fr-FR"/>
        </w:rPr>
        <w:t xml:space="preserve"> : une forme souple et transparente qui s’étire et se contracte au gré des exigences de la journée. Le week-end, elle se trouve entièrement aux Pays-Bas ; les jours ouvrés, elle s’étend sur les deux mondes.</w:t>
      </w:r>
    </w:p>
    <w:p w14:paraId="26673A28" w14:textId="77777777" w:rsidR="0020702A" w:rsidRDefault="0020702A">
      <w:pPr>
        <w:pStyle w:val="Kop3"/>
        <w:divId w:val="1419013937"/>
        <w:rPr>
          <w:rFonts w:eastAsia="Times New Roman"/>
          <w:lang w:val="fr-FR"/>
        </w:rPr>
      </w:pPr>
      <w:bookmarkStart w:id="7" w:name="_Toc242103247"/>
      <w:r>
        <w:rPr>
          <w:rFonts w:eastAsia="Times New Roman"/>
          <w:lang w:val="fr-FR"/>
        </w:rPr>
        <w:t>Les trois canaux</w:t>
      </w:r>
      <w:bookmarkEnd w:id="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346BDC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12EE978" w14:textId="77777777" w:rsidR="0020702A" w:rsidRDefault="0020702A">
            <w:pPr>
              <w:pStyle w:val="Normaalweb"/>
              <w:spacing w:before="120"/>
              <w:jc w:val="center"/>
              <w:rPr>
                <w:sz w:val="21"/>
                <w:szCs w:val="21"/>
              </w:rPr>
            </w:pPr>
            <w:r>
              <w:rPr>
                <w:noProof/>
                <w:sz w:val="21"/>
                <w:szCs w:val="21"/>
              </w:rPr>
              <w:drawing>
                <wp:inline distT="0" distB="0" distL="0" distR="0" wp14:anchorId="356FBD2C" wp14:editId="0EAB11EB">
                  <wp:extent cx="3810000" cy="10414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5FBF91BC" w14:textId="77777777" w:rsidR="0020702A" w:rsidRDefault="0020702A">
            <w:pPr>
              <w:pStyle w:val="caption"/>
              <w:spacing w:after="120" w:afterAutospacing="0"/>
            </w:pPr>
            <w:r>
              <w:rPr>
                <w:rStyle w:val="Zwaar"/>
              </w:rPr>
              <w:t>Figure 0.2 — Les trois canaux.</w:t>
            </w:r>
            <w:r>
              <w:t xml:space="preserve"> </w:t>
            </w:r>
            <w:r>
              <w:t>La nature d’un canal détermine si les données circulent librement, sont entravées ou complètement bloquées. Le canal 1 sert au contrôle et à la perception a posteriori ; il ne concerne pas l’information préalable du citoyen.</w:t>
            </w:r>
          </w:p>
        </w:tc>
      </w:tr>
    </w:tbl>
    <w:p w14:paraId="5BEB4505" w14:textId="77777777" w:rsidR="0020702A" w:rsidRDefault="0020702A">
      <w:pPr>
        <w:pStyle w:val="Kop3"/>
        <w:divId w:val="1419013937"/>
        <w:rPr>
          <w:rFonts w:eastAsia="Times New Roman"/>
          <w:lang w:val="fr-FR"/>
        </w:rPr>
      </w:pPr>
      <w:bookmarkStart w:id="8" w:name="_Toc242103248"/>
      <w:r>
        <w:rPr>
          <w:rFonts w:eastAsia="Times New Roman"/>
          <w:lang w:val="fr-FR"/>
        </w:rPr>
        <w:t>Les couleurs</w:t>
      </w:r>
      <w:bookmarkEnd w:id="8"/>
    </w:p>
    <w:p w14:paraId="6BC3C6D3" w14:textId="77777777" w:rsidR="0020702A" w:rsidRDefault="0020702A">
      <w:pPr>
        <w:pStyle w:val="Normaalweb"/>
        <w:divId w:val="1419013937"/>
        <w:rPr>
          <w:lang w:val="fr-FR"/>
        </w:rPr>
      </w:pPr>
      <w:r>
        <w:rPr>
          <w:lang w:val="fr-FR"/>
        </w:rPr>
        <w:t>Dans les schémas, les connexions sont colorées en fonction de ce qui se passe :</w:t>
      </w:r>
    </w:p>
    <w:p w14:paraId="50AF9013" w14:textId="77777777" w:rsidR="0020702A" w:rsidRDefault="0020702A">
      <w:pPr>
        <w:numPr>
          <w:ilvl w:val="0"/>
          <w:numId w:val="1"/>
        </w:numPr>
        <w:spacing w:before="100" w:beforeAutospacing="1" w:after="100" w:afterAutospacing="1"/>
        <w:divId w:val="1419013937"/>
        <w:rPr>
          <w:rFonts w:eastAsia="Times New Roman"/>
          <w:lang w:val="fr-FR"/>
        </w:rPr>
      </w:pPr>
      <w:r>
        <w:rPr>
          <w:rStyle w:val="Zwaar"/>
          <w:rFonts w:eastAsia="Times New Roman"/>
          <w:lang w:val="fr-FR"/>
        </w:rPr>
        <w:t>Vert</w:t>
      </w:r>
      <w:r>
        <w:rPr>
          <w:rFonts w:eastAsia="Times New Roman"/>
          <w:lang w:val="fr-FR"/>
        </w:rPr>
        <w:t xml:space="preserve"> — la circulation fonctionne. Automatiquement, sans retard, sans intervention humaine.</w:t>
      </w:r>
    </w:p>
    <w:p w14:paraId="7A3719D1" w14:textId="77777777" w:rsidR="0020702A" w:rsidRDefault="0020702A">
      <w:pPr>
        <w:numPr>
          <w:ilvl w:val="0"/>
          <w:numId w:val="1"/>
        </w:numPr>
        <w:spacing w:before="100" w:beforeAutospacing="1" w:after="100" w:afterAutospacing="1"/>
        <w:divId w:val="1419013937"/>
        <w:rPr>
          <w:rFonts w:eastAsia="Times New Roman"/>
          <w:lang w:val="fr-FR"/>
        </w:rPr>
      </w:pPr>
      <w:r>
        <w:rPr>
          <w:rStyle w:val="Zwaar"/>
          <w:rFonts w:eastAsia="Times New Roman"/>
          <w:lang w:val="fr-FR"/>
        </w:rPr>
        <w:t>Orange</w:t>
      </w:r>
      <w:r>
        <w:rPr>
          <w:rFonts w:eastAsia="Times New Roman"/>
          <w:lang w:val="fr-FR"/>
        </w:rPr>
        <w:t xml:space="preserve"> — la circulation est ralentie. Il existe un canal, mais il est étroit, ponctuel ou ralenti.</w:t>
      </w:r>
    </w:p>
    <w:p w14:paraId="2EE65CDD" w14:textId="77777777" w:rsidR="0020702A" w:rsidRDefault="0020702A">
      <w:pPr>
        <w:numPr>
          <w:ilvl w:val="0"/>
          <w:numId w:val="1"/>
        </w:numPr>
        <w:spacing w:before="100" w:beforeAutospacing="1" w:after="100" w:afterAutospacing="1"/>
        <w:divId w:val="1419013937"/>
        <w:rPr>
          <w:rFonts w:eastAsia="Times New Roman"/>
          <w:lang w:val="fr-FR"/>
        </w:rPr>
      </w:pPr>
      <w:r>
        <w:rPr>
          <w:rStyle w:val="Zwaar"/>
          <w:rFonts w:eastAsia="Times New Roman"/>
          <w:lang w:val="fr-FR"/>
        </w:rPr>
        <w:t>Rouge</w:t>
      </w:r>
      <w:r>
        <w:rPr>
          <w:rFonts w:eastAsia="Times New Roman"/>
          <w:lang w:val="fr-FR"/>
        </w:rPr>
        <w:t xml:space="preserve"> — le flux est bloqué. Il n’y a pas de canal, ou le canal est fermé.</w:t>
      </w:r>
    </w:p>
    <w:p w14:paraId="56856087" w14:textId="77777777" w:rsidR="0020702A" w:rsidRDefault="0020702A">
      <w:pPr>
        <w:pStyle w:val="Kop2"/>
        <w:divId w:val="1419013937"/>
        <w:rPr>
          <w:rFonts w:eastAsia="Times New Roman"/>
          <w:lang w:val="fr-FR"/>
        </w:rPr>
      </w:pPr>
      <w:bookmarkStart w:id="9" w:name="_Toc242103249"/>
      <w:r>
        <w:rPr>
          <w:rFonts w:eastAsia="Times New Roman"/>
          <w:lang w:val="fr-FR"/>
        </w:rPr>
        <w:t>L'ordre de ce document</w:t>
      </w:r>
      <w:bookmarkEnd w:id="9"/>
    </w:p>
    <w:p w14:paraId="55D4F781" w14:textId="77777777" w:rsidR="0020702A" w:rsidRDefault="0020702A">
      <w:pPr>
        <w:pStyle w:val="Normaalweb"/>
        <w:divId w:val="1419013937"/>
        <w:rPr>
          <w:lang w:val="fr-FR"/>
        </w:rPr>
      </w:pPr>
      <w:r>
        <w:rPr>
          <w:lang w:val="fr-FR"/>
        </w:rPr>
        <w:t>Le document C suit l’ordre humain. Il commence par l’individu, puis par la Belgique (car l’auteur est belge), ensuite par les Pays-Bas, puis va et vient entre les deux pays, puis vers l’Europe, puis vers ceux qui observent l’Europe, et enfin vers le monde qui devrait avoir une vue d’ensemble.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45B8B1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627EF3F" w14:textId="77777777" w:rsidR="0020702A" w:rsidRDefault="0020702A">
            <w:pPr>
              <w:pStyle w:val="Normaalweb"/>
              <w:spacing w:before="120"/>
              <w:jc w:val="center"/>
              <w:rPr>
                <w:sz w:val="21"/>
                <w:szCs w:val="21"/>
              </w:rPr>
            </w:pPr>
            <w:r>
              <w:rPr>
                <w:noProof/>
                <w:sz w:val="21"/>
                <w:szCs w:val="21"/>
              </w:rPr>
              <w:drawing>
                <wp:inline distT="0" distB="0" distL="0" distR="0" wp14:anchorId="498EEA9A" wp14:editId="057C5A91">
                  <wp:extent cx="3810000" cy="14541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2512267F" w14:textId="77777777" w:rsidR="0020702A" w:rsidRDefault="0020702A">
            <w:pPr>
              <w:pStyle w:val="caption"/>
              <w:spacing w:after="120" w:afterAutospacing="0"/>
            </w:pPr>
            <w:r>
              <w:rPr>
                <w:rStyle w:val="Zwaar"/>
              </w:rPr>
              <w:t>Figure 0.3 — Le parcours à travers ce document.</w:t>
            </w:r>
            <w:r>
              <w:t xml:space="preserve"> Sept blocs, dans l’ordre de la réalité humaine : du corps, en passant par les deux pays, vers l’Europe, vers ceux qui observent, et enfin vers la conclusion.</w:t>
            </w:r>
          </w:p>
        </w:tc>
      </w:tr>
    </w:tbl>
    <w:p w14:paraId="06F49B20" w14:textId="77777777" w:rsidR="0020702A" w:rsidRDefault="0020702A">
      <w:pPr>
        <w:pStyle w:val="Kop2"/>
        <w:divId w:val="1419013937"/>
        <w:rPr>
          <w:rFonts w:eastAsia="Times New Roman"/>
          <w:lang w:val="fr-FR"/>
        </w:rPr>
      </w:pPr>
      <w:bookmarkStart w:id="10" w:name="_Toc242103250"/>
      <w:r>
        <w:rPr>
          <w:rFonts w:eastAsia="Times New Roman"/>
          <w:lang w:val="fr-FR"/>
        </w:rPr>
        <w:t>Comment le lire</w:t>
      </w:r>
      <w:bookmarkEnd w:id="10"/>
    </w:p>
    <w:p w14:paraId="70EFC7F4" w14:textId="77777777" w:rsidR="0020702A" w:rsidRDefault="0020702A">
      <w:pPr>
        <w:pStyle w:val="Normaalweb"/>
        <w:divId w:val="1419013937"/>
        <w:rPr>
          <w:lang w:val="fr-FR"/>
        </w:rPr>
      </w:pPr>
      <w:r>
        <w:rPr>
          <w:lang w:val="fr-FR"/>
        </w:rPr>
        <w:t>Le document C n’est pas destiné à être lu d’un seul trait, du début à la fin. Chaque chapitre est autonome. Le lecteur peut choisir son propre parcours.</w:t>
      </w:r>
    </w:p>
    <w:p w14:paraId="39D6D7B9" w14:textId="77777777" w:rsidR="0020702A" w:rsidRDefault="0020702A">
      <w:pPr>
        <w:pStyle w:val="Normaalweb"/>
        <w:divId w:val="1419013937"/>
        <w:rPr>
          <w:lang w:val="fr-FR"/>
        </w:rPr>
      </w:pPr>
      <w:r>
        <w:rPr>
          <w:rStyle w:val="Zwaar"/>
          <w:lang w:val="fr-FR"/>
        </w:rPr>
        <w:t>Pour ceux qui souhaitent comprendre l’ensemble :</w:t>
      </w:r>
      <w:r>
        <w:rPr>
          <w:lang w:val="fr-FR"/>
        </w:rPr>
        <w:t xml:space="preserve"> commencez par le bloc I (L’être humain), puis suivez les blocs dans l’ordre. Ainsi, l’image se construit étape par étape : de l’être humain, en passant par les deux pays, vers l’Europe, vers celui qui observe, jusqu’à la conclusion.</w:t>
      </w:r>
    </w:p>
    <w:p w14:paraId="021EA642" w14:textId="77777777" w:rsidR="0020702A" w:rsidRDefault="0020702A">
      <w:pPr>
        <w:pStyle w:val="Normaalweb"/>
        <w:divId w:val="1419013937"/>
        <w:rPr>
          <w:lang w:val="fr-FR"/>
        </w:rPr>
      </w:pPr>
      <w:r>
        <w:rPr>
          <w:rStyle w:val="Zwaar"/>
          <w:lang w:val="fr-FR"/>
        </w:rPr>
        <w:t>Pour ceux qui s’intéressent spécifiquement à un sujet :</w:t>
      </w:r>
      <w:r>
        <w:rPr>
          <w:lang w:val="fr-FR"/>
        </w:rPr>
        <w:t xml:space="preserve"> choisissez le chapitre correspondant. La vente liée, la cascade, le UWV, le CZ, la commune, l’administration fiscale, le niveau européen — chacun fait l’objet d’un chapitre distinct.</w:t>
      </w:r>
    </w:p>
    <w:p w14:paraId="6CDCE17B" w14:textId="77777777" w:rsidR="0020702A" w:rsidRDefault="0020702A">
      <w:pPr>
        <w:pStyle w:val="Normaalweb"/>
        <w:divId w:val="1419013937"/>
        <w:rPr>
          <w:lang w:val="fr-FR"/>
        </w:rPr>
      </w:pPr>
      <w:r>
        <w:rPr>
          <w:rStyle w:val="Zwaar"/>
          <w:lang w:val="fr-FR"/>
        </w:rPr>
        <w:t>Pour ceux qui souhaitent avoir une vue d’ensemble du réseau :</w:t>
      </w:r>
      <w:r>
        <w:rPr>
          <w:lang w:val="fr-FR"/>
        </w:rPr>
        <w:t xml:space="preserve"> lisez d’abord le Bloc I (L’individu), puis la conclusion. Ces deux parties combinées permettent de saisir la structure d’un seul coup d’œil.</w:t>
      </w:r>
    </w:p>
    <w:p w14:paraId="70C30BAB" w14:textId="77777777" w:rsidR="0020702A" w:rsidRDefault="0020702A">
      <w:pPr>
        <w:pStyle w:val="Kop2"/>
        <w:divId w:val="1419013937"/>
        <w:rPr>
          <w:rFonts w:eastAsia="Times New Roman"/>
          <w:lang w:val="fr-FR"/>
        </w:rPr>
      </w:pPr>
      <w:bookmarkStart w:id="11" w:name="_Toc242103251"/>
      <w:r>
        <w:rPr>
          <w:rFonts w:eastAsia="Times New Roman"/>
          <w:lang w:val="fr-FR"/>
        </w:rPr>
        <w:t>À quoi le lecteur peut-il s’attendre ?</w:t>
      </w:r>
      <w:bookmarkEnd w:id="11"/>
    </w:p>
    <w:p w14:paraId="05A383C1" w14:textId="77777777" w:rsidR="0020702A" w:rsidRDefault="0020702A">
      <w:pPr>
        <w:numPr>
          <w:ilvl w:val="0"/>
          <w:numId w:val="2"/>
        </w:numPr>
        <w:spacing w:before="100" w:beforeAutospacing="1" w:after="100" w:afterAutospacing="1"/>
        <w:divId w:val="1419013937"/>
        <w:rPr>
          <w:rFonts w:eastAsia="Times New Roman"/>
          <w:lang w:val="fr-FR"/>
        </w:rPr>
      </w:pPr>
      <w:r>
        <w:rPr>
          <w:rFonts w:eastAsia="Times New Roman"/>
          <w:lang w:val="fr-FR"/>
        </w:rPr>
        <w:t>Chaque schéma possède son propre titre et une brève explication sous l’illustration.</w:t>
      </w:r>
    </w:p>
    <w:p w14:paraId="6D02347D" w14:textId="77777777" w:rsidR="0020702A" w:rsidRDefault="0020702A">
      <w:pPr>
        <w:numPr>
          <w:ilvl w:val="0"/>
          <w:numId w:val="2"/>
        </w:numPr>
        <w:spacing w:before="100" w:beforeAutospacing="1" w:after="100" w:afterAutospacing="1"/>
        <w:divId w:val="1419013937"/>
        <w:rPr>
          <w:rFonts w:eastAsia="Times New Roman"/>
          <w:lang w:val="fr-FR"/>
        </w:rPr>
      </w:pPr>
      <w:r>
        <w:rPr>
          <w:rFonts w:eastAsia="Times New Roman"/>
          <w:lang w:val="fr-FR"/>
        </w:rPr>
        <w:t>Les organisations sont représentées sous forme de blocs ou de points numérotés sur un anneau. Les noms sont publics et sont mentionnés.</w:t>
      </w:r>
    </w:p>
    <w:p w14:paraId="08A49427" w14:textId="77777777" w:rsidR="0020702A" w:rsidRDefault="0020702A">
      <w:pPr>
        <w:numPr>
          <w:ilvl w:val="0"/>
          <w:numId w:val="2"/>
        </w:numPr>
        <w:spacing w:before="100" w:beforeAutospacing="1" w:after="100" w:afterAutospacing="1"/>
        <w:divId w:val="1419013937"/>
        <w:rPr>
          <w:rFonts w:eastAsia="Times New Roman"/>
          <w:lang w:val="fr-FR"/>
        </w:rPr>
      </w:pPr>
      <w:r>
        <w:rPr>
          <w:rFonts w:eastAsia="Times New Roman"/>
          <w:lang w:val="fr-FR"/>
        </w:rPr>
        <w:t>Les personnes physiques sont désignées par leur fonction ou leur symbole. Jamais par leur nom.</w:t>
      </w:r>
    </w:p>
    <w:p w14:paraId="2CD44FA5" w14:textId="77777777" w:rsidR="0020702A" w:rsidRDefault="0020702A">
      <w:pPr>
        <w:numPr>
          <w:ilvl w:val="0"/>
          <w:numId w:val="2"/>
        </w:numPr>
        <w:spacing w:before="100" w:beforeAutospacing="1" w:after="100" w:afterAutospacing="1"/>
        <w:divId w:val="1419013937"/>
        <w:rPr>
          <w:rFonts w:eastAsia="Times New Roman"/>
          <w:lang w:val="fr-FR"/>
        </w:rPr>
      </w:pPr>
      <w:r>
        <w:rPr>
          <w:rFonts w:eastAsia="Times New Roman"/>
          <w:lang w:val="fr-FR"/>
        </w:rPr>
        <w:t>Les montants, dates et numéros de référence proviennent du document B. Lorsqu’un montant ou une date est incertain, cela est explicitement mentionné.</w:t>
      </w:r>
    </w:p>
    <w:p w14:paraId="68003E9C" w14:textId="77777777" w:rsidR="0020702A" w:rsidRDefault="0020702A">
      <w:pPr>
        <w:numPr>
          <w:ilvl w:val="0"/>
          <w:numId w:val="2"/>
        </w:numPr>
        <w:spacing w:before="100" w:beforeAutospacing="1" w:after="100" w:afterAutospacing="1"/>
        <w:divId w:val="1419013937"/>
        <w:rPr>
          <w:rFonts w:eastAsia="Times New Roman"/>
          <w:lang w:val="fr-FR"/>
        </w:rPr>
      </w:pPr>
      <w:r>
        <w:rPr>
          <w:rFonts w:eastAsia="Times New Roman"/>
          <w:lang w:val="fr-FR"/>
        </w:rPr>
        <w:t>Lorsque le schéma présente un modèle développé plus en détail dans le document D, une référence au chapitre correspondant du document D est indiquée.</w:t>
      </w:r>
    </w:p>
    <w:p w14:paraId="6C6EE66C" w14:textId="77777777" w:rsidR="0020702A" w:rsidRDefault="0020702A">
      <w:pPr>
        <w:pStyle w:val="Kop2"/>
        <w:divId w:val="1419013937"/>
        <w:rPr>
          <w:rFonts w:eastAsia="Times New Roman"/>
          <w:lang w:val="fr-FR"/>
        </w:rPr>
      </w:pPr>
      <w:bookmarkStart w:id="12" w:name="_Toc242103252"/>
      <w:r>
        <w:rPr>
          <w:rFonts w:eastAsia="Times New Roman"/>
          <w:lang w:val="fr-FR"/>
        </w:rPr>
        <w:t>La place du document C dans l’ensemble</w:t>
      </w:r>
      <w:bookmarkEnd w:id="12"/>
    </w:p>
    <w:p w14:paraId="758AB1D2" w14:textId="77777777" w:rsidR="0020702A" w:rsidRDefault="0020702A">
      <w:pPr>
        <w:pStyle w:val="Normaalweb"/>
        <w:divId w:val="1419013937"/>
        <w:rPr>
          <w:lang w:val="fr-FR"/>
        </w:rPr>
      </w:pPr>
      <w:r>
        <w:rPr>
          <w:lang w:val="fr-FR"/>
        </w:rPr>
        <w:t>Le document C se situe entre le document B et le document D. Alors que B consigne les faits et que D en tire les conclusions, C met en évidence l’architecture qui rend l’échec possible. Pour ceux qui veulent les faits : B. Pour ceux qui veulent les conclusions : D. Pour ceux qui veulent comprendre pourquoi les faits mènent à ces conclusions : C.</w:t>
      </w:r>
    </w:p>
    <w:p w14:paraId="64D4B767" w14:textId="77777777" w:rsidR="0020702A" w:rsidRDefault="0020702A">
      <w:pPr>
        <w:pStyle w:val="Normaalweb"/>
        <w:divId w:val="1419013937"/>
        <w:rPr>
          <w:lang w:val="fr-FR"/>
        </w:rPr>
      </w:pPr>
      <w:r>
        <w:rPr>
          <w:lang w:val="fr-FR"/>
        </w:rPr>
        <w:t>Ce document met en évidence, d’un seul coup d’œil, l’essence même du vide de compétences : un seul organisme, deux mondes, trois canaux. Et un citoyen qui doit se débrouiller dans le fossé entre ces deux mondes.</w:t>
      </w:r>
    </w:p>
    <w:p w14:paraId="4F8CDCD5" w14:textId="77777777" w:rsidR="0020702A" w:rsidRDefault="0020702A">
      <w:pPr>
        <w:pStyle w:val="noot"/>
        <w:spacing w:after="120" w:afterAutospacing="0"/>
        <w:divId w:val="1419013937"/>
        <w:rPr>
          <w:lang w:val="fr-FR"/>
        </w:rPr>
      </w:pPr>
      <w:r>
        <w:rPr>
          <w:lang w:val="fr-FR"/>
        </w:rPr>
        <w:t>Voici le document C — L’architecture visuelle. Toutes les organisations mentionnées dans ce document sont des personnes morales. Les personnes physiques sont désignées par leur fonction ou leur symbole. Les faits sont basés sur le document B. Les conclusions figurent dans le document D. Ce document ne constitue pas un avis juridique.</w:t>
      </w:r>
    </w:p>
    <w:p w14:paraId="15CE5928" w14:textId="77777777" w:rsidR="0020702A" w:rsidRDefault="0020702A">
      <w:pPr>
        <w:pStyle w:val="marker"/>
        <w:ind w:left="800" w:right="800"/>
        <w:divId w:val="1419013937"/>
        <w:rPr>
          <w:lang w:val="fr-FR"/>
        </w:rPr>
      </w:pPr>
      <w:r>
        <w:br w:type="page"/>
      </w:r>
    </w:p>
    <w:p w14:paraId="39B50AD5" w14:textId="77777777" w:rsidR="0020702A" w:rsidRDefault="0020702A">
      <w:pPr>
        <w:pStyle w:val="Kop1"/>
        <w:divId w:val="1419013937"/>
        <w:rPr>
          <w:rFonts w:eastAsia="Times New Roman"/>
          <w:lang w:val="fr-FR"/>
        </w:rPr>
      </w:pPr>
      <w:bookmarkStart w:id="13" w:name="_Toc242103253"/>
      <w:r>
        <w:rPr>
          <w:rFonts w:eastAsia="Times New Roman"/>
          <w:lang w:val="fr-FR"/>
        </w:rPr>
        <w:t>I. L’être humain</w:t>
      </w:r>
      <w:bookmarkEnd w:id="13"/>
    </w:p>
    <w:p w14:paraId="716D6365" w14:textId="77777777" w:rsidR="0020702A" w:rsidRDefault="0020702A">
      <w:pPr>
        <w:pStyle w:val="Kop2"/>
        <w:divId w:val="1419013937"/>
        <w:rPr>
          <w:rFonts w:eastAsia="Times New Roman"/>
          <w:lang w:val="fr-FR"/>
        </w:rPr>
      </w:pPr>
      <w:bookmarkStart w:id="14" w:name="_Toc242103254"/>
      <w:r>
        <w:rPr>
          <w:rFonts w:eastAsia="Times New Roman"/>
          <w:lang w:val="fr-FR"/>
        </w:rPr>
        <w:t>La présentation</w:t>
      </w:r>
      <w:bookmarkEnd w:id="14"/>
    </w:p>
    <w:p w14:paraId="0C8B079D" w14:textId="77777777" w:rsidR="0020702A" w:rsidRDefault="0020702A">
      <w:pPr>
        <w:pStyle w:val="lead"/>
        <w:divId w:val="1419013937"/>
        <w:rPr>
          <w:lang w:val="fr-FR"/>
        </w:rPr>
      </w:pPr>
      <w:r>
        <w:rPr>
          <w:lang w:val="fr-FR"/>
        </w:rPr>
        <w:t>Deux mondes rigides. Une membrane qui s'étire et se contracte. Trois canaux ayant chacun leur propre caractère. Et au sein de chaque monde, quatre cercles institutionnels que le citoyen doit traverser pour obtenir quelque chose. Ce chapitre présente le plateau de jeu : qui se trouve où, comment les couches sont structurées, et quels acteurs opèrent à chaque niveau.</w:t>
      </w:r>
    </w:p>
    <w:p w14:paraId="4CAFD77E" w14:textId="77777777" w:rsidR="0020702A" w:rsidRDefault="0020702A">
      <w:pPr>
        <w:pStyle w:val="Kop3"/>
        <w:divId w:val="1419013937"/>
        <w:rPr>
          <w:rFonts w:eastAsia="Times New Roman"/>
          <w:lang w:val="fr-FR"/>
        </w:rPr>
      </w:pPr>
      <w:bookmarkStart w:id="15" w:name="_Toc242103255"/>
      <w:r>
        <w:rPr>
          <w:rFonts w:eastAsia="Times New Roman"/>
          <w:lang w:val="fr-FR"/>
        </w:rPr>
        <w:t>Partie I-A — La structure</w:t>
      </w:r>
      <w:bookmarkEnd w:id="15"/>
    </w:p>
    <w:p w14:paraId="10EAE53A" w14:textId="77777777" w:rsidR="0020702A" w:rsidRDefault="0020702A">
      <w:pPr>
        <w:pStyle w:val="Kop4"/>
        <w:divId w:val="1419013937"/>
        <w:rPr>
          <w:rFonts w:eastAsia="Times New Roman"/>
          <w:lang w:val="fr-FR"/>
        </w:rPr>
      </w:pPr>
      <w:r>
        <w:rPr>
          <w:rFonts w:eastAsia="Times New Roman"/>
          <w:lang w:val="fr-FR"/>
        </w:rPr>
        <w:t>Les deux mondes</w:t>
      </w:r>
    </w:p>
    <w:p w14:paraId="1E689D7E" w14:textId="77777777" w:rsidR="0020702A" w:rsidRDefault="0020702A">
      <w:pPr>
        <w:pStyle w:val="Normaalweb"/>
        <w:divId w:val="1419013937"/>
        <w:rPr>
          <w:lang w:val="fr-FR"/>
        </w:rPr>
      </w:pPr>
      <w:r>
        <w:rPr>
          <w:lang w:val="fr-FR"/>
        </w:rPr>
        <w:t xml:space="preserve">Dans ce dossier, la Belgique et les Pays-Bas sont désignés comme deux </w:t>
      </w:r>
      <w:r>
        <w:rPr>
          <w:rStyle w:val="Zwaar"/>
          <w:lang w:val="fr-FR"/>
        </w:rPr>
        <w:t>mondes</w:t>
      </w:r>
      <w:r>
        <w:rPr>
          <w:lang w:val="fr-FR"/>
        </w:rPr>
        <w:t xml:space="preserve"> : </w:t>
      </w:r>
      <w:r>
        <w:rPr>
          <w:rStyle w:val="badge-be1"/>
          <w:lang w:val="fr-FR"/>
        </w:rPr>
        <w:t>le Monde de la Belgique</w:t>
      </w:r>
      <w:r>
        <w:rPr>
          <w:lang w:val="fr-FR"/>
        </w:rPr>
        <w:t xml:space="preserve"> et </w:t>
      </w:r>
      <w:r>
        <w:rPr>
          <w:rStyle w:val="badge-nl1"/>
          <w:lang w:val="fr-FR"/>
        </w:rPr>
        <w:t>le Monde des Pays-Bas</w:t>
      </w:r>
      <w:r>
        <w:rPr>
          <w:lang w:val="fr-FR"/>
        </w:rPr>
        <w:t>. Chaque monde constitue un ordre juridique et exécutif souverain, cohérent en son sein. Pour un citoyen qui mène toute sa vie au sein d’un seul monde, les maillons internes s’enchaînent généralement les uns aux autres.</w:t>
      </w:r>
    </w:p>
    <w:p w14:paraId="2E6E9FD3" w14:textId="77777777" w:rsidR="0020702A" w:rsidRDefault="0020702A">
      <w:pPr>
        <w:pStyle w:val="Normaalweb"/>
        <w:divId w:val="1419013937"/>
        <w:rPr>
          <w:lang w:val="fr-FR"/>
        </w:rPr>
      </w:pPr>
      <w:r>
        <w:rPr>
          <w:lang w:val="fr-FR"/>
        </w:rPr>
        <w:t xml:space="preserve">Ces deux mondes sont toutefois </w:t>
      </w:r>
      <w:r>
        <w:rPr>
          <w:rStyle w:val="Zwaar"/>
          <w:lang w:val="fr-FR"/>
        </w:rPr>
        <w:t>rigides</w:t>
      </w:r>
      <w:r>
        <w:rPr>
          <w:lang w:val="fr-FR"/>
        </w:rPr>
        <w:t>. Ils ne sont pas adaptables. Ils n’adaptent pas leurs frontières administratives lorsqu’un citoyen exerce son droit à la libre circulation. Chaque monde évalue les demandes exclusivement à l’aune de définitions nationales, de barèmes médicaux nationaux et de conditions territoriales — le principe du lieu de résidence s’opposant au principe du pays de travail. Les deux mondes sont physiquement contigus à la frontière nationale et se côtoient, mais ne fusionnent nulle part au niveau de la mise en œuvr</w:t>
      </w:r>
      <w:r>
        <w:rPr>
          <w:lang w:val="fr-FR"/>
        </w:rPr>
        <w:t>e.</w:t>
      </w:r>
    </w:p>
    <w:p w14:paraId="64F62C34" w14:textId="77777777" w:rsidR="0020702A" w:rsidRDefault="0020702A">
      <w:pPr>
        <w:pStyle w:val="Kop4"/>
        <w:divId w:val="1419013937"/>
        <w:rPr>
          <w:rFonts w:eastAsia="Times New Roman"/>
          <w:lang w:val="fr-FR"/>
        </w:rPr>
      </w:pPr>
      <w:r>
        <w:rPr>
          <w:rFonts w:eastAsia="Times New Roman"/>
          <w:lang w:val="fr-FR"/>
        </w:rPr>
        <w:t>La membrane</w:t>
      </w:r>
    </w:p>
    <w:p w14:paraId="530ABCD4" w14:textId="77777777" w:rsidR="0020702A" w:rsidRDefault="0020702A">
      <w:pPr>
        <w:pStyle w:val="Normaalweb"/>
        <w:divId w:val="1419013937"/>
        <w:rPr>
          <w:lang w:val="fr-FR"/>
        </w:rPr>
      </w:pPr>
      <w:r>
        <w:rPr>
          <w:lang w:val="fr-FR"/>
        </w:rPr>
        <w:t xml:space="preserve">Entre ces deux mondes rigides se trouve </w:t>
      </w:r>
      <w:r>
        <w:rPr>
          <w:rStyle w:val="badge-mem1"/>
          <w:lang w:val="fr-FR"/>
        </w:rPr>
        <w:t>la membrane</w:t>
      </w:r>
      <w:r>
        <w:rPr>
          <w:lang w:val="fr-FR"/>
        </w:rPr>
        <w:t xml:space="preserve"> : la famille. Contrairement aux deux systèmes nationaux, la famille n’a pas de forme géométrique fixe. C’est une forme transparente et irrégulière qui doit s’étirer et se contracter pour compenser l’incompatibilité entre les deux systèmes. Là où les institutions restent rigides, on exige une flexibilité totale de la part du citoyen.</w:t>
      </w:r>
    </w:p>
    <w:p w14:paraId="5DFAE71B" w14:textId="77777777" w:rsidR="0020702A" w:rsidRDefault="0020702A">
      <w:pPr>
        <w:pStyle w:val="Normaalweb"/>
        <w:divId w:val="1419013937"/>
        <w:rPr>
          <w:lang w:val="fr-FR"/>
        </w:rPr>
      </w:pPr>
      <w:r>
        <w:rPr>
          <w:lang w:val="fr-FR"/>
        </w:rPr>
        <w:t>La membrane suit un mouvement cyclique comportant deux positions :</w:t>
      </w:r>
    </w:p>
    <w:p w14:paraId="7D80EBB1" w14:textId="77777777" w:rsidR="0020702A" w:rsidRDefault="0020702A">
      <w:pPr>
        <w:numPr>
          <w:ilvl w:val="0"/>
          <w:numId w:val="3"/>
        </w:numPr>
        <w:spacing w:before="100" w:beforeAutospacing="1" w:after="100" w:afterAutospacing="1"/>
        <w:divId w:val="1419013937"/>
        <w:rPr>
          <w:rFonts w:eastAsia="Times New Roman"/>
          <w:lang w:val="fr-FR"/>
        </w:rPr>
      </w:pPr>
      <w:r>
        <w:rPr>
          <w:rStyle w:val="Zwaar"/>
          <w:rFonts w:eastAsia="Times New Roman"/>
          <w:lang w:val="fr-FR"/>
        </w:rPr>
        <w:t>Position « jours de semaine</w:t>
      </w:r>
      <w:r>
        <w:rPr>
          <w:rFonts w:eastAsia="Times New Roman"/>
          <w:lang w:val="fr-FR"/>
        </w:rPr>
        <w:t xml:space="preserve"> </w:t>
      </w:r>
      <w:r>
        <w:rPr>
          <w:rStyle w:val="Zwaar"/>
          <w:rFonts w:eastAsia="Times New Roman"/>
          <w:lang w:val="fr-FR"/>
        </w:rPr>
        <w:t>»</w:t>
      </w:r>
      <w:r>
        <w:rPr>
          <w:rFonts w:eastAsia="Times New Roman"/>
          <w:lang w:val="fr-FR"/>
        </w:rPr>
        <w:t xml:space="preserve"> (contour continu) : la membrane s’étend sur les deux mondes. La famille réside aux Pays-Bas, mais traverse quotidiennement la frontière pour l’école, les soins médicaux et les démarches administratives du côté belge.</w:t>
      </w:r>
    </w:p>
    <w:p w14:paraId="55DEF34A" w14:textId="77777777" w:rsidR="0020702A" w:rsidRDefault="0020702A">
      <w:pPr>
        <w:numPr>
          <w:ilvl w:val="0"/>
          <w:numId w:val="3"/>
        </w:numPr>
        <w:spacing w:before="100" w:beforeAutospacing="1" w:after="100" w:afterAutospacing="1"/>
        <w:divId w:val="1419013937"/>
        <w:rPr>
          <w:rFonts w:eastAsia="Times New Roman"/>
          <w:lang w:val="fr-FR"/>
        </w:rPr>
      </w:pPr>
      <w:r>
        <w:rPr>
          <w:rStyle w:val="Zwaar"/>
          <w:rFonts w:eastAsia="Times New Roman"/>
          <w:lang w:val="fr-FR"/>
        </w:rPr>
        <w:t>Position « week-end »</w:t>
      </w:r>
      <w:r>
        <w:rPr>
          <w:rFonts w:eastAsia="Times New Roman"/>
          <w:lang w:val="fr-FR"/>
        </w:rPr>
        <w:t xml:space="preserve"> (contour en pointillés) : la membrane se replie à l’intérieur de l’univers néerlandais. La présence physique se situe alors entièrement aux Pays-Bas, tandis que la dépendance juridique et financière vis-à-vis de la Belgique se poursuit sans changement.</w:t>
      </w:r>
    </w:p>
    <w:p w14:paraId="65283FD0" w14:textId="77777777" w:rsidR="0020702A" w:rsidRDefault="0020702A">
      <w:pPr>
        <w:pStyle w:val="Normaalweb"/>
        <w:divId w:val="1419013937"/>
        <w:rPr>
          <w:lang w:val="fr-FR"/>
        </w:rPr>
      </w:pPr>
      <w:r>
        <w:rPr>
          <w:lang w:val="fr-FR"/>
        </w:rPr>
        <w:t>À l’intérieur de la membrane se trouvent trois personnes, représentées par des symboles :</w:t>
      </w:r>
    </w:p>
    <w:p w14:paraId="5424F7E9" w14:textId="77777777" w:rsidR="0020702A" w:rsidRDefault="0020702A">
      <w:pPr>
        <w:numPr>
          <w:ilvl w:val="0"/>
          <w:numId w:val="4"/>
        </w:numPr>
        <w:spacing w:before="100" w:beforeAutospacing="1" w:after="100" w:afterAutospacing="1"/>
        <w:divId w:val="1419013937"/>
        <w:rPr>
          <w:rFonts w:eastAsia="Times New Roman"/>
          <w:lang w:val="fr-FR"/>
        </w:rPr>
      </w:pPr>
      <w:r>
        <w:rPr>
          <w:rStyle w:val="Zwaar"/>
          <w:rFonts w:eastAsia="Times New Roman"/>
          <w:lang w:val="fr-FR"/>
        </w:rPr>
        <w:t>Le père (</w:t>
      </w:r>
      <w:r>
        <w:rPr>
          <w:rStyle w:val="Zwaar"/>
          <w:rFonts w:ascii="Segoe UI Symbol" w:eastAsia="Times New Roman" w:hAnsi="Segoe UI Symbol" w:cs="Segoe UI Symbol"/>
          <w:lang w:val="fr-FR"/>
        </w:rPr>
        <w:t>♂</w:t>
      </w:r>
      <w:r>
        <w:rPr>
          <w:rStyle w:val="Zwaar"/>
          <w:rFonts w:eastAsia="Times New Roman"/>
          <w:lang w:val="fr-FR"/>
        </w:rPr>
        <w:t>)</w:t>
      </w:r>
      <w:r>
        <w:rPr>
          <w:rFonts w:eastAsia="Times New Roman"/>
          <w:lang w:val="fr-FR"/>
        </w:rPr>
        <w:t xml:space="preserve"> — Belge d’origine franco-italienne, né en Belgique, résidant aux Pays-Bas. Son parcours professionnel et ses antécédents médicaux se situent en Belgique ; son lieu de résidence ainsi qu’une partie de ses relations en matière de soins et de prestations sociales se situent aux Pays-Bas.</w:t>
      </w:r>
    </w:p>
    <w:p w14:paraId="29478E52" w14:textId="77777777" w:rsidR="0020702A" w:rsidRDefault="0020702A">
      <w:pPr>
        <w:numPr>
          <w:ilvl w:val="0"/>
          <w:numId w:val="4"/>
        </w:numPr>
        <w:spacing w:before="100" w:beforeAutospacing="1" w:after="100" w:afterAutospacing="1"/>
        <w:divId w:val="1419013937"/>
        <w:rPr>
          <w:rFonts w:eastAsia="Times New Roman"/>
          <w:lang w:val="fr-FR"/>
        </w:rPr>
      </w:pPr>
      <w:r>
        <w:rPr>
          <w:rStyle w:val="Zwaar"/>
          <w:rFonts w:eastAsia="Times New Roman"/>
          <w:lang w:val="fr-FR"/>
        </w:rPr>
        <w:t>La mère (</w:t>
      </w:r>
      <w:r>
        <w:rPr>
          <w:rStyle w:val="Zwaar"/>
          <w:rFonts w:ascii="Segoe UI Symbol" w:eastAsia="Times New Roman" w:hAnsi="Segoe UI Symbol" w:cs="Segoe UI Symbol"/>
          <w:lang w:val="fr-FR"/>
        </w:rPr>
        <w:t>♀</w:t>
      </w:r>
      <w:r>
        <w:rPr>
          <w:rStyle w:val="Zwaar"/>
          <w:rFonts w:eastAsia="Times New Roman"/>
          <w:lang w:val="fr-FR"/>
        </w:rPr>
        <w:t>)</w:t>
      </w:r>
      <w:r>
        <w:rPr>
          <w:rFonts w:eastAsia="Times New Roman"/>
          <w:lang w:val="fr-FR"/>
        </w:rPr>
        <w:t xml:space="preserve"> — Belge, résidant aux Pays-Bas. Elle travaille en Belgique et constitue le pivot logistique et administratif quotidien entre le cadre de vie néerlandais et les instances belges.</w:t>
      </w:r>
    </w:p>
    <w:p w14:paraId="392BB01D" w14:textId="77777777" w:rsidR="0020702A" w:rsidRDefault="0020702A">
      <w:pPr>
        <w:numPr>
          <w:ilvl w:val="0"/>
          <w:numId w:val="4"/>
        </w:numPr>
        <w:spacing w:before="100" w:beforeAutospacing="1" w:after="100" w:afterAutospacing="1"/>
        <w:divId w:val="1419013937"/>
        <w:rPr>
          <w:rFonts w:eastAsia="Times New Roman"/>
          <w:lang w:val="fr-FR"/>
        </w:rPr>
      </w:pPr>
      <w:r>
        <w:rPr>
          <w:rStyle w:val="Zwaar"/>
          <w:rFonts w:eastAsia="Times New Roman"/>
          <w:lang w:val="fr-FR"/>
        </w:rPr>
        <w:t xml:space="preserve">Le fils (jeune </w:t>
      </w:r>
      <w:r>
        <w:rPr>
          <w:rStyle w:val="Zwaar"/>
          <w:rFonts w:ascii="Segoe UI Symbol" w:eastAsia="Times New Roman" w:hAnsi="Segoe UI Symbol" w:cs="Segoe UI Symbol"/>
          <w:lang w:val="fr-FR"/>
        </w:rPr>
        <w:t>♂</w:t>
      </w:r>
      <w:r>
        <w:rPr>
          <w:rStyle w:val="Zwaar"/>
          <w:rFonts w:eastAsia="Times New Roman"/>
          <w:lang w:val="fr-FR"/>
        </w:rPr>
        <w:t>)</w:t>
      </w:r>
      <w:r>
        <w:rPr>
          <w:rFonts w:eastAsia="Times New Roman"/>
          <w:lang w:val="fr-FR"/>
        </w:rPr>
        <w:t xml:space="preserve"> — réside aux Pays-Bas, va à l’école en Flandre. Il franchit quotidiennement la frontière entre son pays de résidence néerlandais et le système scolaire et de prestations familiales flamand.</w:t>
      </w:r>
    </w:p>
    <w:p w14:paraId="5C101795" w14:textId="77777777" w:rsidR="0020702A" w:rsidRDefault="0020702A">
      <w:pPr>
        <w:pStyle w:val="Kop4"/>
        <w:divId w:val="1419013937"/>
        <w:rPr>
          <w:rFonts w:eastAsia="Times New Roman"/>
          <w:lang w:val="fr-FR"/>
        </w:rPr>
      </w:pPr>
      <w:r>
        <w:rPr>
          <w:rFonts w:eastAsia="Times New Roman"/>
          <w:lang w:val="fr-FR"/>
        </w:rPr>
        <w:t>Les quatre niveaux institutionnels</w:t>
      </w:r>
    </w:p>
    <w:p w14:paraId="7065A12B" w14:textId="77777777" w:rsidR="0020702A" w:rsidRDefault="0020702A">
      <w:pPr>
        <w:pStyle w:val="Normaalweb"/>
        <w:divId w:val="1419013937"/>
        <w:rPr>
          <w:lang w:val="fr-FR"/>
        </w:rPr>
      </w:pPr>
      <w:r>
        <w:rPr>
          <w:lang w:val="fr-FR"/>
        </w:rPr>
        <w:t>Chaque univers est constitué, de l’extérieur vers l’intérieur, de quatre anneaux concentriques. Quiconque se retrouve bloqué dans la couche la plus externe et cherche une protection à un niveau supérieur se déplace de l’extérieur vers l’intérieur à travers ces quatre couches :</w:t>
      </w:r>
    </w:p>
    <w:p w14:paraId="05E4D9FF" w14:textId="77777777" w:rsidR="0020702A" w:rsidRDefault="0020702A">
      <w:pPr>
        <w:numPr>
          <w:ilvl w:val="0"/>
          <w:numId w:val="5"/>
        </w:numPr>
        <w:spacing w:before="100" w:beforeAutospacing="1" w:after="100" w:afterAutospacing="1"/>
        <w:divId w:val="1419013937"/>
        <w:rPr>
          <w:rFonts w:eastAsia="Times New Roman"/>
          <w:lang w:val="fr-FR"/>
        </w:rPr>
      </w:pPr>
      <w:r>
        <w:rPr>
          <w:rStyle w:val="Zwaar"/>
          <w:rFonts w:eastAsia="Times New Roman"/>
          <w:lang w:val="fr-FR"/>
        </w:rPr>
        <w:t>Mise</w:t>
      </w:r>
      <w:r>
        <w:rPr>
          <w:rFonts w:eastAsia="Times New Roman"/>
          <w:lang w:val="fr-FR"/>
        </w:rPr>
        <w:t xml:space="preserve"> </w:t>
      </w:r>
      <w:r>
        <w:rPr>
          <w:rStyle w:val="Zwaar"/>
          <w:rFonts w:eastAsia="Times New Roman"/>
          <w:lang w:val="fr-FR"/>
        </w:rPr>
        <w:t>en œuvre</w:t>
      </w:r>
      <w:r>
        <w:rPr>
          <w:rFonts w:eastAsia="Times New Roman"/>
          <w:lang w:val="fr-FR"/>
        </w:rPr>
        <w:t xml:space="preserve"> — les guichets avec lesquels le citoyen est directement en contact : caisses d’assurance maladie, assureurs santé, hôpitaux, services fiscaux, organismes de prestations sociales, communes, services publics. C’est là que les décisions sont prises, que les paiements sont effectués ou bloqués.</w:t>
      </w:r>
    </w:p>
    <w:p w14:paraId="378BCA5A" w14:textId="77777777" w:rsidR="0020702A" w:rsidRDefault="0020702A">
      <w:pPr>
        <w:numPr>
          <w:ilvl w:val="0"/>
          <w:numId w:val="5"/>
        </w:numPr>
        <w:spacing w:before="100" w:beforeAutospacing="1" w:after="100" w:afterAutospacing="1"/>
        <w:divId w:val="1419013937"/>
        <w:rPr>
          <w:rFonts w:eastAsia="Times New Roman"/>
          <w:lang w:val="fr-FR"/>
        </w:rPr>
      </w:pPr>
      <w:r>
        <w:rPr>
          <w:rStyle w:val="Zwaar"/>
          <w:rFonts w:eastAsia="Times New Roman"/>
          <w:lang w:val="fr-FR"/>
        </w:rPr>
        <w:t>Contrôle</w:t>
      </w:r>
      <w:r>
        <w:rPr>
          <w:rFonts w:eastAsia="Times New Roman"/>
          <w:lang w:val="fr-FR"/>
        </w:rPr>
        <w:t xml:space="preserve"> — les contrôleurs et les services de médiation. Ils surveillent le système, mais n’interviennent pas de manière contraignante au niveau de l’exécution dans les dossiers individuels transfrontaliers.</w:t>
      </w:r>
    </w:p>
    <w:p w14:paraId="08DEB9D0" w14:textId="77777777" w:rsidR="0020702A" w:rsidRDefault="0020702A">
      <w:pPr>
        <w:numPr>
          <w:ilvl w:val="0"/>
          <w:numId w:val="5"/>
        </w:numPr>
        <w:spacing w:before="100" w:beforeAutospacing="1" w:after="100" w:afterAutospacing="1"/>
        <w:divId w:val="1419013937"/>
        <w:rPr>
          <w:rFonts w:eastAsia="Times New Roman"/>
          <w:lang w:val="fr-FR"/>
        </w:rPr>
      </w:pPr>
      <w:r>
        <w:rPr>
          <w:rStyle w:val="Zwaar"/>
          <w:rFonts w:eastAsia="Times New Roman"/>
          <w:lang w:val="fr-FR"/>
        </w:rPr>
        <w:t>Politique</w:t>
      </w:r>
      <w:r>
        <w:rPr>
          <w:rFonts w:eastAsia="Times New Roman"/>
          <w:lang w:val="fr-FR"/>
        </w:rPr>
        <w:t xml:space="preserve"> — les parlements nationaux, les commissions parlementaires et les partis politiques. Ils détiennent le pouvoir formel de modifier la loi, mais ne s’immiscent pas dans les blocages individuels du système.</w:t>
      </w:r>
    </w:p>
    <w:p w14:paraId="638B0F3E" w14:textId="77777777" w:rsidR="0020702A" w:rsidRDefault="0020702A">
      <w:pPr>
        <w:numPr>
          <w:ilvl w:val="0"/>
          <w:numId w:val="5"/>
        </w:numPr>
        <w:spacing w:before="100" w:beforeAutospacing="1" w:after="100" w:afterAutospacing="1"/>
        <w:divId w:val="1419013937"/>
        <w:rPr>
          <w:rFonts w:eastAsia="Times New Roman"/>
          <w:lang w:val="fr-FR"/>
        </w:rPr>
      </w:pPr>
      <w:r>
        <w:rPr>
          <w:rStyle w:val="Zwaar"/>
          <w:rFonts w:eastAsia="Times New Roman"/>
          <w:lang w:val="fr-FR"/>
        </w:rPr>
        <w:t>Symbolique</w:t>
      </w:r>
      <w:r>
        <w:rPr>
          <w:rFonts w:eastAsia="Times New Roman"/>
          <w:lang w:val="fr-FR"/>
        </w:rPr>
        <w:t xml:space="preserve"> — la plus haute instance de l’État : le Palais royal en Belgique, la Maison royale aux Pays-Bas. Ce noyau ne dispose d’aucun pouvoir exécutif ou correctif et renvoie les requêtes vers le niveau politique ou exécutif.</w:t>
      </w:r>
    </w:p>
    <w:p w14:paraId="68D49D94" w14:textId="77777777" w:rsidR="0020702A" w:rsidRDefault="0020702A">
      <w:pPr>
        <w:pStyle w:val="Kop4"/>
        <w:divId w:val="1419013937"/>
        <w:rPr>
          <w:rFonts w:eastAsia="Times New Roman"/>
          <w:lang w:val="fr-FR"/>
        </w:rPr>
      </w:pPr>
      <w:r>
        <w:rPr>
          <w:rFonts w:eastAsia="Times New Roman"/>
          <w:lang w:val="fr-FR"/>
        </w:rPr>
        <w:t>Les trois canaux entre les mondes</w:t>
      </w:r>
    </w:p>
    <w:p w14:paraId="3FAE31B9" w14:textId="77777777" w:rsidR="0020702A" w:rsidRDefault="0020702A">
      <w:pPr>
        <w:pStyle w:val="Normaalweb"/>
        <w:divId w:val="1419013937"/>
        <w:rPr>
          <w:lang w:val="fr-FR"/>
        </w:rPr>
      </w:pPr>
      <w:r>
        <w:rPr>
          <w:lang w:val="fr-FR"/>
        </w:rPr>
        <w:t>Bien que les deux mondes ne fusionnent pas, il existe trois axes de liaison structurels entre la Belgique et les Pays-Bas. Ils révèlent une asymétrie fondamentale entre ce que l’État sait du citoyen et ce que l’État met à la disposition du citoyen.</w:t>
      </w:r>
    </w:p>
    <w:p w14:paraId="18B662D2" w14:textId="77777777" w:rsidR="0020702A" w:rsidRDefault="0020702A">
      <w:pPr>
        <w:numPr>
          <w:ilvl w:val="0"/>
          <w:numId w:val="6"/>
        </w:numPr>
        <w:spacing w:before="100" w:beforeAutospacing="1" w:after="100" w:afterAutospacing="1"/>
        <w:divId w:val="1419013937"/>
        <w:rPr>
          <w:rFonts w:eastAsia="Times New Roman"/>
          <w:lang w:val="fr-FR"/>
        </w:rPr>
      </w:pPr>
      <w:r>
        <w:rPr>
          <w:rStyle w:val="Zwaar"/>
          <w:rFonts w:eastAsia="Times New Roman"/>
          <w:lang w:val="fr-FR"/>
        </w:rPr>
        <w:t>Canal 1 — vert épais, automatisé.</w:t>
      </w:r>
      <w:r>
        <w:rPr>
          <w:rFonts w:eastAsia="Times New Roman"/>
          <w:lang w:val="fr-FR"/>
        </w:rPr>
        <w:t xml:space="preserve"> L’infrastructure de données fiscales et administratives de l’UE : la directive sur la coopération administrative et l’échange mondial d’informations sur les revenus. Les données fiscales circulent automatiquement entre le SPF Finances belge et le Belastingdienst néerlandais. En matière de contrôle et de perception, l’État sait tout.</w:t>
      </w:r>
    </w:p>
    <w:p w14:paraId="27F9D93F" w14:textId="77777777" w:rsidR="0020702A" w:rsidRDefault="0020702A">
      <w:pPr>
        <w:numPr>
          <w:ilvl w:val="0"/>
          <w:numId w:val="6"/>
        </w:numPr>
        <w:spacing w:before="100" w:beforeAutospacing="1" w:after="100" w:afterAutospacing="1"/>
        <w:divId w:val="1419013937"/>
        <w:rPr>
          <w:rFonts w:eastAsia="Times New Roman"/>
          <w:lang w:val="fr-FR"/>
        </w:rPr>
      </w:pPr>
      <w:r>
        <w:rPr>
          <w:rStyle w:val="Zwaar"/>
          <w:rFonts w:eastAsia="Times New Roman"/>
          <w:lang w:val="fr-FR"/>
        </w:rPr>
        <w:t>Canal 2 — orange étroit, ponctuel.</w:t>
      </w:r>
      <w:r>
        <w:rPr>
          <w:rFonts w:eastAsia="Times New Roman"/>
          <w:lang w:val="fr-FR"/>
        </w:rPr>
        <w:t xml:space="preserve"> La police d’assurance conclue entre la mutuelle belge et l’assureur santé néerlandais (S072) et le CAK. Un canal administratif étroit et ponctuel qui couvre les remboursements standard et pose immédiatement problème dès que les soins ou le statut sortent du cadre du formulaire standard.</w:t>
      </w:r>
    </w:p>
    <w:p w14:paraId="37102040" w14:textId="77777777" w:rsidR="0020702A" w:rsidRDefault="0020702A">
      <w:pPr>
        <w:numPr>
          <w:ilvl w:val="0"/>
          <w:numId w:val="6"/>
        </w:numPr>
        <w:spacing w:before="100" w:beforeAutospacing="1" w:after="100" w:afterAutospacing="1"/>
        <w:divId w:val="1419013937"/>
        <w:rPr>
          <w:rFonts w:eastAsia="Times New Roman"/>
          <w:lang w:val="fr-FR"/>
        </w:rPr>
      </w:pPr>
      <w:r>
        <w:rPr>
          <w:rStyle w:val="Zwaar"/>
          <w:rFonts w:eastAsia="Times New Roman"/>
          <w:lang w:val="fr-FR"/>
        </w:rPr>
        <w:t>Canal 3 — rouge en pointillés, manuel.</w:t>
      </w:r>
      <w:r>
        <w:rPr>
          <w:rFonts w:eastAsia="Times New Roman"/>
          <w:lang w:val="fr-FR"/>
        </w:rPr>
        <w:t xml:space="preserve"> Le domaine médical et socio-sanitaire. Il n’existe aucun canal automatisé entre les hôpitaux, les médecins généralistes, les médecins contrôleurs et les services sociaux belges et néerlandais. La ligne est interrompue et marquée d’un </w:t>
      </w:r>
      <w:r>
        <w:rPr>
          <w:rFonts w:ascii="Segoe UI Symbol" w:eastAsia="Times New Roman" w:hAnsi="Segoe UI Symbol" w:cs="Segoe UI Symbol"/>
          <w:lang w:val="fr-FR"/>
        </w:rPr>
        <w:t>✕</w:t>
      </w:r>
      <w:r>
        <w:rPr>
          <w:rFonts w:eastAsia="Times New Roman"/>
          <w:lang w:val="fr-FR"/>
        </w:rPr>
        <w:t xml:space="preserve"> : la famille doit elle-m</w:t>
      </w:r>
      <w:r>
        <w:rPr>
          <w:rFonts w:eastAsia="Times New Roman" w:cs="Aptos"/>
          <w:lang w:val="fr-FR"/>
        </w:rPr>
        <w:t>ê</w:t>
      </w:r>
      <w:r>
        <w:rPr>
          <w:rFonts w:eastAsia="Times New Roman"/>
          <w:lang w:val="fr-FR"/>
        </w:rPr>
        <w:t>me transporter physiquement les dossiers, les examens d</w:t>
      </w:r>
      <w:r>
        <w:rPr>
          <w:rFonts w:eastAsia="Times New Roman" w:cs="Aptos"/>
          <w:lang w:val="fr-FR"/>
        </w:rPr>
        <w:t>’</w:t>
      </w:r>
      <w:r>
        <w:rPr>
          <w:rFonts w:eastAsia="Times New Roman"/>
          <w:lang w:val="fr-FR"/>
        </w:rPr>
        <w:t>imagerie m</w:t>
      </w:r>
      <w:r>
        <w:rPr>
          <w:rFonts w:eastAsia="Times New Roman" w:cs="Aptos"/>
          <w:lang w:val="fr-FR"/>
        </w:rPr>
        <w:t>é</w:t>
      </w:r>
      <w:r>
        <w:rPr>
          <w:rFonts w:eastAsia="Times New Roman"/>
          <w:lang w:val="fr-FR"/>
        </w:rPr>
        <w:t>dicale et les certificats d</w:t>
      </w:r>
      <w:r>
        <w:rPr>
          <w:rFonts w:eastAsia="Times New Roman" w:cs="Aptos"/>
          <w:lang w:val="fr-FR"/>
        </w:rPr>
        <w:t>’</w:t>
      </w:r>
      <w:r>
        <w:rPr>
          <w:rFonts w:eastAsia="Times New Roman"/>
          <w:lang w:val="fr-FR"/>
        </w:rPr>
        <w:t xml:space="preserve">un monde </w:t>
      </w:r>
      <w:r>
        <w:rPr>
          <w:rFonts w:eastAsia="Times New Roman" w:cs="Aptos"/>
          <w:lang w:val="fr-FR"/>
        </w:rPr>
        <w:t>à</w:t>
      </w:r>
      <w:r>
        <w:rPr>
          <w:rFonts w:eastAsia="Times New Roman"/>
          <w:lang w:val="fr-FR"/>
        </w:rPr>
        <w:t xml:space="preserve"> l</w:t>
      </w:r>
      <w:r>
        <w:rPr>
          <w:rFonts w:eastAsia="Times New Roman" w:cs="Aptos"/>
          <w:lang w:val="fr-FR"/>
        </w:rPr>
        <w:t>’</w:t>
      </w:r>
      <w:r>
        <w:rPr>
          <w:rFonts w:eastAsia="Times New Roman"/>
          <w:lang w:val="fr-FR"/>
        </w:rPr>
        <w:t>autre.</w:t>
      </w:r>
    </w:p>
    <w:p w14:paraId="00B21357" w14:textId="77777777" w:rsidR="0020702A" w:rsidRDefault="0020702A">
      <w:pPr>
        <w:pStyle w:val="Kop4"/>
        <w:divId w:val="1419013937"/>
        <w:rPr>
          <w:rFonts w:eastAsia="Times New Roman"/>
          <w:lang w:val="fr-FR"/>
        </w:rPr>
      </w:pPr>
      <w:r>
        <w:rPr>
          <w:rFonts w:eastAsia="Times New Roman"/>
          <w:lang w:val="fr-FR"/>
        </w:rPr>
        <w:t>La couche externe de l’UE</w:t>
      </w:r>
    </w:p>
    <w:p w14:paraId="4A9CAD26" w14:textId="77777777" w:rsidR="0020702A" w:rsidRDefault="0020702A">
      <w:pPr>
        <w:pStyle w:val="Normaalweb"/>
        <w:divId w:val="1419013937"/>
        <w:rPr>
          <w:lang w:val="fr-FR"/>
        </w:rPr>
      </w:pPr>
      <w:r>
        <w:rPr>
          <w:rStyle w:val="badge-eu1"/>
          <w:lang w:val="fr-FR"/>
        </w:rPr>
        <w:t>La couche externe de l’UE</w:t>
      </w:r>
      <w:r>
        <w:rPr>
          <w:lang w:val="fr-FR"/>
        </w:rPr>
        <w:t xml:space="preserve"> </w:t>
      </w:r>
      <w:r>
        <w:rPr>
          <w:lang w:val="fr-FR"/>
        </w:rPr>
        <w:t>entoure ces deux univers nationaux. Cette couche comprend trois groupes : les institutions européennes officielles et celles régies par les traités, les organes de médiation transfrontaliers, et la couche de résonance sociétale (science, contentieux stratégique, médias et droits de l’homme des Nations unies). La ligne pointillée illustre le problème fondamental du droit social européen : l’UE proclame la libre circulation et assure la coordination sur le papier (règlement n° 883/2004), mais ne dispose pas d</w:t>
      </w:r>
      <w:r>
        <w:rPr>
          <w:lang w:val="fr-FR"/>
        </w:rPr>
        <w:t>e son propre guichet d’exécution capable de débloquer une chaîne nationale enlisée.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5858CD5"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7AB5BA7" w14:textId="77777777" w:rsidR="0020702A" w:rsidRDefault="0020702A">
            <w:pPr>
              <w:pStyle w:val="Normaalweb"/>
              <w:spacing w:before="120"/>
              <w:jc w:val="center"/>
              <w:rPr>
                <w:sz w:val="21"/>
                <w:szCs w:val="21"/>
              </w:rPr>
            </w:pPr>
            <w:r>
              <w:rPr>
                <w:noProof/>
                <w:sz w:val="21"/>
                <w:szCs w:val="21"/>
              </w:rPr>
              <w:drawing>
                <wp:inline distT="0" distB="0" distL="0" distR="0" wp14:anchorId="25948CBF" wp14:editId="1C29AA70">
                  <wp:extent cx="3810000" cy="300355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0" cy="3003550"/>
                          </a:xfrm>
                          <a:prstGeom prst="rect">
                            <a:avLst/>
                          </a:prstGeom>
                          <a:noFill/>
                          <a:ln>
                            <a:noFill/>
                          </a:ln>
                        </pic:spPr>
                      </pic:pic>
                    </a:graphicData>
                  </a:graphic>
                </wp:inline>
              </w:drawing>
            </w:r>
          </w:p>
          <w:p w14:paraId="03E7FA9A" w14:textId="77777777" w:rsidR="0020702A" w:rsidRDefault="0020702A">
            <w:pPr>
              <w:pStyle w:val="caption"/>
              <w:spacing w:after="120" w:afterAutospacing="0"/>
            </w:pPr>
            <w:r>
              <w:rPr>
                <w:rStyle w:val="Zwaar"/>
              </w:rPr>
              <w:t>Figure I.1 — Le plateau de jeu.</w:t>
            </w:r>
            <w:r>
              <w:t xml:space="preserve"> Deux mondes rigides (Belgique, Pays-Bas), chacun comportant quatre couches concentriques (Mise en œuvre, Contrôle, Politique, Symbolique). Tous les acteurs sont numérotés — la légende sous cette figure indique le nom et la fonction pour chaque numéro. Au centre, la membrane comble le fossé selon deux positions (étendue en semaine, rétractée le week-end). Les trois canaux illustrent la tension structurelle : vert épais (automatisé), orange fin (ponctuel), rouge en pointillés (manuel).</w:t>
            </w:r>
          </w:p>
        </w:tc>
      </w:tr>
    </w:tbl>
    <w:p w14:paraId="1F78ABA3" w14:textId="77777777" w:rsidR="0020702A" w:rsidRDefault="0020702A">
      <w:pPr>
        <w:pStyle w:val="Kop3"/>
        <w:divId w:val="1419013937"/>
        <w:rPr>
          <w:rFonts w:eastAsia="Times New Roman"/>
          <w:lang w:val="fr-FR"/>
        </w:rPr>
      </w:pPr>
      <w:bookmarkStart w:id="16" w:name="_Toc242103256"/>
      <w:r>
        <w:rPr>
          <w:rFonts w:eastAsia="Times New Roman"/>
          <w:lang w:val="fr-FR"/>
        </w:rPr>
        <w:t>Partie I-B — Les acteurs</w:t>
      </w:r>
      <w:bookmarkEnd w:id="16"/>
    </w:p>
    <w:p w14:paraId="735D4130" w14:textId="77777777" w:rsidR="0020702A" w:rsidRDefault="0020702A">
      <w:pPr>
        <w:pStyle w:val="Normaalweb"/>
        <w:divId w:val="1419013937"/>
        <w:rPr>
          <w:lang w:val="fr-FR"/>
        </w:rPr>
      </w:pPr>
      <w:r>
        <w:rPr>
          <w:lang w:val="fr-FR"/>
        </w:rPr>
        <w:t>Pour les lecteurs qui ne connaissent pas la Belgique et les Pays-Bas : vous trouverez ci-dessous chaque organisation présente sur le plateau de jeu, classée par monde et par niveau. D’abord la fonction de droit public ou privé, puis le rôle spécifique dans ce dossier.</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9A081CF" w14:textId="77777777">
        <w:trPr>
          <w:divId w:val="1419013937"/>
        </w:trPr>
        <w:tc>
          <w:tcPr>
            <w:tcW w:w="0" w:type="auto"/>
            <w:tcBorders>
              <w:top w:val="single" w:sz="6" w:space="0" w:color="D5D0C5"/>
              <w:left w:val="single" w:sz="36" w:space="0" w:color="8B1E1E"/>
              <w:bottom w:val="single" w:sz="6" w:space="0" w:color="D5D0C5"/>
              <w:right w:val="single" w:sz="6" w:space="0" w:color="D5D0C5"/>
            </w:tcBorders>
            <w:shd w:val="clear" w:color="auto" w:fill="F7EDED"/>
            <w:tcMar>
              <w:top w:w="160" w:type="dxa"/>
              <w:left w:w="240" w:type="dxa"/>
              <w:bottom w:w="160" w:type="dxa"/>
              <w:right w:w="240" w:type="dxa"/>
            </w:tcMar>
            <w:hideMark/>
          </w:tcPr>
          <w:p w14:paraId="5B9AB862" w14:textId="77777777" w:rsidR="0020702A" w:rsidRDefault="0020702A">
            <w:pPr>
              <w:spacing w:before="240" w:after="240"/>
              <w:rPr>
                <w:rFonts w:eastAsia="Times New Roman"/>
                <w:sz w:val="21"/>
                <w:szCs w:val="21"/>
              </w:rPr>
            </w:pPr>
            <w:r>
              <w:rPr>
                <w:rStyle w:val="Zwaar"/>
                <w:rFonts w:eastAsia="Times New Roman"/>
                <w:sz w:val="21"/>
                <w:szCs w:val="21"/>
              </w:rPr>
              <w:t>MONDE BELGIQUE</w:t>
            </w:r>
          </w:p>
        </w:tc>
      </w:tr>
    </w:tbl>
    <w:p w14:paraId="7DA0C5DA" w14:textId="77777777" w:rsidR="0020702A" w:rsidRDefault="0020702A">
      <w:pPr>
        <w:pStyle w:val="Kop4"/>
        <w:divId w:val="1419013937"/>
        <w:rPr>
          <w:rFonts w:eastAsia="Times New Roman"/>
          <w:lang w:val="fr-FR"/>
        </w:rPr>
      </w:pPr>
      <w:r>
        <w:rPr>
          <w:rFonts w:eastAsia="Times New Roman"/>
          <w:lang w:val="fr-FR"/>
        </w:rPr>
        <w:t>Mise en œuvre</w:t>
      </w:r>
    </w:p>
    <w:p w14:paraId="1BD32C5E" w14:textId="77777777" w:rsidR="0020702A" w:rsidRDefault="0020702A">
      <w:pPr>
        <w:divId w:val="1964725524"/>
        <w:rPr>
          <w:rFonts w:eastAsia="Times New Roman"/>
          <w:lang w:val="fr-FR"/>
        </w:rPr>
      </w:pPr>
      <w:r>
        <w:rPr>
          <w:rFonts w:eastAsia="Times New Roman"/>
          <w:b/>
          <w:bCs/>
          <w:color w:val="FFFFFF"/>
          <w:sz w:val="20"/>
          <w:szCs w:val="20"/>
          <w:shd w:val="clear" w:color="auto" w:fill="8B1E1E"/>
          <w:lang w:val="fr-FR"/>
        </w:rPr>
        <w:t> 1 </w:t>
      </w:r>
      <w:r>
        <w:rPr>
          <w:rFonts w:eastAsia="Times New Roman"/>
          <w:lang w:val="fr-FR"/>
        </w:rPr>
        <w:t xml:space="preserve"> </w:t>
      </w:r>
      <w:r>
        <w:rPr>
          <w:rStyle w:val="actor-naam1"/>
          <w:rFonts w:eastAsia="Times New Roman"/>
          <w:lang w:val="fr-FR"/>
        </w:rPr>
        <w:t>Mutualité chrétienne (MC)</w:t>
      </w:r>
      <w:r>
        <w:rPr>
          <w:rFonts w:eastAsia="Times New Roman"/>
          <w:lang w:val="fr-FR"/>
        </w:rPr>
        <w:br/>
        <w:t>La plus grande mutuelle belge ; une association de droit privé dotée d’un mandat public légal pour mettre en œuvre l’assurance maladie et invalidité obligatoire et verser des revenus de remplacement.</w:t>
      </w:r>
      <w:r>
        <w:rPr>
          <w:rFonts w:eastAsia="Times New Roman"/>
          <w:lang w:val="fr-FR"/>
        </w:rPr>
        <w:br/>
      </w:r>
      <w:r>
        <w:rPr>
          <w:rStyle w:val="actor-rol1"/>
          <w:rFonts w:eastAsia="Times New Roman"/>
          <w:lang w:val="fr-FR"/>
        </w:rPr>
        <w:t>Rôle dans ce dossier :</w:t>
      </w:r>
      <w:r>
        <w:rPr>
          <w:rFonts w:eastAsia="Times New Roman"/>
          <w:lang w:val="fr-FR"/>
        </w:rPr>
        <w:t xml:space="preserve"> premier filtre pour les prestations de maladie, les frais médicaux et le formulaire de convention S072. Bloque ou ralentit le traitement des dossiers dès que l’assuré réside aux Pays-Bas. </w:t>
      </w:r>
    </w:p>
    <w:p w14:paraId="0F59C27B" w14:textId="77777777" w:rsidR="0020702A" w:rsidRDefault="0020702A">
      <w:pPr>
        <w:divId w:val="2050758541"/>
        <w:rPr>
          <w:rFonts w:eastAsia="Times New Roman"/>
          <w:lang w:val="fr-FR"/>
        </w:rPr>
      </w:pPr>
      <w:r>
        <w:rPr>
          <w:rFonts w:eastAsia="Times New Roman"/>
          <w:b/>
          <w:bCs/>
          <w:color w:val="FFFFFF"/>
          <w:sz w:val="20"/>
          <w:szCs w:val="20"/>
          <w:shd w:val="clear" w:color="auto" w:fill="8B1E1E"/>
          <w:lang w:val="fr-FR"/>
        </w:rPr>
        <w:t> 2 </w:t>
      </w:r>
      <w:r>
        <w:rPr>
          <w:rFonts w:eastAsia="Times New Roman"/>
          <w:lang w:val="fr-FR"/>
        </w:rPr>
        <w:t xml:space="preserve"> </w:t>
      </w:r>
      <w:r>
        <w:rPr>
          <w:rStyle w:val="actor-naam1"/>
          <w:rFonts w:eastAsia="Times New Roman"/>
          <w:lang w:val="fr-FR"/>
        </w:rPr>
        <w:t>Vitaz</w:t>
      </w:r>
      <w:r>
        <w:rPr>
          <w:rFonts w:eastAsia="Times New Roman"/>
          <w:lang w:val="fr-FR"/>
        </w:rPr>
        <w:br/>
        <w:t>Hôpital général de deuxième ligne situé dans le Waasland, à proximité de la frontière belgo-néerlandaise.</w:t>
      </w:r>
      <w:r>
        <w:rPr>
          <w:rFonts w:eastAsia="Times New Roman"/>
          <w:lang w:val="fr-FR"/>
        </w:rPr>
        <w:br/>
      </w:r>
      <w:r>
        <w:rPr>
          <w:rStyle w:val="actor-rol1"/>
          <w:rFonts w:eastAsia="Times New Roman"/>
          <w:lang w:val="fr-FR"/>
        </w:rPr>
        <w:t>Rôle dans ce dossier :</w:t>
      </w:r>
      <w:r>
        <w:rPr>
          <w:rFonts w:eastAsia="Times New Roman"/>
          <w:lang w:val="fr-FR"/>
        </w:rPr>
        <w:t xml:space="preserve"> premier maillon médical du dossier. Fournit des soins aigus mais n’assure pas la traduction administrative. Les données cliniques restent confinées dans son propre système. </w:t>
      </w:r>
    </w:p>
    <w:p w14:paraId="0186A23C" w14:textId="77777777" w:rsidR="0020702A" w:rsidRDefault="0020702A">
      <w:pPr>
        <w:divId w:val="2024554376"/>
        <w:rPr>
          <w:rFonts w:eastAsia="Times New Roman"/>
          <w:lang w:val="fr-FR"/>
        </w:rPr>
      </w:pPr>
      <w:r>
        <w:rPr>
          <w:rFonts w:eastAsia="Times New Roman"/>
          <w:b/>
          <w:bCs/>
          <w:color w:val="FFFFFF"/>
          <w:sz w:val="20"/>
          <w:szCs w:val="20"/>
          <w:shd w:val="clear" w:color="auto" w:fill="8B1E1E"/>
          <w:lang w:val="fr-FR"/>
        </w:rPr>
        <w:t> 3 </w:t>
      </w:r>
      <w:r>
        <w:rPr>
          <w:rFonts w:eastAsia="Times New Roman"/>
          <w:lang w:val="fr-FR"/>
        </w:rPr>
        <w:t xml:space="preserve"> </w:t>
      </w:r>
      <w:r>
        <w:rPr>
          <w:rStyle w:val="actor-naam1"/>
          <w:rFonts w:eastAsia="Times New Roman"/>
          <w:lang w:val="fr-FR"/>
        </w:rPr>
        <w:t>Hôpital universitaire de Gand (UZ Gent)</w:t>
      </w:r>
      <w:r>
        <w:rPr>
          <w:rFonts w:eastAsia="Times New Roman"/>
          <w:lang w:val="fr-FR"/>
        </w:rPr>
        <w:br/>
        <w:t>Hôpital universitaire de troisième niveau spécialisé dans les diagnostics et traitements hautement spécialisés et complexes.</w:t>
      </w:r>
      <w:r>
        <w:rPr>
          <w:rFonts w:eastAsia="Times New Roman"/>
          <w:lang w:val="fr-FR"/>
        </w:rPr>
        <w:br/>
      </w:r>
      <w:r>
        <w:rPr>
          <w:rStyle w:val="actor-rol1"/>
          <w:rFonts w:eastAsia="Times New Roman"/>
          <w:lang w:val="fr-FR"/>
        </w:rPr>
        <w:t>Rôle dans ce dossier :</w:t>
      </w:r>
      <w:r>
        <w:rPr>
          <w:rFonts w:eastAsia="Times New Roman"/>
          <w:lang w:val="fr-FR"/>
        </w:rPr>
        <w:t xml:space="preserve"> coordination universitaire. Fournit en revanche la transcription administrative que le premier niveau de soins refuse, et publie les données via le réseau eHealth. </w:t>
      </w:r>
    </w:p>
    <w:p w14:paraId="250A7818" w14:textId="77777777" w:rsidR="0020702A" w:rsidRDefault="0020702A">
      <w:pPr>
        <w:divId w:val="1544173533"/>
        <w:rPr>
          <w:rFonts w:eastAsia="Times New Roman"/>
          <w:lang w:val="fr-FR"/>
        </w:rPr>
      </w:pPr>
      <w:r>
        <w:rPr>
          <w:rFonts w:eastAsia="Times New Roman"/>
          <w:b/>
          <w:bCs/>
          <w:color w:val="FFFFFF"/>
          <w:sz w:val="20"/>
          <w:szCs w:val="20"/>
          <w:shd w:val="clear" w:color="auto" w:fill="8B1E1E"/>
          <w:lang w:val="fr-FR"/>
        </w:rPr>
        <w:t> 4 </w:t>
      </w:r>
      <w:r>
        <w:rPr>
          <w:rFonts w:eastAsia="Times New Roman"/>
          <w:lang w:val="fr-FR"/>
        </w:rPr>
        <w:t xml:space="preserve"> </w:t>
      </w:r>
      <w:r>
        <w:rPr>
          <w:rStyle w:val="actor-naam1"/>
          <w:rFonts w:eastAsia="Times New Roman"/>
          <w:lang w:val="fr-FR"/>
        </w:rPr>
        <w:t>Ophtalmologues de Saint-Nicolas</w:t>
      </w:r>
      <w:r>
        <w:rPr>
          <w:rFonts w:eastAsia="Times New Roman"/>
          <w:lang w:val="fr-FR"/>
        </w:rPr>
        <w:br/>
        <w:t>Cabinet privé spécialisé en ophtalmologie à Saint-Nicolas.</w:t>
      </w:r>
      <w:r>
        <w:rPr>
          <w:rFonts w:eastAsia="Times New Roman"/>
          <w:lang w:val="fr-FR"/>
        </w:rPr>
        <w:br/>
      </w:r>
      <w:r>
        <w:rPr>
          <w:rStyle w:val="actor-rol1"/>
          <w:rFonts w:eastAsia="Times New Roman"/>
          <w:lang w:val="fr-FR"/>
        </w:rPr>
        <w:t>Rôle dans ce dossier :</w:t>
      </w:r>
      <w:r>
        <w:rPr>
          <w:rFonts w:eastAsia="Times New Roman"/>
          <w:lang w:val="fr-FR"/>
        </w:rPr>
        <w:t xml:space="preserve"> réalise des traitements invasifs mais enregistre l’interruption forcée comme un refus du patient. Aucune connexion avec une quelconque plateforme eHealth. </w:t>
      </w:r>
    </w:p>
    <w:p w14:paraId="1DADEF36" w14:textId="77777777" w:rsidR="0020702A" w:rsidRDefault="0020702A">
      <w:pPr>
        <w:divId w:val="972060019"/>
        <w:rPr>
          <w:rFonts w:eastAsia="Times New Roman"/>
          <w:lang w:val="fr-FR"/>
        </w:rPr>
      </w:pPr>
      <w:r>
        <w:rPr>
          <w:rFonts w:eastAsia="Times New Roman"/>
          <w:b/>
          <w:bCs/>
          <w:color w:val="FFFFFF"/>
          <w:sz w:val="20"/>
          <w:szCs w:val="20"/>
          <w:shd w:val="clear" w:color="auto" w:fill="8B1E1E"/>
          <w:lang w:val="fr-FR"/>
        </w:rPr>
        <w:t> 5 </w:t>
      </w:r>
      <w:r>
        <w:rPr>
          <w:rFonts w:eastAsia="Times New Roman"/>
          <w:lang w:val="fr-FR"/>
        </w:rPr>
        <w:t xml:space="preserve"> </w:t>
      </w:r>
      <w:r>
        <w:rPr>
          <w:rStyle w:val="actor-naam1"/>
          <w:rFonts w:eastAsia="Times New Roman"/>
          <w:lang w:val="fr-FR"/>
        </w:rPr>
        <w:t>Cabinet de médecine générale Ter Vierschaar</w:t>
      </w:r>
      <w:r>
        <w:rPr>
          <w:rFonts w:eastAsia="Times New Roman"/>
          <w:lang w:val="fr-FR"/>
        </w:rPr>
        <w:br/>
        <w:t>Cabinet de médecine générale de première ligne situé du côté belge.</w:t>
      </w:r>
      <w:r>
        <w:rPr>
          <w:rFonts w:eastAsia="Times New Roman"/>
          <w:lang w:val="fr-FR"/>
        </w:rPr>
        <w:br/>
      </w:r>
      <w:r>
        <w:rPr>
          <w:rStyle w:val="actor-rol1"/>
          <w:rFonts w:eastAsia="Times New Roman"/>
          <w:lang w:val="fr-FR"/>
        </w:rPr>
        <w:t>Rôle dans ce dossier :</w:t>
      </w:r>
      <w:r>
        <w:rPr>
          <w:rFonts w:eastAsia="Times New Roman"/>
          <w:lang w:val="fr-FR"/>
        </w:rPr>
        <w:t xml:space="preserve"> coordinateur médical global, impliqué depuis le début. Fournit la traduction vers les systèmes administratifs des deux pays. Travaille via Vitalink et SumEHR. </w:t>
      </w:r>
    </w:p>
    <w:p w14:paraId="34BEBC54" w14:textId="77777777" w:rsidR="0020702A" w:rsidRDefault="0020702A">
      <w:pPr>
        <w:divId w:val="1928078769"/>
        <w:rPr>
          <w:rFonts w:eastAsia="Times New Roman"/>
          <w:lang w:val="fr-FR"/>
        </w:rPr>
      </w:pPr>
      <w:r>
        <w:rPr>
          <w:rFonts w:eastAsia="Times New Roman"/>
          <w:b/>
          <w:bCs/>
          <w:color w:val="FFFFFF"/>
          <w:sz w:val="20"/>
          <w:szCs w:val="20"/>
          <w:shd w:val="clear" w:color="auto" w:fill="8B1E1E"/>
          <w:lang w:val="fr-FR"/>
        </w:rPr>
        <w:t> 6 </w:t>
      </w:r>
      <w:r>
        <w:rPr>
          <w:rFonts w:eastAsia="Times New Roman"/>
          <w:lang w:val="fr-FR"/>
        </w:rPr>
        <w:t xml:space="preserve"> </w:t>
      </w:r>
      <w:r>
        <w:rPr>
          <w:rStyle w:val="actor-naam1"/>
          <w:rFonts w:eastAsia="Times New Roman"/>
          <w:lang w:val="fr-FR"/>
        </w:rPr>
        <w:t>Experts indépendants BE</w:t>
      </w:r>
      <w:r>
        <w:rPr>
          <w:rFonts w:eastAsia="Times New Roman"/>
          <w:lang w:val="fr-FR"/>
        </w:rPr>
        <w:br/>
        <w:t>Médecins experts indépendants chargés d’évaluer les préjudices médicaux et les taux d’invalidité sur mandat.</w:t>
      </w:r>
      <w:r>
        <w:rPr>
          <w:rFonts w:eastAsia="Times New Roman"/>
          <w:lang w:val="fr-FR"/>
        </w:rPr>
        <w:br/>
      </w:r>
      <w:r>
        <w:rPr>
          <w:rStyle w:val="actor-rol1"/>
          <w:rFonts w:eastAsia="Times New Roman"/>
          <w:lang w:val="fr-FR"/>
        </w:rPr>
        <w:t>Rôle dans ce dossier :</w:t>
      </w:r>
      <w:r>
        <w:rPr>
          <w:rFonts w:eastAsia="Times New Roman"/>
          <w:lang w:val="fr-FR"/>
        </w:rPr>
        <w:t xml:space="preserve"> silence radio total. Aucun des experts contactés ne répond aux demandes d’évaluation indépendante. </w:t>
      </w:r>
    </w:p>
    <w:p w14:paraId="144BAC36" w14:textId="77777777" w:rsidR="0020702A" w:rsidRDefault="0020702A">
      <w:pPr>
        <w:divId w:val="371854917"/>
        <w:rPr>
          <w:rFonts w:eastAsia="Times New Roman"/>
          <w:lang w:val="fr-FR"/>
        </w:rPr>
      </w:pPr>
      <w:r>
        <w:rPr>
          <w:rFonts w:eastAsia="Times New Roman"/>
          <w:b/>
          <w:bCs/>
          <w:color w:val="FFFFFF"/>
          <w:sz w:val="20"/>
          <w:szCs w:val="20"/>
          <w:shd w:val="clear" w:color="auto" w:fill="8B1E1E"/>
          <w:lang w:val="fr-FR"/>
        </w:rPr>
        <w:t> 7 </w:t>
      </w:r>
      <w:r>
        <w:rPr>
          <w:rFonts w:eastAsia="Times New Roman"/>
          <w:lang w:val="fr-FR"/>
        </w:rPr>
        <w:t xml:space="preserve"> </w:t>
      </w:r>
      <w:r>
        <w:rPr>
          <w:rStyle w:val="actor-naam1"/>
          <w:rFonts w:eastAsia="Times New Roman"/>
          <w:lang w:val="fr-FR"/>
        </w:rPr>
        <w:t>Vertico Business Solutions</w:t>
      </w:r>
      <w:r>
        <w:rPr>
          <w:rFonts w:eastAsia="Times New Roman"/>
          <w:lang w:val="fr-FR"/>
        </w:rPr>
        <w:br/>
        <w:t>Employeur privé belge.</w:t>
      </w:r>
      <w:r>
        <w:rPr>
          <w:rFonts w:eastAsia="Times New Roman"/>
          <w:lang w:val="fr-FR"/>
        </w:rPr>
        <w:br/>
      </w:r>
      <w:r>
        <w:rPr>
          <w:rStyle w:val="actor-rol1"/>
          <w:rFonts w:eastAsia="Times New Roman"/>
          <w:lang w:val="fr-FR"/>
        </w:rPr>
        <w:t>Rôle dans ce dossier :</w:t>
      </w:r>
      <w:r>
        <w:rPr>
          <w:rFonts w:eastAsia="Times New Roman"/>
          <w:lang w:val="fr-FR"/>
        </w:rPr>
        <w:t xml:space="preserve"> assure correctement le maintien légal du salaire. Remet les attestations d’emploi dans les délais. Les frictions ne commencent qu’au moment du transfert vers les instances publiques. </w:t>
      </w:r>
    </w:p>
    <w:p w14:paraId="361A4C9A" w14:textId="77777777" w:rsidR="0020702A" w:rsidRDefault="0020702A">
      <w:pPr>
        <w:divId w:val="1738936038"/>
        <w:rPr>
          <w:rFonts w:eastAsia="Times New Roman"/>
          <w:lang w:val="fr-FR"/>
        </w:rPr>
      </w:pPr>
      <w:r>
        <w:rPr>
          <w:rFonts w:eastAsia="Times New Roman"/>
          <w:b/>
          <w:bCs/>
          <w:color w:val="FFFFFF"/>
          <w:sz w:val="20"/>
          <w:szCs w:val="20"/>
          <w:shd w:val="clear" w:color="auto" w:fill="8B1E1E"/>
          <w:lang w:val="fr-FR"/>
        </w:rPr>
        <w:t> 8 </w:t>
      </w:r>
      <w:r>
        <w:rPr>
          <w:rFonts w:eastAsia="Times New Roman"/>
          <w:lang w:val="fr-FR"/>
        </w:rPr>
        <w:t xml:space="preserve"> </w:t>
      </w:r>
      <w:r>
        <w:rPr>
          <w:rStyle w:val="actor-naam1"/>
          <w:rFonts w:eastAsia="Times New Roman"/>
          <w:lang w:val="fr-FR"/>
        </w:rPr>
        <w:t>SPF Sécurité sociale — DG Personnes handicapées (DG HAN)</w:t>
      </w:r>
      <w:r>
        <w:rPr>
          <w:rFonts w:eastAsia="Times New Roman"/>
          <w:lang w:val="fr-FR"/>
        </w:rPr>
        <w:br/>
        <w:t>Le ministère fédéral belge chargé d’évaluer médicalement la gravité d’un handicap et de délivrer les attestations officielles de reconnaissance.</w:t>
      </w:r>
      <w:r>
        <w:rPr>
          <w:rFonts w:eastAsia="Times New Roman"/>
          <w:lang w:val="fr-FR"/>
        </w:rPr>
        <w:br/>
      </w:r>
      <w:r>
        <w:rPr>
          <w:rStyle w:val="actor-rol1"/>
          <w:rFonts w:eastAsia="Times New Roman"/>
          <w:lang w:val="fr-FR"/>
        </w:rPr>
        <w:t>Rôle dans ce dossier :</w:t>
      </w:r>
      <w:r>
        <w:rPr>
          <w:rFonts w:eastAsia="Times New Roman"/>
          <w:lang w:val="fr-FR"/>
        </w:rPr>
        <w:t xml:space="preserve"> reconnaît formellement les limitations médicales, mais subordonne cette reconnaissance à un lieu de résidence sur le territoire national. Refuse même une reconnaissance purement médicale à des fins fiscales lorsque le citoyen réside aux Pays-Bas. </w:t>
      </w:r>
    </w:p>
    <w:p w14:paraId="29F97BE3" w14:textId="77777777" w:rsidR="0020702A" w:rsidRDefault="0020702A">
      <w:pPr>
        <w:divId w:val="688873617"/>
        <w:rPr>
          <w:rFonts w:eastAsia="Times New Roman"/>
          <w:lang w:val="fr-FR"/>
        </w:rPr>
      </w:pPr>
      <w:r>
        <w:rPr>
          <w:rFonts w:eastAsia="Times New Roman"/>
          <w:b/>
          <w:bCs/>
          <w:color w:val="FFFFFF"/>
          <w:sz w:val="20"/>
          <w:szCs w:val="20"/>
          <w:shd w:val="clear" w:color="auto" w:fill="8B1E1E"/>
          <w:lang w:val="fr-FR"/>
        </w:rPr>
        <w:t> 9 </w:t>
      </w:r>
      <w:r>
        <w:rPr>
          <w:rFonts w:eastAsia="Times New Roman"/>
          <w:lang w:val="fr-FR"/>
        </w:rPr>
        <w:t xml:space="preserve"> </w:t>
      </w:r>
      <w:r>
        <w:rPr>
          <w:rStyle w:val="actor-naam1"/>
          <w:rFonts w:eastAsia="Times New Roman"/>
          <w:lang w:val="fr-FR"/>
        </w:rPr>
        <w:t>SPF Finances</w:t>
      </w:r>
      <w:r>
        <w:rPr>
          <w:rFonts w:eastAsia="Times New Roman"/>
          <w:lang w:val="fr-FR"/>
        </w:rPr>
        <w:br/>
      </w:r>
      <w:r>
        <w:rPr>
          <w:rFonts w:eastAsia="Times New Roman"/>
          <w:lang w:val="fr-FR"/>
        </w:rPr>
        <w:t>L'administration fiscale nationale belge.</w:t>
      </w:r>
      <w:r>
        <w:rPr>
          <w:rFonts w:eastAsia="Times New Roman"/>
          <w:lang w:val="fr-FR"/>
        </w:rPr>
        <w:br/>
      </w:r>
      <w:r>
        <w:rPr>
          <w:rStyle w:val="actor-rol1"/>
          <w:rFonts w:eastAsia="Times New Roman"/>
          <w:lang w:val="fr-FR"/>
        </w:rPr>
        <w:t>Rôle dans ce dossier :</w:t>
      </w:r>
      <w:r>
        <w:rPr>
          <w:rFonts w:eastAsia="Times New Roman"/>
          <w:lang w:val="fr-FR"/>
        </w:rPr>
        <w:t xml:space="preserve"> échange automatiquement des données sur les revenus avec les Pays-Bas via le canal vert de l'UE, mais décide de manière autonome des exonérations fiscales et exige un certificat de DG HAN que cette instance ne fournit pas dans ce dossier. Elle relève ensuite le seuil (9 points) au-delà de ce qu’accorde DG HAN (8 points). </w:t>
      </w:r>
    </w:p>
    <w:p w14:paraId="63127DA4" w14:textId="77777777" w:rsidR="0020702A" w:rsidRDefault="0020702A">
      <w:pPr>
        <w:divId w:val="1164979592"/>
        <w:rPr>
          <w:rFonts w:eastAsia="Times New Roman"/>
          <w:lang w:val="fr-FR"/>
        </w:rPr>
      </w:pPr>
      <w:r>
        <w:rPr>
          <w:rFonts w:eastAsia="Times New Roman"/>
          <w:b/>
          <w:bCs/>
          <w:color w:val="FFFFFF"/>
          <w:sz w:val="20"/>
          <w:szCs w:val="20"/>
          <w:shd w:val="clear" w:color="auto" w:fill="8B1E1E"/>
          <w:lang w:val="fr-FR"/>
        </w:rPr>
        <w:t> 10 </w:t>
      </w:r>
      <w:r>
        <w:rPr>
          <w:rFonts w:eastAsia="Times New Roman"/>
          <w:lang w:val="fr-FR"/>
        </w:rPr>
        <w:t xml:space="preserve"> </w:t>
      </w:r>
      <w:r>
        <w:rPr>
          <w:rStyle w:val="actor-naam1"/>
          <w:rFonts w:eastAsia="Times New Roman"/>
          <w:lang w:val="fr-FR"/>
        </w:rPr>
        <w:t>Office national de l’emploi (ONEM)</w:t>
      </w:r>
      <w:r>
        <w:rPr>
          <w:rFonts w:eastAsia="Times New Roman"/>
          <w:lang w:val="fr-FR"/>
        </w:rPr>
        <w:br/>
        <w:t>L’institution fédérale belge qui régit l’assurance chômage et délivre les attestations de carrière européennes (PD U1).</w:t>
      </w:r>
      <w:r>
        <w:rPr>
          <w:rFonts w:eastAsia="Times New Roman"/>
          <w:lang w:val="fr-FR"/>
        </w:rPr>
        <w:br/>
      </w:r>
      <w:r>
        <w:rPr>
          <w:rStyle w:val="actor-rol1"/>
          <w:rFonts w:eastAsia="Times New Roman"/>
          <w:lang w:val="fr-FR"/>
        </w:rPr>
        <w:t>Rôle dans ce dossier :</w:t>
      </w:r>
      <w:r>
        <w:rPr>
          <w:rFonts w:eastAsia="Times New Roman"/>
          <w:lang w:val="fr-FR"/>
        </w:rPr>
        <w:t xml:space="preserve"> refuse d’intégrer les données de parcours professionnel étrangères dans son propre système. Exige, pour les parcours de formation, un formulaire C4 qui n’existe pas juridiquement dans ce statut. </w:t>
      </w:r>
    </w:p>
    <w:p w14:paraId="576AF609" w14:textId="77777777" w:rsidR="0020702A" w:rsidRDefault="0020702A">
      <w:pPr>
        <w:divId w:val="1661813583"/>
        <w:rPr>
          <w:rFonts w:eastAsia="Times New Roman"/>
          <w:lang w:val="fr-FR"/>
        </w:rPr>
      </w:pPr>
      <w:r>
        <w:rPr>
          <w:rFonts w:eastAsia="Times New Roman"/>
          <w:b/>
          <w:bCs/>
          <w:color w:val="FFFFFF"/>
          <w:sz w:val="20"/>
          <w:szCs w:val="20"/>
          <w:shd w:val="clear" w:color="auto" w:fill="8B1E1E"/>
          <w:lang w:val="fr-FR"/>
        </w:rPr>
        <w:t> 11 </w:t>
      </w:r>
      <w:r>
        <w:rPr>
          <w:rFonts w:eastAsia="Times New Roman"/>
          <w:lang w:val="fr-FR"/>
        </w:rPr>
        <w:t xml:space="preserve"> </w:t>
      </w:r>
      <w:r>
        <w:rPr>
          <w:rStyle w:val="actor-naam1"/>
          <w:rFonts w:eastAsia="Times New Roman"/>
          <w:lang w:val="fr-FR"/>
        </w:rPr>
        <w:t>Parentia</w:t>
      </w:r>
      <w:r>
        <w:rPr>
          <w:rFonts w:eastAsia="Times New Roman"/>
          <w:lang w:val="fr-FR"/>
        </w:rPr>
        <w:br/>
        <w:t>Organisme belge agréé chargé du versement des allocations familiales et du « Groeipakket » flamand.</w:t>
      </w:r>
      <w:r>
        <w:rPr>
          <w:rFonts w:eastAsia="Times New Roman"/>
          <w:lang w:val="fr-FR"/>
        </w:rPr>
        <w:br/>
      </w:r>
      <w:r>
        <w:rPr>
          <w:rStyle w:val="actor-rol1"/>
          <w:rFonts w:eastAsia="Times New Roman"/>
          <w:lang w:val="fr-FR"/>
        </w:rPr>
        <w:t>Rôle dans ce dossier :</w:t>
      </w:r>
      <w:r>
        <w:rPr>
          <w:rFonts w:eastAsia="Times New Roman"/>
          <w:lang w:val="fr-FR"/>
        </w:rPr>
        <w:t xml:space="preserve"> consulte les données de revenus via la Banque-Carrefour (BCSS) et dépend donc entièrement des informations transmises par la mutuelle (MC). Lorsque MC n’enregistre pas le statut de maladie, le supplément social est gelé. </w:t>
      </w:r>
    </w:p>
    <w:p w14:paraId="3D6DA1F8" w14:textId="77777777" w:rsidR="0020702A" w:rsidRDefault="0020702A">
      <w:pPr>
        <w:divId w:val="1436515797"/>
        <w:rPr>
          <w:rFonts w:eastAsia="Times New Roman"/>
          <w:lang w:val="fr-FR"/>
        </w:rPr>
      </w:pPr>
      <w:r>
        <w:rPr>
          <w:rFonts w:eastAsia="Times New Roman"/>
          <w:b/>
          <w:bCs/>
          <w:color w:val="FFFFFF"/>
          <w:sz w:val="20"/>
          <w:szCs w:val="20"/>
          <w:shd w:val="clear" w:color="auto" w:fill="8B1E1E"/>
          <w:lang w:val="fr-FR"/>
        </w:rPr>
        <w:t> 12 </w:t>
      </w:r>
      <w:r>
        <w:rPr>
          <w:rFonts w:eastAsia="Times New Roman"/>
          <w:lang w:val="fr-FR"/>
        </w:rPr>
        <w:t xml:space="preserve"> </w:t>
      </w:r>
      <w:r>
        <w:rPr>
          <w:rStyle w:val="actor-naam1"/>
          <w:rFonts w:eastAsia="Times New Roman"/>
          <w:lang w:val="fr-FR"/>
        </w:rPr>
        <w:t>Agence des services éducatifs (AGODI)</w:t>
      </w:r>
      <w:r>
        <w:rPr>
          <w:rFonts w:eastAsia="Times New Roman"/>
          <w:lang w:val="fr-FR"/>
        </w:rPr>
        <w:br/>
        <w:t>Agence exécutive du ministère flamand de l’Éducation chargée de la gestion des salaires du personnel enseignant.</w:t>
      </w:r>
      <w:r>
        <w:rPr>
          <w:rFonts w:eastAsia="Times New Roman"/>
          <w:lang w:val="fr-FR"/>
        </w:rPr>
        <w:br/>
      </w:r>
      <w:r>
        <w:rPr>
          <w:rStyle w:val="actor-rol1"/>
          <w:rFonts w:eastAsia="Times New Roman"/>
          <w:lang w:val="fr-FR"/>
        </w:rPr>
        <w:t>Rôle dans ce dossier :</w:t>
      </w:r>
      <w:r>
        <w:rPr>
          <w:rFonts w:eastAsia="Times New Roman"/>
          <w:lang w:val="fr-FR"/>
        </w:rPr>
        <w:t xml:space="preserve"> prélève le précompte professionnel pour la mère, mais refuse les corrections fiscales rétroactives sur la base d’un certificat fédéral d’invalidité. Se retranche derrière le secrétariat de l’école et l’administration fiscale fédérale. </w:t>
      </w:r>
    </w:p>
    <w:p w14:paraId="31EB73BF" w14:textId="77777777" w:rsidR="0020702A" w:rsidRDefault="0020702A">
      <w:pPr>
        <w:divId w:val="1958103600"/>
        <w:rPr>
          <w:rFonts w:eastAsia="Times New Roman"/>
          <w:lang w:val="fr-FR"/>
        </w:rPr>
      </w:pPr>
      <w:r>
        <w:rPr>
          <w:rFonts w:eastAsia="Times New Roman"/>
          <w:b/>
          <w:bCs/>
          <w:color w:val="FFFFFF"/>
          <w:sz w:val="20"/>
          <w:szCs w:val="20"/>
          <w:shd w:val="clear" w:color="auto" w:fill="8B1E1E"/>
          <w:lang w:val="fr-FR"/>
        </w:rPr>
        <w:t> 13 </w:t>
      </w:r>
      <w:r>
        <w:rPr>
          <w:rFonts w:eastAsia="Times New Roman"/>
          <w:lang w:val="fr-FR"/>
        </w:rPr>
        <w:t xml:space="preserve"> </w:t>
      </w:r>
      <w:r>
        <w:rPr>
          <w:rStyle w:val="actor-naam1"/>
          <w:rFonts w:eastAsia="Times New Roman"/>
          <w:lang w:val="fr-FR"/>
        </w:rPr>
        <w:t>Confédération des Syndicats Chrétiens (CSC)</w:t>
      </w:r>
      <w:r>
        <w:rPr>
          <w:rFonts w:eastAsia="Times New Roman"/>
          <w:lang w:val="fr-FR"/>
        </w:rPr>
        <w:br/>
        <w:t>Le plus grand syndicat belge, qui fait également office d’organisme de paiement et de prestataire d’aide sociale.</w:t>
      </w:r>
      <w:r>
        <w:rPr>
          <w:rFonts w:eastAsia="Times New Roman"/>
          <w:lang w:val="fr-FR"/>
        </w:rPr>
        <w:br/>
      </w:r>
      <w:r>
        <w:rPr>
          <w:rStyle w:val="actor-rol1"/>
          <w:rFonts w:eastAsia="Times New Roman"/>
          <w:lang w:val="fr-FR"/>
        </w:rPr>
        <w:t>Rôle dans ce dossier :</w:t>
      </w:r>
      <w:r>
        <w:rPr>
          <w:rFonts w:eastAsia="Times New Roman"/>
          <w:lang w:val="fr-FR"/>
        </w:rPr>
        <w:t xml:space="preserve"> reconnaît sans réserve l'erreur du système, mais refuse toute intervention juridique à l'encontre de la MC dès lors que le patient ne dispose pas lui-même d'un numéro d'adhérent. La solidarité s'arrête à la limite de l'adhésion individuelle. </w:t>
      </w:r>
    </w:p>
    <w:p w14:paraId="30C43942" w14:textId="77777777" w:rsidR="0020702A" w:rsidRDefault="0020702A">
      <w:pPr>
        <w:pStyle w:val="Kop4"/>
        <w:divId w:val="1419013937"/>
        <w:rPr>
          <w:rFonts w:eastAsia="Times New Roman"/>
          <w:lang w:val="fr-FR"/>
        </w:rPr>
      </w:pPr>
      <w:r>
        <w:rPr>
          <w:rFonts w:eastAsia="Times New Roman"/>
          <w:lang w:val="fr-FR"/>
        </w:rPr>
        <w:t>Contrôle</w:t>
      </w:r>
    </w:p>
    <w:p w14:paraId="72D56EC4" w14:textId="77777777" w:rsidR="0020702A" w:rsidRDefault="0020702A">
      <w:pPr>
        <w:divId w:val="1077364538"/>
        <w:rPr>
          <w:rFonts w:eastAsia="Times New Roman"/>
          <w:lang w:val="fr-FR"/>
        </w:rPr>
      </w:pPr>
      <w:r>
        <w:rPr>
          <w:rFonts w:eastAsia="Times New Roman"/>
          <w:b/>
          <w:bCs/>
          <w:color w:val="FFFFFF"/>
          <w:sz w:val="20"/>
          <w:szCs w:val="20"/>
          <w:shd w:val="clear" w:color="auto" w:fill="8B1E1E"/>
          <w:lang w:val="fr-FR"/>
        </w:rPr>
        <w:t> 14 </w:t>
      </w:r>
      <w:r>
        <w:rPr>
          <w:rFonts w:eastAsia="Times New Roman"/>
          <w:lang w:val="fr-FR"/>
        </w:rPr>
        <w:t xml:space="preserve"> </w:t>
      </w:r>
      <w:r>
        <w:rPr>
          <w:rStyle w:val="actor-naam1"/>
          <w:rFonts w:eastAsia="Times New Roman"/>
          <w:lang w:val="fr-FR"/>
        </w:rPr>
        <w:t>Institut national d’assurance maladie-invalidité (INAMI)</w:t>
      </w:r>
      <w:r>
        <w:rPr>
          <w:rFonts w:eastAsia="Times New Roman"/>
          <w:lang w:val="fr-FR"/>
        </w:rPr>
        <w:br/>
        <w:t>L’organisme fédéral central qui gère et finance l’assurance maladie et invalidité obligatoire.</w:t>
      </w:r>
      <w:r>
        <w:rPr>
          <w:rFonts w:eastAsia="Times New Roman"/>
          <w:lang w:val="fr-FR"/>
        </w:rPr>
        <w:br/>
      </w:r>
      <w:r>
        <w:rPr>
          <w:rStyle w:val="actor-rol1"/>
          <w:rFonts w:eastAsia="Times New Roman"/>
          <w:lang w:val="fr-FR"/>
        </w:rPr>
        <w:t>Rôle dans ce dossier :</w:t>
      </w:r>
      <w:r>
        <w:rPr>
          <w:rFonts w:eastAsia="Times New Roman"/>
          <w:lang w:val="fr-FR"/>
        </w:rPr>
        <w:t xml:space="preserve"> confirme par écrit que la reconnaissance médicale est indépendante d’un droit à une prestation financière, mais refuse d’intervenir de manière contraignante dans les dossiers individuels pour contester les décisions de la mutuelle. </w:t>
      </w:r>
    </w:p>
    <w:p w14:paraId="01075496" w14:textId="77777777" w:rsidR="0020702A" w:rsidRDefault="0020702A">
      <w:pPr>
        <w:divId w:val="688878017"/>
        <w:rPr>
          <w:rFonts w:eastAsia="Times New Roman"/>
          <w:lang w:val="fr-FR"/>
        </w:rPr>
      </w:pPr>
      <w:r>
        <w:rPr>
          <w:rFonts w:eastAsia="Times New Roman"/>
          <w:b/>
          <w:bCs/>
          <w:color w:val="FFFFFF"/>
          <w:sz w:val="20"/>
          <w:szCs w:val="20"/>
          <w:shd w:val="clear" w:color="auto" w:fill="8B1E1E"/>
          <w:lang w:val="fr-FR"/>
        </w:rPr>
        <w:t> 15 </w:t>
      </w:r>
      <w:r>
        <w:rPr>
          <w:rFonts w:eastAsia="Times New Roman"/>
          <w:lang w:val="fr-FR"/>
        </w:rPr>
        <w:t xml:space="preserve"> </w:t>
      </w:r>
      <w:r>
        <w:rPr>
          <w:rStyle w:val="actor-naam1"/>
          <w:rFonts w:eastAsia="Times New Roman"/>
          <w:lang w:val="fr-FR"/>
        </w:rPr>
        <w:t>Office de Contrôle des Mutualités (OCM)</w:t>
      </w:r>
      <w:r>
        <w:rPr>
          <w:rFonts w:eastAsia="Times New Roman"/>
          <w:lang w:val="fr-FR"/>
        </w:rPr>
        <w:br/>
        <w:t>Autorité fédérale de contrôle des mutuelles.</w:t>
      </w:r>
      <w:r>
        <w:rPr>
          <w:rFonts w:eastAsia="Times New Roman"/>
          <w:lang w:val="fr-FR"/>
        </w:rPr>
        <w:br/>
      </w:r>
      <w:r>
        <w:rPr>
          <w:rStyle w:val="actor-rol1"/>
          <w:rFonts w:eastAsia="Times New Roman"/>
          <w:lang w:val="fr-FR"/>
        </w:rPr>
        <w:t>Rôle dans ce dossier :</w:t>
      </w:r>
      <w:r>
        <w:rPr>
          <w:rFonts w:eastAsia="Times New Roman"/>
          <w:lang w:val="fr-FR"/>
        </w:rPr>
        <w:t xml:space="preserve"> se déclare incompétent pour les dossiers individuels. Qualifie une violation structurelle du droit de l’Union de litige médical individuel et classe le dossier. </w:t>
      </w:r>
    </w:p>
    <w:p w14:paraId="1144A9E1" w14:textId="77777777" w:rsidR="0020702A" w:rsidRDefault="0020702A">
      <w:pPr>
        <w:divId w:val="873274591"/>
        <w:rPr>
          <w:rFonts w:eastAsia="Times New Roman"/>
          <w:lang w:val="fr-FR"/>
        </w:rPr>
      </w:pPr>
      <w:r>
        <w:rPr>
          <w:rFonts w:eastAsia="Times New Roman"/>
          <w:b/>
          <w:bCs/>
          <w:color w:val="FFFFFF"/>
          <w:sz w:val="20"/>
          <w:szCs w:val="20"/>
          <w:shd w:val="clear" w:color="auto" w:fill="8B1E1E"/>
          <w:lang w:val="fr-FR"/>
        </w:rPr>
        <w:t> 16 </w:t>
      </w:r>
      <w:r>
        <w:rPr>
          <w:rFonts w:eastAsia="Times New Roman"/>
          <w:lang w:val="fr-FR"/>
        </w:rPr>
        <w:t xml:space="preserve"> </w:t>
      </w:r>
      <w:r>
        <w:rPr>
          <w:rStyle w:val="actor-naam1"/>
          <w:rFonts w:eastAsia="Times New Roman"/>
          <w:lang w:val="fr-FR"/>
        </w:rPr>
        <w:t>Médiateur fédéral</w:t>
      </w:r>
      <w:r>
        <w:rPr>
          <w:rFonts w:eastAsia="Times New Roman"/>
          <w:lang w:val="fr-FR"/>
        </w:rPr>
        <w:t xml:space="preserve"> Instance indépendante chargée du traitement des plaintes au sein de l’administration fédérale belge.</w:t>
      </w:r>
      <w:r>
        <w:rPr>
          <w:rFonts w:eastAsia="Times New Roman"/>
          <w:lang w:val="fr-FR"/>
        </w:rPr>
        <w:br/>
      </w:r>
      <w:r>
        <w:rPr>
          <w:rStyle w:val="actor-rol1"/>
          <w:rFonts w:eastAsia="Times New Roman"/>
          <w:lang w:val="fr-FR"/>
        </w:rPr>
        <w:t>Rôle dans ce dossier :</w:t>
      </w:r>
      <w:r>
        <w:rPr>
          <w:rFonts w:eastAsia="Times New Roman"/>
          <w:lang w:val="fr-FR"/>
        </w:rPr>
        <w:t xml:space="preserve"> réalise une percée procédurale auprès de DG HAN, mais capitule face à la défense administrative de la MC. Clôture définitivement le dossier sans résoudre l’impasse sous-jacente. </w:t>
      </w:r>
    </w:p>
    <w:p w14:paraId="1235D6BD" w14:textId="77777777" w:rsidR="0020702A" w:rsidRDefault="0020702A">
      <w:pPr>
        <w:divId w:val="437330996"/>
        <w:rPr>
          <w:rFonts w:eastAsia="Times New Roman"/>
          <w:lang w:val="fr-FR"/>
        </w:rPr>
      </w:pPr>
      <w:r>
        <w:rPr>
          <w:rFonts w:eastAsia="Times New Roman"/>
          <w:b/>
          <w:bCs/>
          <w:color w:val="FFFFFF"/>
          <w:sz w:val="20"/>
          <w:szCs w:val="20"/>
          <w:shd w:val="clear" w:color="auto" w:fill="8B1E1E"/>
          <w:lang w:val="fr-FR"/>
        </w:rPr>
        <w:t> 17 </w:t>
      </w:r>
      <w:r>
        <w:rPr>
          <w:rFonts w:eastAsia="Times New Roman"/>
          <w:lang w:val="fr-FR"/>
        </w:rPr>
        <w:t xml:space="preserve"> </w:t>
      </w:r>
      <w:r>
        <w:rPr>
          <w:rStyle w:val="actor-naam1"/>
          <w:rFonts w:eastAsia="Times New Roman"/>
          <w:lang w:val="fr-FR"/>
        </w:rPr>
        <w:t>Parquet du travail de Gand</w:t>
      </w:r>
      <w:r>
        <w:rPr>
          <w:rFonts w:eastAsia="Times New Roman"/>
          <w:lang w:val="fr-FR"/>
        </w:rPr>
        <w:br/>
        <w:t>: le ministère public spécialisé auprès des tribunaux du travail, compétent en matière de législation sur la sécurité sociale.</w:t>
      </w:r>
      <w:r>
        <w:rPr>
          <w:rFonts w:eastAsia="Times New Roman"/>
          <w:lang w:val="fr-FR"/>
        </w:rPr>
        <w:br/>
      </w:r>
      <w:r>
        <w:rPr>
          <w:rStyle w:val="actor-rol1"/>
          <w:rFonts w:eastAsia="Times New Roman"/>
          <w:lang w:val="fr-FR"/>
        </w:rPr>
        <w:t>Rôle dans ce dossier :</w:t>
      </w:r>
      <w:r>
        <w:rPr>
          <w:rFonts w:eastAsia="Times New Roman"/>
          <w:lang w:val="fr-FR"/>
        </w:rPr>
        <w:t xml:space="preserve"> se déclare incompétent pour contrôler les mutuelles de santé. Qualifie l’impasse administrative de litige civil et renvoie l’affaire devant le tribunal du travail. </w:t>
      </w:r>
    </w:p>
    <w:p w14:paraId="367BBFE7" w14:textId="77777777" w:rsidR="0020702A" w:rsidRDefault="0020702A">
      <w:pPr>
        <w:divId w:val="2067146019"/>
        <w:rPr>
          <w:rFonts w:eastAsia="Times New Roman"/>
          <w:lang w:val="fr-FR"/>
        </w:rPr>
      </w:pPr>
      <w:r>
        <w:rPr>
          <w:rFonts w:eastAsia="Times New Roman"/>
          <w:b/>
          <w:bCs/>
          <w:color w:val="FFFFFF"/>
          <w:sz w:val="20"/>
          <w:szCs w:val="20"/>
          <w:shd w:val="clear" w:color="auto" w:fill="8B1E1E"/>
          <w:lang w:val="fr-FR"/>
        </w:rPr>
        <w:t> 18 </w:t>
      </w:r>
      <w:r>
        <w:rPr>
          <w:rFonts w:eastAsia="Times New Roman"/>
          <w:lang w:val="fr-FR"/>
        </w:rPr>
        <w:t xml:space="preserve"> </w:t>
      </w:r>
      <w:r>
        <w:rPr>
          <w:rStyle w:val="actor-naam1"/>
          <w:rFonts w:eastAsia="Times New Roman"/>
          <w:lang w:val="fr-FR"/>
        </w:rPr>
        <w:t>UNIA (Centre interfédéral pour l'égalité des chances)</w:t>
      </w:r>
      <w:r>
        <w:rPr>
          <w:rFonts w:eastAsia="Times New Roman"/>
          <w:lang w:val="fr-FR"/>
        </w:rPr>
        <w:br/>
        <w:t>Organisme indépendant chargé de lutter contre la discrimination.</w:t>
      </w:r>
      <w:r>
        <w:rPr>
          <w:rFonts w:eastAsia="Times New Roman"/>
          <w:lang w:val="fr-FR"/>
        </w:rPr>
        <w:br/>
      </w:r>
      <w:r>
        <w:rPr>
          <w:rStyle w:val="actor-rol1"/>
          <w:rFonts w:eastAsia="Times New Roman"/>
          <w:lang w:val="fr-FR"/>
        </w:rPr>
        <w:t>Rôle dans ce dossier :</w:t>
      </w:r>
      <w:r>
        <w:rPr>
          <w:rFonts w:eastAsia="Times New Roman"/>
          <w:lang w:val="fr-FR"/>
        </w:rPr>
        <w:t xml:space="preserve"> se déclare incompétent car le lieu de résidence n'est pas un critère protégé par la législation anti-discrimination. Une exclusion découlant directement d’une loi ou d’un décret ne relève pas de son mandat. </w:t>
      </w:r>
    </w:p>
    <w:p w14:paraId="447DDBB2" w14:textId="77777777" w:rsidR="0020702A" w:rsidRDefault="0020702A">
      <w:pPr>
        <w:divId w:val="935095221"/>
        <w:rPr>
          <w:rFonts w:eastAsia="Times New Roman"/>
          <w:lang w:val="fr-FR"/>
        </w:rPr>
      </w:pPr>
      <w:r>
        <w:rPr>
          <w:rFonts w:eastAsia="Times New Roman"/>
          <w:b/>
          <w:bCs/>
          <w:color w:val="FFFFFF"/>
          <w:sz w:val="20"/>
          <w:szCs w:val="20"/>
          <w:shd w:val="clear" w:color="auto" w:fill="8B1E1E"/>
          <w:lang w:val="fr-FR"/>
        </w:rPr>
        <w:t> 19 </w:t>
      </w:r>
      <w:r>
        <w:rPr>
          <w:rFonts w:eastAsia="Times New Roman"/>
          <w:lang w:val="fr-FR"/>
        </w:rPr>
        <w:t xml:space="preserve"> </w:t>
      </w:r>
      <w:r>
        <w:rPr>
          <w:rStyle w:val="actor-naam1"/>
          <w:rFonts w:eastAsia="Times New Roman"/>
          <w:lang w:val="fr-FR"/>
        </w:rPr>
        <w:t>Ordre des médecins</w:t>
      </w:r>
      <w:r>
        <w:rPr>
          <w:rFonts w:eastAsia="Times New Roman"/>
          <w:lang w:val="fr-FR"/>
        </w:rPr>
        <w:br/>
        <w:t>Organisation professionnelle de droit public chargée de veiller au respect de la déontologie médicale et d'exercer le pouvoir disciplinaire.</w:t>
      </w:r>
      <w:r>
        <w:rPr>
          <w:rFonts w:eastAsia="Times New Roman"/>
          <w:lang w:val="fr-FR"/>
        </w:rPr>
        <w:br/>
      </w:r>
      <w:r>
        <w:rPr>
          <w:rStyle w:val="actor-rol1"/>
          <w:rFonts w:eastAsia="Times New Roman"/>
          <w:lang w:val="fr-FR"/>
        </w:rPr>
        <w:t>Rôle dans ce dossier :</w:t>
      </w:r>
      <w:r>
        <w:rPr>
          <w:rFonts w:eastAsia="Times New Roman"/>
          <w:lang w:val="fr-FR"/>
        </w:rPr>
        <w:t xml:space="preserve"> traite les plaintes concernant les médecins contrôleurs et experts dans le cadre d'une procédure disciplinaire à huis clos. Le patient n’est pas partie au procès, et le mandat se limite à l’acte individuel du médecin. </w:t>
      </w:r>
    </w:p>
    <w:p w14:paraId="2B62047F" w14:textId="77777777" w:rsidR="0020702A" w:rsidRDefault="0020702A">
      <w:pPr>
        <w:pStyle w:val="Kop4"/>
        <w:divId w:val="1419013937"/>
        <w:rPr>
          <w:rFonts w:eastAsia="Times New Roman"/>
          <w:lang w:val="fr-FR"/>
        </w:rPr>
      </w:pPr>
      <w:r>
        <w:rPr>
          <w:rFonts w:eastAsia="Times New Roman"/>
          <w:lang w:val="fr-FR"/>
        </w:rPr>
        <w:t>Politique</w:t>
      </w:r>
    </w:p>
    <w:p w14:paraId="6A5344E4" w14:textId="77777777" w:rsidR="0020702A" w:rsidRDefault="0020702A">
      <w:pPr>
        <w:divId w:val="626811912"/>
        <w:rPr>
          <w:rFonts w:eastAsia="Times New Roman"/>
          <w:lang w:val="fr-FR"/>
        </w:rPr>
      </w:pPr>
      <w:r>
        <w:rPr>
          <w:rFonts w:eastAsia="Times New Roman"/>
          <w:b/>
          <w:bCs/>
          <w:color w:val="FFFFFF"/>
          <w:sz w:val="20"/>
          <w:szCs w:val="20"/>
          <w:shd w:val="clear" w:color="auto" w:fill="8B1E1E"/>
          <w:lang w:val="fr-FR"/>
        </w:rPr>
        <w:t> 20 </w:t>
      </w:r>
      <w:r>
        <w:rPr>
          <w:rFonts w:eastAsia="Times New Roman"/>
          <w:lang w:val="fr-FR"/>
        </w:rPr>
        <w:t xml:space="preserve"> </w:t>
      </w:r>
      <w:r>
        <w:rPr>
          <w:rStyle w:val="actor-naam1"/>
          <w:rFonts w:eastAsia="Times New Roman"/>
          <w:lang w:val="fr-FR"/>
        </w:rPr>
        <w:t>Chambre des représentants — Commission des affaires sociales, de l’emploi et des pensions</w:t>
      </w:r>
      <w:r>
        <w:rPr>
          <w:rFonts w:eastAsia="Times New Roman"/>
          <w:lang w:val="fr-FR"/>
        </w:rPr>
        <w:br/>
        <w:t>: commission parlementaire permanente chargée d’élaborer la législation fédérale en matière de sécurité sociale et de contrôler les ministres compétents.</w:t>
      </w:r>
      <w:r>
        <w:rPr>
          <w:rFonts w:eastAsia="Times New Roman"/>
          <w:lang w:val="fr-FR"/>
        </w:rPr>
        <w:br/>
      </w:r>
      <w:r>
        <w:rPr>
          <w:rStyle w:val="actor-rol1"/>
          <w:rFonts w:eastAsia="Times New Roman"/>
          <w:lang w:val="fr-FR"/>
        </w:rPr>
        <w:t>Rôle dans ce dossier :</w:t>
      </w:r>
      <w:r>
        <w:rPr>
          <w:rFonts w:eastAsia="Times New Roman"/>
          <w:lang w:val="fr-FR"/>
        </w:rPr>
        <w:t xml:space="preserve"> </w:t>
      </w:r>
      <w:r>
        <w:rPr>
          <w:rFonts w:eastAsia="Times New Roman"/>
          <w:lang w:val="fr-FR"/>
        </w:rPr>
        <w:t xml:space="preserve">reçoit un signalement documenté de défaillance du système, mais ne déclenche aucun instrument parlementaire. Pas de question, pas d’interpellation, pas d’audition. </w:t>
      </w:r>
    </w:p>
    <w:p w14:paraId="1786C6FB" w14:textId="77777777" w:rsidR="0020702A" w:rsidRDefault="0020702A">
      <w:pPr>
        <w:divId w:val="1029112141"/>
        <w:rPr>
          <w:rFonts w:eastAsia="Times New Roman"/>
          <w:lang w:val="fr-FR"/>
        </w:rPr>
      </w:pPr>
      <w:r>
        <w:rPr>
          <w:rFonts w:eastAsia="Times New Roman"/>
          <w:b/>
          <w:bCs/>
          <w:color w:val="FFFFFF"/>
          <w:sz w:val="20"/>
          <w:szCs w:val="20"/>
          <w:shd w:val="clear" w:color="auto" w:fill="8B1E1E"/>
          <w:lang w:val="fr-FR"/>
        </w:rPr>
        <w:t> 21 </w:t>
      </w:r>
      <w:r>
        <w:rPr>
          <w:rFonts w:eastAsia="Times New Roman"/>
          <w:lang w:val="fr-FR"/>
        </w:rPr>
        <w:t xml:space="preserve"> </w:t>
      </w:r>
      <w:r>
        <w:rPr>
          <w:rStyle w:val="actor-naam1"/>
          <w:rFonts w:eastAsia="Times New Roman"/>
          <w:lang w:val="fr-FR"/>
        </w:rPr>
        <w:t>Chambre des représentants — Commission des pétitions</w:t>
      </w:r>
      <w:r>
        <w:rPr>
          <w:rFonts w:eastAsia="Times New Roman"/>
          <w:lang w:val="fr-FR"/>
        </w:rPr>
        <w:br/>
        <w:t>La commission parlementaire chargée de traiter le droit constitutionnel de pétition.</w:t>
      </w:r>
      <w:r>
        <w:rPr>
          <w:rFonts w:eastAsia="Times New Roman"/>
          <w:lang w:val="fr-FR"/>
        </w:rPr>
        <w:br/>
      </w:r>
      <w:r>
        <w:rPr>
          <w:rStyle w:val="actor-rol1"/>
          <w:rFonts w:eastAsia="Times New Roman"/>
          <w:lang w:val="fr-FR"/>
        </w:rPr>
        <w:t>Rôle dans ce dossier :</w:t>
      </w:r>
      <w:r>
        <w:rPr>
          <w:rFonts w:eastAsia="Times New Roman"/>
          <w:lang w:val="fr-FR"/>
        </w:rPr>
        <w:t xml:space="preserve"> déclare la pétition recevable et la transmet à la commission spécialisée compétente ainsi qu’au ministre. L’intervention s’arrête là. Une simple formalité procédurale sans action concrète. </w:t>
      </w:r>
    </w:p>
    <w:p w14:paraId="288C5118" w14:textId="77777777" w:rsidR="0020702A" w:rsidRDefault="0020702A">
      <w:pPr>
        <w:divId w:val="1819153467"/>
        <w:rPr>
          <w:rFonts w:eastAsia="Times New Roman"/>
          <w:lang w:val="fr-FR"/>
        </w:rPr>
      </w:pPr>
      <w:r>
        <w:rPr>
          <w:rFonts w:eastAsia="Times New Roman"/>
          <w:b/>
          <w:bCs/>
          <w:color w:val="FFFFFF"/>
          <w:sz w:val="20"/>
          <w:szCs w:val="20"/>
          <w:shd w:val="clear" w:color="auto" w:fill="8B1E1E"/>
          <w:lang w:val="fr-FR"/>
        </w:rPr>
        <w:t> 22 </w:t>
      </w:r>
      <w:r>
        <w:rPr>
          <w:rFonts w:eastAsia="Times New Roman"/>
          <w:lang w:val="fr-FR"/>
        </w:rPr>
        <w:t xml:space="preserve"> </w:t>
      </w:r>
      <w:r>
        <w:rPr>
          <w:rStyle w:val="actor-naam1"/>
          <w:rFonts w:eastAsia="Times New Roman"/>
          <w:lang w:val="fr-FR"/>
        </w:rPr>
        <w:t>Partis politiques belges</w:t>
      </w:r>
      <w:r>
        <w:rPr>
          <w:rFonts w:eastAsia="Times New Roman"/>
          <w:lang w:val="fr-FR"/>
        </w:rPr>
        <w:t xml:space="preserve"> Les partis qui constituent les pouvoirs législatif et exécutif.</w:t>
      </w:r>
      <w:r>
        <w:rPr>
          <w:rFonts w:eastAsia="Times New Roman"/>
          <w:lang w:val="fr-FR"/>
        </w:rPr>
        <w:br/>
      </w:r>
      <w:r>
        <w:rPr>
          <w:rStyle w:val="actor-rol1"/>
          <w:rFonts w:eastAsia="Times New Roman"/>
          <w:lang w:val="fr-FR"/>
        </w:rPr>
        <w:t>Rôle dans ce dossier :</w:t>
      </w:r>
      <w:r>
        <w:rPr>
          <w:rFonts w:eastAsia="Times New Roman"/>
          <w:lang w:val="fr-FR"/>
        </w:rPr>
        <w:t xml:space="preserve"> neuf partis ont été contactés par courrier. Cinq n’ont pas réagi. Les quatre autres renvoient vers des services d’étude ou se déclarent incompétents. Aucun parti n’a activé d’instrument parlementaire. </w:t>
      </w:r>
    </w:p>
    <w:p w14:paraId="2A0FCB41" w14:textId="77777777" w:rsidR="0020702A" w:rsidRDefault="0020702A">
      <w:pPr>
        <w:pStyle w:val="Kop4"/>
        <w:divId w:val="1419013937"/>
        <w:rPr>
          <w:rFonts w:eastAsia="Times New Roman"/>
          <w:lang w:val="fr-FR"/>
        </w:rPr>
      </w:pPr>
      <w:r>
        <w:rPr>
          <w:rFonts w:eastAsia="Times New Roman"/>
          <w:lang w:val="fr-FR"/>
        </w:rPr>
        <w:t>Symbolique</w:t>
      </w:r>
    </w:p>
    <w:p w14:paraId="3AF545AB" w14:textId="77777777" w:rsidR="0020702A" w:rsidRDefault="0020702A">
      <w:pPr>
        <w:divId w:val="982150827"/>
        <w:rPr>
          <w:rFonts w:eastAsia="Times New Roman"/>
          <w:lang w:val="fr-FR"/>
        </w:rPr>
      </w:pPr>
      <w:r>
        <w:rPr>
          <w:rFonts w:eastAsia="Times New Roman"/>
          <w:b/>
          <w:bCs/>
          <w:color w:val="FFFFFF"/>
          <w:sz w:val="20"/>
          <w:szCs w:val="20"/>
          <w:shd w:val="clear" w:color="auto" w:fill="8B1E1E"/>
          <w:lang w:val="fr-FR"/>
        </w:rPr>
        <w:t> 23 </w:t>
      </w:r>
      <w:r>
        <w:rPr>
          <w:rFonts w:eastAsia="Times New Roman"/>
          <w:lang w:val="fr-FR"/>
        </w:rPr>
        <w:t xml:space="preserve"> </w:t>
      </w:r>
      <w:r>
        <w:rPr>
          <w:rStyle w:val="actor-naam1"/>
          <w:rFonts w:eastAsia="Times New Roman"/>
          <w:lang w:val="fr-FR"/>
        </w:rPr>
        <w:t>Palais royal de Belgique</w:t>
      </w:r>
      <w:r>
        <w:rPr>
          <w:rFonts w:eastAsia="Times New Roman"/>
          <w:lang w:val="fr-FR"/>
        </w:rPr>
        <w:br/>
        <w:t>Le cabinet du Roi, qui traite les pétitions des citoyens.</w:t>
      </w:r>
      <w:r>
        <w:rPr>
          <w:rFonts w:eastAsia="Times New Roman"/>
          <w:lang w:val="fr-FR"/>
        </w:rPr>
        <w:br/>
      </w:r>
      <w:r>
        <w:rPr>
          <w:rStyle w:val="actor-rol1"/>
          <w:rFonts w:eastAsia="Times New Roman"/>
          <w:lang w:val="fr-FR"/>
        </w:rPr>
        <w:t>Rôle dans ce dossier :</w:t>
      </w:r>
      <w:r>
        <w:rPr>
          <w:rFonts w:eastAsia="Times New Roman"/>
          <w:lang w:val="fr-FR"/>
        </w:rPr>
        <w:t xml:space="preserve"> point d'arrivée symbolique. Il accuse réception et transmet la demande au ministre compétent — ce qui ramène le citoyen au niveau exécutif. Le serveur de messagerie du Palais est techniquement inaccessible.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8386A72" w14:textId="77777777">
        <w:trPr>
          <w:divId w:val="1419013937"/>
        </w:trPr>
        <w:tc>
          <w:tcPr>
            <w:tcW w:w="0" w:type="auto"/>
            <w:tcBorders>
              <w:top w:val="single" w:sz="6" w:space="0" w:color="D5D0C5"/>
              <w:left w:val="single" w:sz="36" w:space="0" w:color="1A3C6E"/>
              <w:bottom w:val="single" w:sz="6" w:space="0" w:color="D5D0C5"/>
              <w:right w:val="single" w:sz="6" w:space="0" w:color="D5D0C5"/>
            </w:tcBorders>
            <w:shd w:val="clear" w:color="auto" w:fill="EDF2F8"/>
            <w:tcMar>
              <w:top w:w="160" w:type="dxa"/>
              <w:left w:w="240" w:type="dxa"/>
              <w:bottom w:w="160" w:type="dxa"/>
              <w:right w:w="240" w:type="dxa"/>
            </w:tcMar>
            <w:hideMark/>
          </w:tcPr>
          <w:p w14:paraId="6E7E8EC7" w14:textId="77777777" w:rsidR="0020702A" w:rsidRDefault="0020702A">
            <w:pPr>
              <w:spacing w:before="240" w:after="240"/>
              <w:rPr>
                <w:rFonts w:eastAsia="Times New Roman"/>
                <w:sz w:val="21"/>
                <w:szCs w:val="21"/>
              </w:rPr>
            </w:pPr>
            <w:r>
              <w:rPr>
                <w:rStyle w:val="Zwaar"/>
                <w:rFonts w:eastAsia="Times New Roman"/>
                <w:sz w:val="21"/>
                <w:szCs w:val="21"/>
              </w:rPr>
              <w:t>MONDE PAYS-BAS</w:t>
            </w:r>
          </w:p>
        </w:tc>
      </w:tr>
    </w:tbl>
    <w:p w14:paraId="77585E85" w14:textId="77777777" w:rsidR="0020702A" w:rsidRDefault="0020702A">
      <w:pPr>
        <w:pStyle w:val="Kop4"/>
        <w:divId w:val="1419013937"/>
        <w:rPr>
          <w:rFonts w:eastAsia="Times New Roman"/>
          <w:lang w:val="fr-FR"/>
        </w:rPr>
      </w:pPr>
      <w:r>
        <w:rPr>
          <w:rFonts w:eastAsia="Times New Roman"/>
          <w:lang w:val="fr-FR"/>
        </w:rPr>
        <w:t>Mise en œuvre</w:t>
      </w:r>
    </w:p>
    <w:p w14:paraId="142EFC9F" w14:textId="77777777" w:rsidR="0020702A" w:rsidRDefault="0020702A">
      <w:pPr>
        <w:divId w:val="352921314"/>
        <w:rPr>
          <w:rFonts w:eastAsia="Times New Roman"/>
          <w:lang w:val="fr-FR"/>
        </w:rPr>
      </w:pPr>
      <w:r>
        <w:rPr>
          <w:rFonts w:eastAsia="Times New Roman"/>
          <w:b/>
          <w:bCs/>
          <w:color w:val="FFFFFF"/>
          <w:sz w:val="20"/>
          <w:szCs w:val="20"/>
          <w:shd w:val="clear" w:color="auto" w:fill="1A3C6E"/>
          <w:lang w:val="fr-FR"/>
        </w:rPr>
        <w:t> 24 </w:t>
      </w:r>
      <w:r>
        <w:rPr>
          <w:rFonts w:eastAsia="Times New Roman"/>
          <w:lang w:val="fr-FR"/>
        </w:rPr>
        <w:t xml:space="preserve"> </w:t>
      </w:r>
      <w:r>
        <w:rPr>
          <w:rStyle w:val="actor-naam1"/>
          <w:rFonts w:eastAsia="Times New Roman"/>
          <w:lang w:val="fr-FR"/>
        </w:rPr>
        <w:t>CZ (Assureur central de soins de santé)</w:t>
      </w:r>
      <w:r>
        <w:rPr>
          <w:rFonts w:eastAsia="Times New Roman"/>
          <w:lang w:val="fr-FR"/>
        </w:rPr>
        <w:br/>
        <w:t>Grand assureur néerlandais de soins de santé qui gère l’assurance de base obligatoire et administre la police conventionnelle du côté néerlandais.</w:t>
      </w:r>
      <w:r>
        <w:rPr>
          <w:rFonts w:eastAsia="Times New Roman"/>
          <w:lang w:val="fr-FR"/>
        </w:rPr>
        <w:br/>
      </w:r>
      <w:r>
        <w:rPr>
          <w:rStyle w:val="actor-rol1"/>
          <w:rFonts w:eastAsia="Times New Roman"/>
          <w:lang w:val="fr-FR"/>
        </w:rPr>
        <w:t>Rôle dans ce dossier :</w:t>
      </w:r>
      <w:r>
        <w:rPr>
          <w:rFonts w:eastAsia="Times New Roman"/>
          <w:lang w:val="fr-FR"/>
        </w:rPr>
        <w:t xml:space="preserve"> rembourse les factures médicales, mais refuse le transport sanitaire en invoquant une exigence de périmétrie qui n’est pas mesurée de manière standard en Belgique. Ommet d’enregistrer la police d’assurance conventionnelle dans le registre RIV. </w:t>
      </w:r>
    </w:p>
    <w:p w14:paraId="699E0D3E" w14:textId="77777777" w:rsidR="0020702A" w:rsidRDefault="0020702A">
      <w:pPr>
        <w:divId w:val="1138764826"/>
        <w:rPr>
          <w:rFonts w:eastAsia="Times New Roman"/>
          <w:lang w:val="fr-FR"/>
        </w:rPr>
      </w:pPr>
      <w:r>
        <w:rPr>
          <w:rFonts w:eastAsia="Times New Roman"/>
          <w:b/>
          <w:bCs/>
          <w:color w:val="FFFFFF"/>
          <w:sz w:val="20"/>
          <w:szCs w:val="20"/>
          <w:shd w:val="clear" w:color="auto" w:fill="1A3C6E"/>
          <w:lang w:val="fr-FR"/>
        </w:rPr>
        <w:t> 25 </w:t>
      </w:r>
      <w:r>
        <w:rPr>
          <w:rFonts w:eastAsia="Times New Roman"/>
          <w:lang w:val="fr-FR"/>
        </w:rPr>
        <w:t xml:space="preserve"> </w:t>
      </w:r>
      <w:r>
        <w:rPr>
          <w:rStyle w:val="actor-naam1"/>
          <w:rFonts w:eastAsia="Times New Roman"/>
          <w:lang w:val="fr-FR"/>
        </w:rPr>
        <w:t>ZorgSaam</w:t>
      </w:r>
      <w:r>
        <w:rPr>
          <w:rFonts w:eastAsia="Times New Roman"/>
          <w:lang w:val="fr-FR"/>
        </w:rPr>
        <w:br/>
        <w:t>Prestataire de soins régional en Zeeuws-Vlaanderen.</w:t>
      </w:r>
      <w:r>
        <w:rPr>
          <w:rFonts w:eastAsia="Times New Roman"/>
          <w:lang w:val="fr-FR"/>
        </w:rPr>
        <w:br/>
      </w:r>
      <w:r>
        <w:rPr>
          <w:rStyle w:val="actor-rol1"/>
          <w:rFonts w:eastAsia="Times New Roman"/>
          <w:lang w:val="fr-FR"/>
        </w:rPr>
        <w:t>Rôle dans ce dossier :</w:t>
      </w:r>
      <w:r>
        <w:rPr>
          <w:rFonts w:eastAsia="Times New Roman"/>
          <w:lang w:val="fr-FR"/>
        </w:rPr>
        <w:t xml:space="preserve"> dispense pendant plusieurs mois des soins complexes des plaies à domicile et consigne 126 entrées cliniques. Ce rapport n’est pas automatiquement visible pour UWV, CZ ou la sécurité sociale belge. Les documents belges externes sont archivés de manière passive sous un onglet multimédia. </w:t>
      </w:r>
    </w:p>
    <w:p w14:paraId="6F6EE72D" w14:textId="77777777" w:rsidR="0020702A" w:rsidRDefault="0020702A">
      <w:pPr>
        <w:divId w:val="1697997702"/>
        <w:rPr>
          <w:rFonts w:eastAsia="Times New Roman"/>
          <w:lang w:val="fr-FR"/>
        </w:rPr>
      </w:pPr>
      <w:r>
        <w:rPr>
          <w:rFonts w:eastAsia="Times New Roman"/>
          <w:b/>
          <w:bCs/>
          <w:color w:val="FFFFFF"/>
          <w:sz w:val="20"/>
          <w:szCs w:val="20"/>
          <w:shd w:val="clear" w:color="auto" w:fill="1A3C6E"/>
          <w:lang w:val="fr-FR"/>
        </w:rPr>
        <w:t> 26 </w:t>
      </w:r>
      <w:r>
        <w:rPr>
          <w:rFonts w:eastAsia="Times New Roman"/>
          <w:lang w:val="fr-FR"/>
        </w:rPr>
        <w:t xml:space="preserve"> </w:t>
      </w:r>
      <w:r>
        <w:rPr>
          <w:rStyle w:val="actor-naam1"/>
          <w:rFonts w:eastAsia="Times New Roman"/>
          <w:lang w:val="fr-FR"/>
        </w:rPr>
        <w:t>CAK (Bureau central d'administration)</w:t>
      </w:r>
      <w:r>
        <w:rPr>
          <w:rFonts w:eastAsia="Times New Roman"/>
          <w:lang w:val="fr-FR"/>
        </w:rPr>
        <w:br/>
        <w:t>Organisme administratif indépendant chargé de gérer le registre national d'assurance (RIV) et de mettre en œuvre les dispositions conventionnelles.</w:t>
      </w:r>
      <w:r>
        <w:rPr>
          <w:rFonts w:eastAsia="Times New Roman"/>
          <w:lang w:val="fr-FR"/>
        </w:rPr>
        <w:br/>
      </w:r>
      <w:r>
        <w:rPr>
          <w:rStyle w:val="actor-rol1"/>
          <w:rFonts w:eastAsia="Times New Roman"/>
          <w:lang w:val="fr-FR"/>
        </w:rPr>
        <w:t>Rôle dans ce dossier :</w:t>
      </w:r>
      <w:r>
        <w:rPr>
          <w:rFonts w:eastAsia="Times New Roman"/>
          <w:lang w:val="fr-FR"/>
        </w:rPr>
        <w:t xml:space="preserve"> refuse d’enregistrer la police d’assurance conventionnelle en invoquant un argument de procédure : le système ne reconnaît que le cas « classique » du travailleur frontalier (travaillant aux Pays-Bas, résidant à l’étranger), et non la situation inverse (résidant aux Pays-Bas, travaillant en Belgique).</w:t>
      </w:r>
      <w:r>
        <w:rPr>
          <w:rFonts w:eastAsia="Times New Roman"/>
          <w:lang w:val="fr-FR"/>
        </w:rPr>
        <w:t xml:space="preserve"> Le système informatique ne reconnaît pas ce champ. </w:t>
      </w:r>
    </w:p>
    <w:p w14:paraId="0CA79985" w14:textId="77777777" w:rsidR="0020702A" w:rsidRDefault="0020702A">
      <w:pPr>
        <w:divId w:val="989141831"/>
        <w:rPr>
          <w:rFonts w:eastAsia="Times New Roman"/>
          <w:lang w:val="fr-FR"/>
        </w:rPr>
      </w:pPr>
      <w:r>
        <w:rPr>
          <w:rFonts w:eastAsia="Times New Roman"/>
          <w:b/>
          <w:bCs/>
          <w:color w:val="FFFFFF"/>
          <w:sz w:val="20"/>
          <w:szCs w:val="20"/>
          <w:shd w:val="clear" w:color="auto" w:fill="1A3C6E"/>
          <w:lang w:val="fr-FR"/>
        </w:rPr>
        <w:t> 27 </w:t>
      </w:r>
      <w:r>
        <w:rPr>
          <w:rFonts w:eastAsia="Times New Roman"/>
          <w:lang w:val="fr-FR"/>
        </w:rPr>
        <w:t xml:space="preserve"> </w:t>
      </w:r>
      <w:r>
        <w:rPr>
          <w:rStyle w:val="actor-naam1"/>
          <w:rFonts w:eastAsia="Times New Roman"/>
          <w:lang w:val="fr-FR"/>
        </w:rPr>
        <w:t>Zorginstituut Nederland (ZIN) — mise en œuvre</w:t>
      </w:r>
      <w:r>
        <w:rPr>
          <w:rFonts w:eastAsia="Times New Roman"/>
          <w:lang w:val="fr-FR"/>
        </w:rPr>
        <w:t xml:space="preserve"> </w:t>
      </w:r>
      <w:r>
        <w:rPr>
          <w:rFonts w:eastAsia="Times New Roman"/>
          <w:lang w:val="fr-FR"/>
        </w:rPr>
        <w:t>Organisme administratif autonome relevant du ministère de la Santé, du Bien-être et des Sports (VWS).</w:t>
      </w:r>
      <w:r>
        <w:rPr>
          <w:rFonts w:eastAsia="Times New Roman"/>
          <w:lang w:val="fr-FR"/>
        </w:rPr>
        <w:br/>
      </w:r>
      <w:r>
        <w:rPr>
          <w:rStyle w:val="actor-rol1"/>
          <w:rFonts w:eastAsia="Times New Roman"/>
          <w:lang w:val="fr-FR"/>
        </w:rPr>
        <w:t>Rôle dans ce dossier :</w:t>
      </w:r>
      <w:r>
        <w:rPr>
          <w:rFonts w:eastAsia="Times New Roman"/>
          <w:lang w:val="fr-FR"/>
        </w:rPr>
        <w:t xml:space="preserve"> gère et supervise le registre RIV au niveau du système, mais refuse l’accès aux données à caractère personnel individuelles. Renvoie à CZ et à CAK. </w:t>
      </w:r>
    </w:p>
    <w:p w14:paraId="14B933A6" w14:textId="77777777" w:rsidR="0020702A" w:rsidRDefault="0020702A">
      <w:pPr>
        <w:divId w:val="183717024"/>
        <w:rPr>
          <w:rFonts w:eastAsia="Times New Roman"/>
          <w:lang w:val="fr-FR"/>
        </w:rPr>
      </w:pPr>
      <w:r>
        <w:rPr>
          <w:rFonts w:eastAsia="Times New Roman"/>
          <w:b/>
          <w:bCs/>
          <w:color w:val="FFFFFF"/>
          <w:sz w:val="20"/>
          <w:szCs w:val="20"/>
          <w:shd w:val="clear" w:color="auto" w:fill="1A3C6E"/>
          <w:lang w:val="fr-FR"/>
        </w:rPr>
        <w:t> 28 </w:t>
      </w:r>
      <w:r>
        <w:rPr>
          <w:rFonts w:eastAsia="Times New Roman"/>
          <w:lang w:val="fr-FR"/>
        </w:rPr>
        <w:t xml:space="preserve"> </w:t>
      </w:r>
      <w:r>
        <w:rPr>
          <w:rStyle w:val="actor-naam1"/>
          <w:rFonts w:eastAsia="Times New Roman"/>
          <w:lang w:val="fr-FR"/>
        </w:rPr>
        <w:t>Pallion Cabinet médical</w:t>
      </w:r>
      <w:r>
        <w:rPr>
          <w:rFonts w:eastAsia="Times New Roman"/>
          <w:lang w:val="fr-FR"/>
        </w:rPr>
        <w:t xml:space="preserve"> Cabinet médical de premier recours à Hulst.</w:t>
      </w:r>
      <w:r>
        <w:rPr>
          <w:rFonts w:eastAsia="Times New Roman"/>
          <w:lang w:val="fr-FR"/>
        </w:rPr>
        <w:br/>
      </w:r>
      <w:r>
        <w:rPr>
          <w:rStyle w:val="actor-rol1"/>
          <w:rFonts w:eastAsia="Times New Roman"/>
          <w:lang w:val="fr-FR"/>
        </w:rPr>
        <w:t>Rôle dans ce dossier :</w:t>
      </w:r>
      <w:r>
        <w:rPr>
          <w:rFonts w:eastAsia="Times New Roman"/>
          <w:lang w:val="fr-FR"/>
        </w:rPr>
        <w:t xml:space="preserve"> refuse l’inscription à titre informatif. La loi néerlandaise interdit les doubles inscriptions transfrontalières. Le patient ne dispose pas, dans son pays de résidence, d’un suivi médical local connaissant son dossier belge. </w:t>
      </w:r>
    </w:p>
    <w:p w14:paraId="1FFF20DA" w14:textId="77777777" w:rsidR="0020702A" w:rsidRDefault="0020702A">
      <w:pPr>
        <w:divId w:val="598102216"/>
        <w:rPr>
          <w:rFonts w:eastAsia="Times New Roman"/>
          <w:lang w:val="fr-FR"/>
        </w:rPr>
      </w:pPr>
      <w:r>
        <w:rPr>
          <w:rFonts w:eastAsia="Times New Roman"/>
          <w:b/>
          <w:bCs/>
          <w:color w:val="FFFFFF"/>
          <w:sz w:val="20"/>
          <w:szCs w:val="20"/>
          <w:shd w:val="clear" w:color="auto" w:fill="1A3C6E"/>
          <w:lang w:val="fr-FR"/>
        </w:rPr>
        <w:t> 29 </w:t>
      </w:r>
      <w:r>
        <w:rPr>
          <w:rFonts w:eastAsia="Times New Roman"/>
          <w:lang w:val="fr-FR"/>
        </w:rPr>
        <w:t xml:space="preserve"> </w:t>
      </w:r>
      <w:r>
        <w:rPr>
          <w:rStyle w:val="actor-naam1"/>
          <w:rFonts w:eastAsia="Times New Roman"/>
          <w:lang w:val="fr-FR"/>
        </w:rPr>
        <w:t>Experts indépendants NL</w:t>
      </w:r>
      <w:r>
        <w:rPr>
          <w:rFonts w:eastAsia="Times New Roman"/>
          <w:lang w:val="fr-FR"/>
        </w:rPr>
        <w:br/>
        <w:t>Médecins contrôleurs et évaluateurs médicaux des secteurs public et privé.</w:t>
      </w:r>
      <w:r>
        <w:rPr>
          <w:rFonts w:eastAsia="Times New Roman"/>
          <w:lang w:val="fr-FR"/>
        </w:rPr>
        <w:br/>
      </w:r>
      <w:r>
        <w:rPr>
          <w:rStyle w:val="actor-rol1"/>
          <w:rFonts w:eastAsia="Times New Roman"/>
          <w:lang w:val="fr-FR"/>
        </w:rPr>
        <w:t>Rôle dans ce dossier :</w:t>
      </w:r>
      <w:r>
        <w:rPr>
          <w:rFonts w:eastAsia="Times New Roman"/>
          <w:lang w:val="fr-FR"/>
        </w:rPr>
        <w:t xml:space="preserve"> le GGD refuse les particuliers. Les médecins généralistes refusent les non-patients. Les agences commerciales pratiquent des tarifs exorbitants pour un examen à distance. Le système exige un bilan médical initial néerlandais, mais ne propose aucun moyen accessible de l'obtenir. </w:t>
      </w:r>
    </w:p>
    <w:p w14:paraId="199C11DB" w14:textId="77777777" w:rsidR="0020702A" w:rsidRDefault="0020702A">
      <w:pPr>
        <w:divId w:val="512652893"/>
        <w:rPr>
          <w:rFonts w:eastAsia="Times New Roman"/>
          <w:lang w:val="fr-FR"/>
        </w:rPr>
      </w:pPr>
      <w:r>
        <w:rPr>
          <w:rFonts w:eastAsia="Times New Roman"/>
          <w:b/>
          <w:bCs/>
          <w:color w:val="FFFFFF"/>
          <w:sz w:val="20"/>
          <w:szCs w:val="20"/>
          <w:shd w:val="clear" w:color="auto" w:fill="1A3C6E"/>
          <w:lang w:val="fr-FR"/>
        </w:rPr>
        <w:t> 30 </w:t>
      </w:r>
      <w:r>
        <w:rPr>
          <w:rFonts w:eastAsia="Times New Roman"/>
          <w:lang w:val="fr-FR"/>
        </w:rPr>
        <w:t xml:space="preserve"> </w:t>
      </w:r>
      <w:r>
        <w:rPr>
          <w:rStyle w:val="actor-naam1"/>
          <w:rFonts w:eastAsia="Times New Roman"/>
          <w:lang w:val="fr-FR"/>
        </w:rPr>
        <w:t>Institut d’exécution des assurances sociales des salariés (UWV)</w:t>
      </w:r>
      <w:r>
        <w:rPr>
          <w:rFonts w:eastAsia="Times New Roman"/>
          <w:lang w:val="fr-FR"/>
        </w:rPr>
        <w:br/>
        <w:t>Organisme administratif autonome chargé de mettre en œuvre les assurances sociales des salariés (WIA, WW, loi sur les indemnités de maladie (Ziektewet)) et effectue des évaluations socio-médicales.</w:t>
      </w:r>
      <w:r>
        <w:rPr>
          <w:rFonts w:eastAsia="Times New Roman"/>
          <w:lang w:val="fr-FR"/>
        </w:rPr>
        <w:br/>
      </w:r>
      <w:r>
        <w:rPr>
          <w:rStyle w:val="actor-rol1"/>
          <w:rFonts w:eastAsia="Times New Roman"/>
          <w:lang w:val="fr-FR"/>
        </w:rPr>
        <w:t>Rôle dans ce dossier :</w:t>
      </w:r>
      <w:r>
        <w:rPr>
          <w:rFonts w:eastAsia="Times New Roman"/>
          <w:lang w:val="fr-FR"/>
        </w:rPr>
        <w:t xml:space="preserve"> n’applique pas l’arrêt Vester. Utilise une date de référence erronée (le 11 mai au lieu du 11 avril 2025) et refuse d’évaluer le fond de la situation médicale. Délivre un PD U1 défectueux dans lequel 21 ans de carrière en Belg</w:t>
      </w:r>
      <w:r>
        <w:rPr>
          <w:rFonts w:eastAsia="Times New Roman"/>
          <w:lang w:val="fr-FR"/>
        </w:rPr>
        <w:t xml:space="preserve">ique sont effacés. </w:t>
      </w:r>
    </w:p>
    <w:p w14:paraId="1365BD0D" w14:textId="77777777" w:rsidR="0020702A" w:rsidRDefault="0020702A">
      <w:pPr>
        <w:divId w:val="2011981300"/>
        <w:rPr>
          <w:rFonts w:eastAsia="Times New Roman"/>
          <w:lang w:val="fr-FR"/>
        </w:rPr>
      </w:pPr>
      <w:r>
        <w:rPr>
          <w:rFonts w:eastAsia="Times New Roman"/>
          <w:b/>
          <w:bCs/>
          <w:color w:val="FFFFFF"/>
          <w:sz w:val="20"/>
          <w:szCs w:val="20"/>
          <w:shd w:val="clear" w:color="auto" w:fill="1A3C6E"/>
          <w:lang w:val="fr-FR"/>
        </w:rPr>
        <w:t> 31 </w:t>
      </w:r>
      <w:r>
        <w:rPr>
          <w:rFonts w:eastAsia="Times New Roman"/>
          <w:lang w:val="fr-FR"/>
        </w:rPr>
        <w:t xml:space="preserve"> </w:t>
      </w:r>
      <w:r>
        <w:rPr>
          <w:rStyle w:val="actor-naam1"/>
          <w:rFonts w:eastAsia="Times New Roman"/>
          <w:lang w:val="fr-FR"/>
        </w:rPr>
        <w:t>Banque d'assurance sociale (SVB) avec le Bureau des affaires belges (BBZ)</w:t>
      </w:r>
      <w:r>
        <w:rPr>
          <w:rFonts w:eastAsia="Times New Roman"/>
          <w:lang w:val="fr-FR"/>
        </w:rPr>
        <w:br/>
      </w:r>
      <w:r>
        <w:rPr>
          <w:rFonts w:eastAsia="Times New Roman"/>
          <w:lang w:val="fr-FR"/>
        </w:rPr>
        <w:t>Organisme chargé de la mise en œuvre des assurances sociales néerlandaises, doté d'un guichet de médiation spécialisé pour les travailleurs frontaliers.</w:t>
      </w:r>
      <w:r>
        <w:rPr>
          <w:rFonts w:eastAsia="Times New Roman"/>
          <w:lang w:val="fr-FR"/>
        </w:rPr>
        <w:br/>
      </w:r>
      <w:r>
        <w:rPr>
          <w:rStyle w:val="actor-rol1"/>
          <w:rFonts w:eastAsia="Times New Roman"/>
          <w:lang w:val="fr-FR"/>
        </w:rPr>
        <w:t>Rôle dans ce dossier :</w:t>
      </w:r>
      <w:r>
        <w:rPr>
          <w:rFonts w:eastAsia="Times New Roman"/>
          <w:lang w:val="fr-FR"/>
        </w:rPr>
        <w:t xml:space="preserve"> octroie les allocations familiales au père car la mère travaille en Belgique, et active ainsi le budget lié à l’enfant. Le BBZ sert de médiateur entre l’INAMI et UWV, mais ne peut rien imposer. La médiation prend fin sans résultat. </w:t>
      </w:r>
    </w:p>
    <w:p w14:paraId="411261EE" w14:textId="77777777" w:rsidR="0020702A" w:rsidRDefault="0020702A">
      <w:pPr>
        <w:divId w:val="1916815813"/>
        <w:rPr>
          <w:rFonts w:eastAsia="Times New Roman"/>
          <w:lang w:val="fr-FR"/>
        </w:rPr>
      </w:pPr>
      <w:r>
        <w:rPr>
          <w:rFonts w:eastAsia="Times New Roman"/>
          <w:b/>
          <w:bCs/>
          <w:color w:val="FFFFFF"/>
          <w:sz w:val="20"/>
          <w:szCs w:val="20"/>
          <w:shd w:val="clear" w:color="auto" w:fill="1A3C6E"/>
          <w:lang w:val="fr-FR"/>
        </w:rPr>
        <w:t> 32 </w:t>
      </w:r>
      <w:r>
        <w:rPr>
          <w:rFonts w:eastAsia="Times New Roman"/>
          <w:lang w:val="fr-FR"/>
        </w:rPr>
        <w:t xml:space="preserve"> </w:t>
      </w:r>
      <w:r>
        <w:rPr>
          <w:rStyle w:val="actor-naam1"/>
          <w:rFonts w:eastAsia="Times New Roman"/>
          <w:lang w:val="fr-FR"/>
        </w:rPr>
        <w:t>Administration fiscale (y compris le Service des allocations)</w:t>
      </w:r>
      <w:r>
        <w:rPr>
          <w:rFonts w:eastAsia="Times New Roman"/>
          <w:lang w:val="fr-FR"/>
        </w:rPr>
        <w:br/>
        <w:t>L’administration fiscale néerlandaise chargée de la perception de l’impôt sur le revenu et des cotisations, ainsi que du versement des allocations liées au revenu.</w:t>
      </w:r>
      <w:r>
        <w:rPr>
          <w:rFonts w:eastAsia="Times New Roman"/>
          <w:lang w:val="fr-FR"/>
        </w:rPr>
        <w:br/>
      </w:r>
      <w:r>
        <w:rPr>
          <w:rStyle w:val="actor-rol1"/>
          <w:rFonts w:eastAsia="Times New Roman"/>
          <w:lang w:val="fr-FR"/>
        </w:rPr>
        <w:t>Rôle dans ce dossier :</w:t>
      </w:r>
      <w:r>
        <w:rPr>
          <w:rFonts w:eastAsia="Times New Roman"/>
          <w:lang w:val="fr-FR"/>
        </w:rPr>
        <w:t xml:space="preserve"> le portail de déclaration en ligne est conçu pour un ménage disposant d’un revenu imposable aux Pays-Bas. Un ménage de travailleurs frontaliers percevant des revenus étrangers donne un résultat nul. L’allocation de soins reste à zéro en raison du blocage RIV ; l</w:t>
      </w:r>
      <w:r>
        <w:rPr>
          <w:rFonts w:eastAsia="Times New Roman"/>
          <w:lang w:val="fr-FR"/>
        </w:rPr>
        <w:t xml:space="preserve">’aide au logement et le budget lié aux enfants sont partiellement accordés. </w:t>
      </w:r>
    </w:p>
    <w:p w14:paraId="7943C8DD" w14:textId="77777777" w:rsidR="0020702A" w:rsidRDefault="0020702A">
      <w:pPr>
        <w:divId w:val="501747376"/>
        <w:rPr>
          <w:rFonts w:eastAsia="Times New Roman"/>
          <w:lang w:val="fr-FR"/>
        </w:rPr>
      </w:pPr>
      <w:r>
        <w:rPr>
          <w:rFonts w:eastAsia="Times New Roman"/>
          <w:b/>
          <w:bCs/>
          <w:color w:val="FFFFFF"/>
          <w:sz w:val="20"/>
          <w:szCs w:val="20"/>
          <w:shd w:val="clear" w:color="auto" w:fill="1A3C6E"/>
          <w:lang w:val="fr-FR"/>
        </w:rPr>
        <w:t> 33 </w:t>
      </w:r>
      <w:r>
        <w:rPr>
          <w:rFonts w:eastAsia="Times New Roman"/>
          <w:lang w:val="fr-FR"/>
        </w:rPr>
        <w:t xml:space="preserve"> </w:t>
      </w:r>
      <w:r>
        <w:rPr>
          <w:rStyle w:val="actor-naam1"/>
          <w:rFonts w:eastAsia="Times New Roman"/>
          <w:lang w:val="fr-FR"/>
        </w:rPr>
        <w:t>ING Pays-Bas</w:t>
      </w:r>
      <w:r>
        <w:rPr>
          <w:rFonts w:eastAsia="Times New Roman"/>
          <w:lang w:val="fr-FR"/>
        </w:rPr>
        <w:br/>
        <w:t>Banque commerciale habituelle.</w:t>
      </w:r>
      <w:r>
        <w:rPr>
          <w:rFonts w:eastAsia="Times New Roman"/>
          <w:lang w:val="fr-FR"/>
        </w:rPr>
        <w:br/>
      </w:r>
      <w:r>
        <w:rPr>
          <w:rStyle w:val="actor-rol1"/>
          <w:rFonts w:eastAsia="Times New Roman"/>
          <w:lang w:val="fr-FR"/>
        </w:rPr>
        <w:t>Rôle dans ce dossier :</w:t>
      </w:r>
      <w:r>
        <w:rPr>
          <w:rFonts w:eastAsia="Times New Roman"/>
          <w:lang w:val="fr-FR"/>
        </w:rPr>
        <w:t xml:space="preserve"> propose un plan de remboursement pour le découvert bancaire et la dette de carte de crédit accumulés (environ 6 709 € au total), assorti de restrictions bancaires strictes. La banque devient de facto créancière de l’État-providence défaillant. </w:t>
      </w:r>
    </w:p>
    <w:p w14:paraId="387DCB95" w14:textId="77777777" w:rsidR="0020702A" w:rsidRDefault="0020702A">
      <w:pPr>
        <w:divId w:val="2111965800"/>
        <w:rPr>
          <w:rFonts w:eastAsia="Times New Roman"/>
          <w:lang w:val="fr-FR"/>
        </w:rPr>
      </w:pPr>
      <w:r>
        <w:rPr>
          <w:rFonts w:eastAsia="Times New Roman"/>
          <w:b/>
          <w:bCs/>
          <w:color w:val="FFFFFF"/>
          <w:sz w:val="20"/>
          <w:szCs w:val="20"/>
          <w:shd w:val="clear" w:color="auto" w:fill="1A3C6E"/>
          <w:lang w:val="fr-FR"/>
        </w:rPr>
        <w:t> 34 </w:t>
      </w:r>
      <w:r>
        <w:rPr>
          <w:rFonts w:eastAsia="Times New Roman"/>
          <w:lang w:val="fr-FR"/>
        </w:rPr>
        <w:t xml:space="preserve"> </w:t>
      </w:r>
      <w:r>
        <w:rPr>
          <w:rStyle w:val="actor-naam1"/>
          <w:rFonts w:eastAsia="Times New Roman"/>
          <w:lang w:val="fr-FR"/>
        </w:rPr>
        <w:t>Vattenfall</w:t>
      </w:r>
      <w:r>
        <w:rPr>
          <w:rFonts w:eastAsia="Times New Roman"/>
          <w:lang w:val="fr-FR"/>
        </w:rPr>
        <w:br/>
        <w:t>Fournisseur d’énergie commercial.</w:t>
      </w:r>
      <w:r>
        <w:rPr>
          <w:rFonts w:eastAsia="Times New Roman"/>
          <w:lang w:val="fr-FR"/>
        </w:rPr>
        <w:br/>
      </w:r>
      <w:r>
        <w:rPr>
          <w:rStyle w:val="actor-rol1"/>
          <w:rFonts w:eastAsia="Times New Roman"/>
          <w:lang w:val="fr-FR"/>
        </w:rPr>
        <w:t>Rôle dans ce dossier :</w:t>
      </w:r>
      <w:r>
        <w:rPr>
          <w:rFonts w:eastAsia="Times New Roman"/>
          <w:lang w:val="fr-FR"/>
        </w:rPr>
        <w:t xml:space="preserve"> exige un certificat médical délivré par un médecin néerlandais indépendant pour le statut de « consommateur médicalement vulnérable ». Cette exigence est inapplicable pour un travailleur frontalier. Après plusieurs mois, le fournisseur admet que cette exigence était injustifiée et renvoie le dossier vers le gestionnaire de réseau. </w:t>
      </w:r>
    </w:p>
    <w:p w14:paraId="4CF7F25D" w14:textId="77777777" w:rsidR="0020702A" w:rsidRDefault="0020702A">
      <w:pPr>
        <w:divId w:val="1322005645"/>
        <w:rPr>
          <w:rFonts w:eastAsia="Times New Roman"/>
          <w:lang w:val="fr-FR"/>
        </w:rPr>
      </w:pPr>
      <w:r>
        <w:rPr>
          <w:rFonts w:eastAsia="Times New Roman"/>
          <w:b/>
          <w:bCs/>
          <w:color w:val="FFFFFF"/>
          <w:sz w:val="20"/>
          <w:szCs w:val="20"/>
          <w:shd w:val="clear" w:color="auto" w:fill="1A3C6E"/>
          <w:lang w:val="fr-FR"/>
        </w:rPr>
        <w:t> 35 </w:t>
      </w:r>
      <w:r>
        <w:rPr>
          <w:rFonts w:eastAsia="Times New Roman"/>
          <w:lang w:val="fr-FR"/>
        </w:rPr>
        <w:t xml:space="preserve"> </w:t>
      </w:r>
      <w:r>
        <w:rPr>
          <w:rStyle w:val="actor-naam1"/>
          <w:rFonts w:eastAsia="Times New Roman"/>
          <w:lang w:val="fr-FR"/>
        </w:rPr>
        <w:t>Stedin</w:t>
      </w:r>
      <w:r>
        <w:rPr>
          <w:rFonts w:eastAsia="Times New Roman"/>
          <w:lang w:val="fr-FR"/>
        </w:rPr>
        <w:br/>
        <w:t>Gestionnaire de réseau régional pour le gaz et l’électricité en Zélande.</w:t>
      </w:r>
      <w:r>
        <w:rPr>
          <w:rFonts w:eastAsia="Times New Roman"/>
          <w:lang w:val="fr-FR"/>
        </w:rPr>
        <w:br/>
      </w:r>
      <w:r>
        <w:rPr>
          <w:rStyle w:val="actor-rol1"/>
          <w:rFonts w:eastAsia="Times New Roman"/>
          <w:lang w:val="fr-FR"/>
        </w:rPr>
        <w:t>Rôle dans ce dossier :</w:t>
      </w:r>
      <w:r>
        <w:rPr>
          <w:rFonts w:eastAsia="Times New Roman"/>
          <w:lang w:val="fr-FR"/>
        </w:rPr>
        <w:t xml:space="preserve"> responsable de la garantie physique de fourniture et de coupure. Il n’existe pas de transfert automatique de données entre Vattenfall et Stedin : le patient doit reconstituer l’intégralité de son dossier médical auprès de ce nouvel organisme privé. </w:t>
      </w:r>
    </w:p>
    <w:p w14:paraId="5F19AE74" w14:textId="77777777" w:rsidR="0020702A" w:rsidRDefault="0020702A">
      <w:pPr>
        <w:divId w:val="762728295"/>
        <w:rPr>
          <w:rFonts w:eastAsia="Times New Roman"/>
          <w:lang w:val="fr-FR"/>
        </w:rPr>
      </w:pPr>
      <w:r>
        <w:rPr>
          <w:rFonts w:eastAsia="Times New Roman"/>
          <w:b/>
          <w:bCs/>
          <w:color w:val="FFFFFF"/>
          <w:sz w:val="20"/>
          <w:szCs w:val="20"/>
          <w:shd w:val="clear" w:color="auto" w:fill="1A3C6E"/>
          <w:lang w:val="fr-FR"/>
        </w:rPr>
        <w:t> 36 </w:t>
      </w:r>
      <w:r>
        <w:rPr>
          <w:rFonts w:eastAsia="Times New Roman"/>
          <w:lang w:val="fr-FR"/>
        </w:rPr>
        <w:t xml:space="preserve"> </w:t>
      </w:r>
      <w:r>
        <w:rPr>
          <w:rStyle w:val="actor-naam1"/>
          <w:rFonts w:eastAsia="Times New Roman"/>
          <w:lang w:val="fr-FR"/>
        </w:rPr>
        <w:t>Commune de Hulst (y compris la fondation « Hulst voor Elkaar »)</w:t>
      </w:r>
      <w:r>
        <w:rPr>
          <w:rFonts w:eastAsia="Times New Roman"/>
          <w:lang w:val="fr-FR"/>
        </w:rPr>
        <w:br/>
        <w:t>Commune frontalière néerlandaise et son organisme d’exécution pour le domaine social (Wmo, loi sur la jeunesse, loi sur la participation).</w:t>
      </w:r>
      <w:r>
        <w:rPr>
          <w:rFonts w:eastAsia="Times New Roman"/>
          <w:lang w:val="fr-FR"/>
        </w:rPr>
        <w:br/>
      </w:r>
      <w:r>
        <w:rPr>
          <w:rStyle w:val="actor-rol1"/>
          <w:rFonts w:eastAsia="Times New Roman"/>
          <w:lang w:val="fr-FR"/>
        </w:rPr>
        <w:t>Rôle dans ce dossier :</w:t>
      </w:r>
      <w:r>
        <w:rPr>
          <w:rFonts w:eastAsia="Times New Roman"/>
          <w:lang w:val="fr-FR"/>
        </w:rPr>
        <w:t xml:space="preserve"> les e-mails et les demandes d’accès au titre du RGPD se heurtent systématiquement à des erreurs DNS. Les demandes d’aide sont supprimées sans avoir été lues après plusieurs mois. La commune refuse la reprise administrative de la carte européenne de stationnement pour personnes handica</w:t>
      </w:r>
      <w:r>
        <w:rPr>
          <w:rFonts w:eastAsia="Times New Roman"/>
          <w:lang w:val="fr-FR"/>
        </w:rPr>
        <w:t xml:space="preserve">pées et exige un nouvel examen local. </w:t>
      </w:r>
    </w:p>
    <w:p w14:paraId="77467BB8" w14:textId="77777777" w:rsidR="0020702A" w:rsidRDefault="0020702A">
      <w:pPr>
        <w:divId w:val="1289504849"/>
        <w:rPr>
          <w:rFonts w:eastAsia="Times New Roman"/>
          <w:lang w:val="fr-FR"/>
        </w:rPr>
      </w:pPr>
      <w:r>
        <w:rPr>
          <w:rFonts w:eastAsia="Times New Roman"/>
          <w:b/>
          <w:bCs/>
          <w:color w:val="FFFFFF"/>
          <w:sz w:val="20"/>
          <w:szCs w:val="20"/>
          <w:shd w:val="clear" w:color="auto" w:fill="1A3C6E"/>
          <w:lang w:val="fr-FR"/>
        </w:rPr>
        <w:t> 37 </w:t>
      </w:r>
      <w:r>
        <w:rPr>
          <w:rFonts w:eastAsia="Times New Roman"/>
          <w:lang w:val="fr-FR"/>
        </w:rPr>
        <w:t xml:space="preserve"> </w:t>
      </w:r>
      <w:r>
        <w:rPr>
          <w:rStyle w:val="actor-naam1"/>
          <w:rFonts w:eastAsia="Times New Roman"/>
          <w:lang w:val="fr-FR"/>
        </w:rPr>
        <w:t>Reizen door Zeeland</w:t>
      </w:r>
      <w:r>
        <w:rPr>
          <w:rFonts w:eastAsia="Times New Roman"/>
          <w:lang w:val="fr-FR"/>
        </w:rPr>
        <w:br/>
        <w:t>: centrale régionale de transport pour les services de transport relevant de la Wmo.</w:t>
      </w:r>
      <w:r>
        <w:rPr>
          <w:rFonts w:eastAsia="Times New Roman"/>
          <w:lang w:val="fr-FR"/>
        </w:rPr>
        <w:br/>
      </w:r>
      <w:r>
        <w:rPr>
          <w:rStyle w:val="actor-rol1"/>
          <w:rFonts w:eastAsia="Times New Roman"/>
          <w:lang w:val="fr-FR"/>
        </w:rPr>
        <w:t>Rôle dans ce dossier :</w:t>
      </w:r>
      <w:r>
        <w:rPr>
          <w:rFonts w:eastAsia="Times New Roman"/>
          <w:lang w:val="fr-FR"/>
        </w:rPr>
        <w:t xml:space="preserve"> refuse les trajets vers des instances publiques belges (par ex. examen SPF), mais accepte les trajets vers des hôpitaux universitaires situés de l’autre côté de la frontière. Le système fait la distinction en fonction de la destination, et non de la distance. Le délai de prélèvement ne tient pas compte du calendrier de paiement des salaires des travailleurs frontaliers. </w:t>
      </w:r>
    </w:p>
    <w:p w14:paraId="66052B0B" w14:textId="77777777" w:rsidR="0020702A" w:rsidRDefault="0020702A">
      <w:pPr>
        <w:pStyle w:val="Kop4"/>
        <w:divId w:val="1419013937"/>
        <w:rPr>
          <w:rFonts w:eastAsia="Times New Roman"/>
          <w:lang w:val="fr-FR"/>
        </w:rPr>
      </w:pPr>
      <w:r>
        <w:rPr>
          <w:rFonts w:eastAsia="Times New Roman"/>
          <w:lang w:val="fr-FR"/>
        </w:rPr>
        <w:t>Contrôle</w:t>
      </w:r>
    </w:p>
    <w:p w14:paraId="6F511FBB" w14:textId="77777777" w:rsidR="0020702A" w:rsidRDefault="0020702A">
      <w:pPr>
        <w:divId w:val="2073847139"/>
        <w:rPr>
          <w:rFonts w:eastAsia="Times New Roman"/>
          <w:lang w:val="fr-FR"/>
        </w:rPr>
      </w:pPr>
      <w:r>
        <w:rPr>
          <w:rFonts w:eastAsia="Times New Roman"/>
          <w:b/>
          <w:bCs/>
          <w:color w:val="FFFFFF"/>
          <w:sz w:val="20"/>
          <w:szCs w:val="20"/>
          <w:shd w:val="clear" w:color="auto" w:fill="1A3C6E"/>
          <w:lang w:val="fr-FR"/>
        </w:rPr>
        <w:t> 38 </w:t>
      </w:r>
      <w:r>
        <w:rPr>
          <w:rFonts w:eastAsia="Times New Roman"/>
          <w:lang w:val="fr-FR"/>
        </w:rPr>
        <w:t xml:space="preserve"> </w:t>
      </w:r>
      <w:r>
        <w:rPr>
          <w:rStyle w:val="actor-naam1"/>
          <w:rFonts w:eastAsia="Times New Roman"/>
          <w:lang w:val="fr-FR"/>
        </w:rPr>
        <w:t>Le Médiateur national (NL)</w:t>
      </w:r>
      <w:r>
        <w:rPr>
          <w:rFonts w:eastAsia="Times New Roman"/>
          <w:lang w:val="fr-FR"/>
        </w:rPr>
        <w:br/>
        <w:t>Haute instance indépendante de l’État chargée de contrôler l’action des autorités publiques néerlandaises.</w:t>
      </w:r>
      <w:r>
        <w:rPr>
          <w:rFonts w:eastAsia="Times New Roman"/>
          <w:lang w:val="fr-FR"/>
        </w:rPr>
        <w:br/>
      </w:r>
      <w:r>
        <w:rPr>
          <w:rStyle w:val="actor-rol1"/>
          <w:rFonts w:eastAsia="Times New Roman"/>
          <w:lang w:val="fr-FR"/>
        </w:rPr>
        <w:t>Rôle dans ce dossier :</w:t>
      </w:r>
      <w:r>
        <w:rPr>
          <w:rFonts w:eastAsia="Times New Roman"/>
          <w:lang w:val="fr-FR"/>
        </w:rPr>
        <w:t xml:space="preserve"> enregistre la plainte, signale des problèmes de capacité et refuse toute intervention active tant que des procédures de réclamation ou de recours sont en cours. Clôture définitivement le dossier et l’enregistre comme signal passif. </w:t>
      </w:r>
    </w:p>
    <w:p w14:paraId="163B47DD" w14:textId="77777777" w:rsidR="0020702A" w:rsidRDefault="0020702A">
      <w:pPr>
        <w:divId w:val="949623086"/>
        <w:rPr>
          <w:rFonts w:eastAsia="Times New Roman"/>
          <w:lang w:val="fr-FR"/>
        </w:rPr>
      </w:pPr>
      <w:r>
        <w:rPr>
          <w:rFonts w:eastAsia="Times New Roman"/>
          <w:b/>
          <w:bCs/>
          <w:color w:val="FFFFFF"/>
          <w:sz w:val="20"/>
          <w:szCs w:val="20"/>
          <w:shd w:val="clear" w:color="auto" w:fill="1A3C6E"/>
          <w:lang w:val="fr-FR"/>
        </w:rPr>
        <w:t> 39 </w:t>
      </w:r>
      <w:r>
        <w:rPr>
          <w:rFonts w:eastAsia="Times New Roman"/>
          <w:lang w:val="fr-FR"/>
        </w:rPr>
        <w:t xml:space="preserve"> </w:t>
      </w:r>
      <w:r>
        <w:rPr>
          <w:rStyle w:val="actor-naam1"/>
          <w:rFonts w:eastAsia="Times New Roman"/>
          <w:lang w:val="fr-FR"/>
        </w:rPr>
        <w:t>Institut néerlandais des soins de santé (ZIN) — contrôle</w:t>
      </w:r>
      <w:r>
        <w:rPr>
          <w:rFonts w:eastAsia="Times New Roman"/>
          <w:lang w:val="fr-FR"/>
        </w:rPr>
        <w:br/>
        <w:t>Assure le contrôle systémique de la mise en œuvre conforme à la loi de l’assurance maladie.</w:t>
      </w:r>
      <w:r>
        <w:rPr>
          <w:rFonts w:eastAsia="Times New Roman"/>
          <w:lang w:val="fr-FR"/>
        </w:rPr>
        <w:br/>
      </w:r>
      <w:r>
        <w:rPr>
          <w:rStyle w:val="actor-rol1"/>
          <w:rFonts w:eastAsia="Times New Roman"/>
          <w:lang w:val="fr-FR"/>
        </w:rPr>
        <w:t>Rôle dans ce dossier :</w:t>
      </w:r>
      <w:r>
        <w:rPr>
          <w:rFonts w:eastAsia="Times New Roman"/>
          <w:lang w:val="fr-FR"/>
        </w:rPr>
        <w:t xml:space="preserve"> l’organisme qui gère le registre RIV déclare ne pas avoir accès aux données à caractère personnel individuelles et refuse de contrôler le registre. Le triangle CZ, CAK et ZIN reste fermé. </w:t>
      </w:r>
    </w:p>
    <w:p w14:paraId="7B40B7BB" w14:textId="77777777" w:rsidR="0020702A" w:rsidRDefault="0020702A">
      <w:pPr>
        <w:pStyle w:val="Kop4"/>
        <w:divId w:val="1419013937"/>
        <w:rPr>
          <w:rFonts w:eastAsia="Times New Roman"/>
          <w:lang w:val="fr-FR"/>
        </w:rPr>
      </w:pPr>
      <w:r>
        <w:rPr>
          <w:rFonts w:eastAsia="Times New Roman"/>
          <w:lang w:val="fr-FR"/>
        </w:rPr>
        <w:t>Politique</w:t>
      </w:r>
    </w:p>
    <w:p w14:paraId="7CD587F3" w14:textId="77777777" w:rsidR="0020702A" w:rsidRDefault="0020702A">
      <w:pPr>
        <w:divId w:val="406149721"/>
        <w:rPr>
          <w:rFonts w:eastAsia="Times New Roman"/>
          <w:lang w:val="fr-FR"/>
        </w:rPr>
      </w:pPr>
      <w:r>
        <w:rPr>
          <w:rFonts w:eastAsia="Times New Roman"/>
          <w:b/>
          <w:bCs/>
          <w:color w:val="FFFFFF"/>
          <w:sz w:val="20"/>
          <w:szCs w:val="20"/>
          <w:shd w:val="clear" w:color="auto" w:fill="1A3C6E"/>
          <w:lang w:val="fr-FR"/>
        </w:rPr>
        <w:t> 40 </w:t>
      </w:r>
      <w:r>
        <w:rPr>
          <w:rFonts w:eastAsia="Times New Roman"/>
          <w:lang w:val="fr-FR"/>
        </w:rPr>
        <w:t xml:space="preserve"> </w:t>
      </w:r>
      <w:r>
        <w:rPr>
          <w:rStyle w:val="actor-naam1"/>
          <w:rFonts w:eastAsia="Times New Roman"/>
          <w:lang w:val="fr-FR"/>
        </w:rPr>
        <w:t>Seconde Chambre — Commission permanente SZW</w:t>
      </w:r>
      <w:r>
        <w:rPr>
          <w:rFonts w:eastAsia="Times New Roman"/>
          <w:lang w:val="fr-FR"/>
        </w:rPr>
        <w:br/>
        <w:t>La commission parlementaire chargée de contrôler la sécurité sociale néerlandaise.</w:t>
      </w:r>
      <w:r>
        <w:rPr>
          <w:rFonts w:eastAsia="Times New Roman"/>
          <w:lang w:val="fr-FR"/>
        </w:rPr>
        <w:br/>
      </w:r>
      <w:r>
        <w:rPr>
          <w:rStyle w:val="actor-rol1"/>
          <w:rFonts w:eastAsia="Times New Roman"/>
          <w:lang w:val="fr-FR"/>
        </w:rPr>
        <w:t>Rôle dans ce dossier :</w:t>
      </w:r>
      <w:r>
        <w:rPr>
          <w:rFonts w:eastAsia="Times New Roman"/>
          <w:lang w:val="fr-FR"/>
        </w:rPr>
        <w:t xml:space="preserve"> Enregistre officiellement la lettre d’alerte et met le dossier en attente en vue d’un débat en commission. Exclut expressément tout examen individuel. </w:t>
      </w:r>
    </w:p>
    <w:p w14:paraId="26CD81C5" w14:textId="77777777" w:rsidR="0020702A" w:rsidRDefault="0020702A">
      <w:pPr>
        <w:divId w:val="621426358"/>
        <w:rPr>
          <w:rFonts w:eastAsia="Times New Roman"/>
          <w:lang w:val="fr-FR"/>
        </w:rPr>
      </w:pPr>
      <w:r>
        <w:rPr>
          <w:rFonts w:eastAsia="Times New Roman"/>
          <w:b/>
          <w:bCs/>
          <w:color w:val="FFFFFF"/>
          <w:sz w:val="20"/>
          <w:szCs w:val="20"/>
          <w:shd w:val="clear" w:color="auto" w:fill="1A3C6E"/>
          <w:lang w:val="fr-FR"/>
        </w:rPr>
        <w:t> 41 </w:t>
      </w:r>
      <w:r>
        <w:rPr>
          <w:rFonts w:eastAsia="Times New Roman"/>
          <w:lang w:val="fr-FR"/>
        </w:rPr>
        <w:t xml:space="preserve"> </w:t>
      </w:r>
      <w:r>
        <w:rPr>
          <w:rStyle w:val="actor-naam1"/>
          <w:rFonts w:eastAsia="Times New Roman"/>
          <w:lang w:val="fr-FR"/>
        </w:rPr>
        <w:t>Partis politiques néerlandais</w:t>
      </w:r>
      <w:r>
        <w:rPr>
          <w:rFonts w:eastAsia="Times New Roman"/>
          <w:lang w:val="fr-FR"/>
        </w:rPr>
        <w:t xml:space="preserve"> Les partis représentant le peuple au sein du Parlement néerlandais.</w:t>
      </w:r>
      <w:r>
        <w:rPr>
          <w:rFonts w:eastAsia="Times New Roman"/>
          <w:lang w:val="fr-FR"/>
        </w:rPr>
        <w:br/>
      </w:r>
      <w:r>
        <w:rPr>
          <w:rStyle w:val="actor-rol1"/>
          <w:rFonts w:eastAsia="Times New Roman"/>
          <w:lang w:val="fr-FR"/>
        </w:rPr>
        <w:t>Rôle dans ce dossier :</w:t>
      </w:r>
      <w:r>
        <w:rPr>
          <w:rFonts w:eastAsia="Times New Roman"/>
          <w:lang w:val="fr-FR"/>
        </w:rPr>
        <w:t xml:space="preserve"> les partis au pouvoir renvoient vers le Médiateur national. Les partis d’opposition transmettent le dossier à leurs conseillers politiques. Aucun parti ne fait appel à un instrument parlementaire. </w:t>
      </w:r>
    </w:p>
    <w:p w14:paraId="34F82C39" w14:textId="77777777" w:rsidR="0020702A" w:rsidRDefault="0020702A">
      <w:pPr>
        <w:pStyle w:val="Kop4"/>
        <w:divId w:val="1419013937"/>
        <w:rPr>
          <w:rFonts w:eastAsia="Times New Roman"/>
          <w:lang w:val="fr-FR"/>
        </w:rPr>
      </w:pPr>
      <w:r>
        <w:rPr>
          <w:rFonts w:eastAsia="Times New Roman"/>
          <w:lang w:val="fr-FR"/>
        </w:rPr>
        <w:t>Symbolique</w:t>
      </w:r>
    </w:p>
    <w:p w14:paraId="2FC54F64" w14:textId="77777777" w:rsidR="0020702A" w:rsidRDefault="0020702A">
      <w:pPr>
        <w:divId w:val="214507795"/>
        <w:rPr>
          <w:rFonts w:eastAsia="Times New Roman"/>
          <w:lang w:val="fr-FR"/>
        </w:rPr>
      </w:pPr>
      <w:r>
        <w:rPr>
          <w:rFonts w:eastAsia="Times New Roman"/>
          <w:b/>
          <w:bCs/>
          <w:color w:val="FFFFFF"/>
          <w:sz w:val="20"/>
          <w:szCs w:val="20"/>
          <w:shd w:val="clear" w:color="auto" w:fill="1A3C6E"/>
          <w:lang w:val="fr-FR"/>
        </w:rPr>
        <w:t> 42 </w:t>
      </w:r>
      <w:r>
        <w:rPr>
          <w:rFonts w:eastAsia="Times New Roman"/>
          <w:lang w:val="fr-FR"/>
        </w:rPr>
        <w:t xml:space="preserve"> </w:t>
      </w:r>
      <w:r>
        <w:rPr>
          <w:rStyle w:val="actor-naam1"/>
          <w:rFonts w:eastAsia="Times New Roman"/>
          <w:lang w:val="fr-FR"/>
        </w:rPr>
        <w:t>Maison royale</w:t>
      </w:r>
      <w:r>
        <w:rPr>
          <w:rFonts w:eastAsia="Times New Roman"/>
          <w:lang w:val="fr-FR"/>
        </w:rPr>
        <w:t xml:space="preserve"> La fonction constitutionnelle du chef de l'État néerlandais.</w:t>
      </w:r>
      <w:r>
        <w:rPr>
          <w:rFonts w:eastAsia="Times New Roman"/>
          <w:lang w:val="fr-FR"/>
        </w:rPr>
        <w:br/>
      </w:r>
      <w:r>
        <w:rPr>
          <w:rStyle w:val="actor-rol1"/>
          <w:rFonts w:eastAsia="Times New Roman"/>
          <w:lang w:val="fr-FR"/>
        </w:rPr>
        <w:t>Rôle dans ce dossier :</w:t>
      </w:r>
      <w:r>
        <w:rPr>
          <w:rFonts w:eastAsia="Times New Roman"/>
          <w:lang w:val="fr-FR"/>
        </w:rPr>
        <w:t xml:space="preserve"> le gouvernement confirme l'impossibilité d'intervenir et propose de transmettre la pétition au ministre compétent. La procédure d'escalade nationale a été épuisée sans qu'une solution de fond ait été trouvée.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F8BFDD6" w14:textId="77777777">
        <w:trPr>
          <w:divId w:val="1419013937"/>
        </w:trPr>
        <w:tc>
          <w:tcPr>
            <w:tcW w:w="0" w:type="auto"/>
            <w:tcBorders>
              <w:top w:val="single" w:sz="6" w:space="0" w:color="D5D0C5"/>
              <w:left w:val="single" w:sz="36" w:space="0" w:color="0D7377"/>
              <w:bottom w:val="single" w:sz="6" w:space="0" w:color="D5D0C5"/>
              <w:right w:val="single" w:sz="6" w:space="0" w:color="D5D0C5"/>
            </w:tcBorders>
            <w:shd w:val="clear" w:color="auto" w:fill="EAF4F4"/>
            <w:tcMar>
              <w:top w:w="160" w:type="dxa"/>
              <w:left w:w="240" w:type="dxa"/>
              <w:bottom w:w="160" w:type="dxa"/>
              <w:right w:w="240" w:type="dxa"/>
            </w:tcMar>
            <w:hideMark/>
          </w:tcPr>
          <w:p w14:paraId="3F836A26" w14:textId="77777777" w:rsidR="0020702A" w:rsidRDefault="0020702A">
            <w:pPr>
              <w:spacing w:before="240" w:after="240"/>
              <w:rPr>
                <w:rFonts w:eastAsia="Times New Roman"/>
                <w:sz w:val="21"/>
                <w:szCs w:val="21"/>
              </w:rPr>
            </w:pPr>
            <w:r>
              <w:rPr>
                <w:rStyle w:val="Zwaar"/>
                <w:rFonts w:eastAsia="Times New Roman"/>
                <w:sz w:val="21"/>
                <w:szCs w:val="21"/>
              </w:rPr>
              <w:t>NIVEAU EUROPÉEN</w:t>
            </w:r>
          </w:p>
        </w:tc>
      </w:tr>
    </w:tbl>
    <w:p w14:paraId="2895BFE7" w14:textId="77777777" w:rsidR="0020702A" w:rsidRDefault="0020702A">
      <w:pPr>
        <w:pStyle w:val="Kop4"/>
        <w:divId w:val="1419013937"/>
        <w:rPr>
          <w:rFonts w:eastAsia="Times New Roman"/>
          <w:lang w:val="fr-FR"/>
        </w:rPr>
      </w:pPr>
      <w:r>
        <w:rPr>
          <w:rFonts w:eastAsia="Times New Roman"/>
          <w:lang w:val="fr-FR"/>
        </w:rPr>
        <w:t>Institutions</w:t>
      </w:r>
    </w:p>
    <w:p w14:paraId="13EFCD7F" w14:textId="77777777" w:rsidR="0020702A" w:rsidRDefault="0020702A">
      <w:pPr>
        <w:divId w:val="1998728279"/>
        <w:rPr>
          <w:rFonts w:eastAsia="Times New Roman"/>
          <w:lang w:val="fr-FR"/>
        </w:rPr>
      </w:pPr>
      <w:r>
        <w:rPr>
          <w:rFonts w:eastAsia="Times New Roman"/>
          <w:b/>
          <w:bCs/>
          <w:color w:val="FFFFFF"/>
          <w:sz w:val="20"/>
          <w:szCs w:val="20"/>
          <w:shd w:val="clear" w:color="auto" w:fill="0D7377"/>
          <w:lang w:val="fr-FR"/>
        </w:rPr>
        <w:t> 43 </w:t>
      </w:r>
      <w:r>
        <w:rPr>
          <w:rFonts w:eastAsia="Times New Roman"/>
          <w:lang w:val="fr-FR"/>
        </w:rPr>
        <w:t xml:space="preserve"> </w:t>
      </w:r>
      <w:r>
        <w:rPr>
          <w:rStyle w:val="actor-naam1"/>
          <w:rFonts w:eastAsia="Times New Roman"/>
          <w:lang w:val="fr-FR"/>
        </w:rPr>
        <w:t>Commission européenne — DG EMPL</w:t>
      </w:r>
      <w:r>
        <w:rPr>
          <w:rFonts w:eastAsia="Times New Roman"/>
          <w:lang w:val="fr-FR"/>
        </w:rPr>
        <w:br/>
        <w:t>L’organe exécutif de l’UE chargé de veiller à l’application du droit de l’Union.</w:t>
      </w:r>
      <w:r>
        <w:rPr>
          <w:rFonts w:eastAsia="Times New Roman"/>
          <w:lang w:val="fr-FR"/>
        </w:rPr>
        <w:br/>
      </w:r>
      <w:r>
        <w:rPr>
          <w:rStyle w:val="actor-rol1"/>
          <w:rFonts w:eastAsia="Times New Roman"/>
          <w:lang w:val="fr-FR"/>
        </w:rPr>
        <w:t>Rôle dans ce dossier :</w:t>
      </w:r>
      <w:r>
        <w:rPr>
          <w:rFonts w:eastAsia="Times New Roman"/>
          <w:lang w:val="fr-FR"/>
        </w:rPr>
        <w:t xml:space="preserve"> enregistre la plainte, regroupe plusieurs plaintes, mais ne dispose d’aucun pouvoir d’exécution dans les cas individuels. Ne peut qu’engager une procédure d’infraction — un processus qui s’étend sur plusieurs années. </w:t>
      </w:r>
    </w:p>
    <w:p w14:paraId="71AB4D09" w14:textId="77777777" w:rsidR="0020702A" w:rsidRDefault="0020702A">
      <w:pPr>
        <w:divId w:val="319848092"/>
        <w:rPr>
          <w:rFonts w:eastAsia="Times New Roman"/>
          <w:lang w:val="fr-FR"/>
        </w:rPr>
      </w:pPr>
      <w:r>
        <w:rPr>
          <w:rFonts w:eastAsia="Times New Roman"/>
          <w:b/>
          <w:bCs/>
          <w:color w:val="FFFFFF"/>
          <w:sz w:val="20"/>
          <w:szCs w:val="20"/>
          <w:shd w:val="clear" w:color="auto" w:fill="0D7377"/>
          <w:lang w:val="fr-FR"/>
        </w:rPr>
        <w:t> 44 </w:t>
      </w:r>
      <w:r>
        <w:rPr>
          <w:rFonts w:eastAsia="Times New Roman"/>
          <w:lang w:val="fr-FR"/>
        </w:rPr>
        <w:t xml:space="preserve"> </w:t>
      </w:r>
      <w:r>
        <w:rPr>
          <w:rStyle w:val="actor-naam1"/>
          <w:rFonts w:eastAsia="Times New Roman"/>
          <w:lang w:val="fr-FR"/>
        </w:rPr>
        <w:t>Parlement européen — Commission des pétitions (PETI)</w:t>
      </w:r>
      <w:r>
        <w:rPr>
          <w:rFonts w:eastAsia="Times New Roman"/>
          <w:lang w:val="fr-FR"/>
        </w:rPr>
        <w:br/>
        <w:t>La commission chargée de traiter les pétitions des citoyens de l’UE.</w:t>
      </w:r>
      <w:r>
        <w:rPr>
          <w:rFonts w:eastAsia="Times New Roman"/>
          <w:lang w:val="fr-FR"/>
        </w:rPr>
        <w:br/>
      </w:r>
      <w:r>
        <w:rPr>
          <w:rStyle w:val="actor-rol1"/>
          <w:rFonts w:eastAsia="Times New Roman"/>
          <w:lang w:val="fr-FR"/>
        </w:rPr>
        <w:t>Rôle dans ce dossier :</w:t>
      </w:r>
      <w:r>
        <w:rPr>
          <w:rFonts w:eastAsia="Times New Roman"/>
          <w:lang w:val="fr-FR"/>
        </w:rPr>
        <w:t xml:space="preserve"> déclare une pétition recevable, publie un résumé, ouvre la pétition aux cosignataires. Ne peut toutefois pas annuler les décisions d’exécution nationales. </w:t>
      </w:r>
    </w:p>
    <w:p w14:paraId="53B7528C" w14:textId="77777777" w:rsidR="0020702A" w:rsidRDefault="0020702A">
      <w:pPr>
        <w:divId w:val="1297687474"/>
        <w:rPr>
          <w:rFonts w:eastAsia="Times New Roman"/>
          <w:lang w:val="fr-FR"/>
        </w:rPr>
      </w:pPr>
      <w:r>
        <w:rPr>
          <w:rFonts w:eastAsia="Times New Roman"/>
          <w:b/>
          <w:bCs/>
          <w:color w:val="FFFFFF"/>
          <w:sz w:val="20"/>
          <w:szCs w:val="20"/>
          <w:shd w:val="clear" w:color="auto" w:fill="0D7377"/>
          <w:lang w:val="fr-FR"/>
        </w:rPr>
        <w:t> 45 </w:t>
      </w:r>
      <w:r>
        <w:rPr>
          <w:rFonts w:eastAsia="Times New Roman"/>
          <w:lang w:val="fr-FR"/>
        </w:rPr>
        <w:t xml:space="preserve"> </w:t>
      </w:r>
      <w:r>
        <w:rPr>
          <w:rStyle w:val="actor-naam1"/>
          <w:rFonts w:eastAsia="Times New Roman"/>
          <w:lang w:val="fr-FR"/>
        </w:rPr>
        <w:t>Médiateur européen</w:t>
      </w:r>
      <w:r>
        <w:rPr>
          <w:rFonts w:eastAsia="Times New Roman"/>
          <w:lang w:val="fr-FR"/>
        </w:rPr>
        <w:t xml:space="preserve"> : Organisme indépendant chargé de traiter les plaintes concernant les institutions de l’UE.</w:t>
      </w:r>
      <w:r>
        <w:rPr>
          <w:rFonts w:eastAsia="Times New Roman"/>
          <w:lang w:val="fr-FR"/>
        </w:rPr>
        <w:br/>
      </w:r>
      <w:r>
        <w:rPr>
          <w:rStyle w:val="actor-rol1"/>
          <w:rFonts w:eastAsia="Times New Roman"/>
          <w:lang w:val="fr-FR"/>
        </w:rPr>
        <w:t>Rôle dans ce dossier :</w:t>
      </w:r>
      <w:r>
        <w:rPr>
          <w:rFonts w:eastAsia="Times New Roman"/>
          <w:lang w:val="fr-FR"/>
        </w:rPr>
        <w:t xml:space="preserve"> </w:t>
      </w:r>
      <w:r>
        <w:rPr>
          <w:rFonts w:eastAsia="Times New Roman"/>
          <w:lang w:val="fr-FR"/>
        </w:rPr>
        <w:t xml:space="preserve">Déclare irrecevable une plainte concernant SOLVIT : SOLVIT est un service national, et non une institution de l’UE. L'échec de SOLVIT se situe dans un vide juridique. </w:t>
      </w:r>
    </w:p>
    <w:p w14:paraId="3AE69D80" w14:textId="77777777" w:rsidR="0020702A" w:rsidRDefault="0020702A">
      <w:pPr>
        <w:divId w:val="1786460807"/>
        <w:rPr>
          <w:rFonts w:eastAsia="Times New Roman"/>
          <w:lang w:val="fr-FR"/>
        </w:rPr>
      </w:pPr>
      <w:r>
        <w:rPr>
          <w:rFonts w:eastAsia="Times New Roman"/>
          <w:b/>
          <w:bCs/>
          <w:color w:val="FFFFFF"/>
          <w:sz w:val="20"/>
          <w:szCs w:val="20"/>
          <w:shd w:val="clear" w:color="auto" w:fill="0D7377"/>
          <w:lang w:val="fr-FR"/>
        </w:rPr>
        <w:t> 46 </w:t>
      </w:r>
      <w:r>
        <w:rPr>
          <w:rFonts w:eastAsia="Times New Roman"/>
          <w:lang w:val="fr-FR"/>
        </w:rPr>
        <w:t xml:space="preserve"> </w:t>
      </w:r>
      <w:r>
        <w:rPr>
          <w:rStyle w:val="actor-naam1"/>
          <w:rFonts w:eastAsia="Times New Roman"/>
          <w:lang w:val="fr-FR"/>
        </w:rPr>
        <w:t>Conseil européen (EUCO)</w:t>
      </w:r>
      <w:r>
        <w:rPr>
          <w:rFonts w:eastAsia="Times New Roman"/>
          <w:lang w:val="fr-FR"/>
        </w:rPr>
        <w:br/>
        <w:t>L’organe politique suprême de l’UE, composé des chefs d’État et de gouvernement.</w:t>
      </w:r>
      <w:r>
        <w:rPr>
          <w:rFonts w:eastAsia="Times New Roman"/>
          <w:lang w:val="fr-FR"/>
        </w:rPr>
        <w:br/>
      </w:r>
      <w:r>
        <w:rPr>
          <w:rStyle w:val="actor-rol1"/>
          <w:rFonts w:eastAsia="Times New Roman"/>
          <w:lang w:val="fr-FR"/>
        </w:rPr>
        <w:t>Rôle dans ce dossier :</w:t>
      </w:r>
      <w:r>
        <w:rPr>
          <w:rFonts w:eastAsia="Times New Roman"/>
          <w:lang w:val="fr-FR"/>
        </w:rPr>
        <w:t xml:space="preserve"> Définit l'orientation stratégique à long terme, mais ne dispose d'aucun mécanisme de contact avec les citoyens individuels. Est trop éloigné de la pratique opérationnelle pour jouer un rôle. </w:t>
      </w:r>
    </w:p>
    <w:p w14:paraId="3C350CC5" w14:textId="77777777" w:rsidR="0020702A" w:rsidRDefault="0020702A">
      <w:pPr>
        <w:divId w:val="1931891666"/>
        <w:rPr>
          <w:rFonts w:eastAsia="Times New Roman"/>
          <w:lang w:val="fr-FR"/>
        </w:rPr>
      </w:pPr>
      <w:r>
        <w:rPr>
          <w:rFonts w:eastAsia="Times New Roman"/>
          <w:b/>
          <w:bCs/>
          <w:color w:val="FFFFFF"/>
          <w:sz w:val="20"/>
          <w:szCs w:val="20"/>
          <w:shd w:val="clear" w:color="auto" w:fill="0D7377"/>
          <w:lang w:val="fr-FR"/>
        </w:rPr>
        <w:t> 47 </w:t>
      </w:r>
      <w:r>
        <w:rPr>
          <w:rFonts w:eastAsia="Times New Roman"/>
          <w:lang w:val="fr-FR"/>
        </w:rPr>
        <w:t xml:space="preserve"> </w:t>
      </w:r>
      <w:r>
        <w:rPr>
          <w:rStyle w:val="actor-naam1"/>
          <w:rFonts w:eastAsia="Times New Roman"/>
          <w:lang w:val="fr-FR"/>
        </w:rPr>
        <w:t>Cour européenne des droits de l’homme (CEDH)</w:t>
      </w:r>
      <w:r>
        <w:rPr>
          <w:rFonts w:eastAsia="Times New Roman"/>
          <w:lang w:val="fr-FR"/>
        </w:rPr>
        <w:br/>
        <w:t>Cour internationale de justice du Conseil de l’Europe.</w:t>
      </w:r>
      <w:r>
        <w:rPr>
          <w:rFonts w:eastAsia="Times New Roman"/>
          <w:lang w:val="fr-FR"/>
        </w:rPr>
        <w:br/>
      </w:r>
      <w:r>
        <w:rPr>
          <w:rStyle w:val="actor-rol1"/>
          <w:rFonts w:eastAsia="Times New Roman"/>
          <w:lang w:val="fr-FR"/>
        </w:rPr>
        <w:t>Rôle dans ce dossier :</w:t>
      </w:r>
      <w:r>
        <w:rPr>
          <w:rFonts w:eastAsia="Times New Roman"/>
          <w:lang w:val="fr-FR"/>
        </w:rPr>
        <w:t xml:space="preserve"> déclare la plainte irrecevable au motif que les voies de recours nationales n’ont pas été entièrement épuisées. Elle réduit le problème transnational à un litige opposant uniquement l’État belge. </w:t>
      </w:r>
    </w:p>
    <w:p w14:paraId="5A37B02A" w14:textId="77777777" w:rsidR="0020702A" w:rsidRDefault="0020702A">
      <w:pPr>
        <w:divId w:val="1006597391"/>
        <w:rPr>
          <w:rFonts w:eastAsia="Times New Roman"/>
          <w:lang w:val="fr-FR"/>
        </w:rPr>
      </w:pPr>
      <w:r>
        <w:rPr>
          <w:rFonts w:eastAsia="Times New Roman"/>
          <w:b/>
          <w:bCs/>
          <w:color w:val="FFFFFF"/>
          <w:sz w:val="20"/>
          <w:szCs w:val="20"/>
          <w:shd w:val="clear" w:color="auto" w:fill="0D7377"/>
          <w:lang w:val="fr-FR"/>
        </w:rPr>
        <w:t> 48 </w:t>
      </w:r>
      <w:r>
        <w:rPr>
          <w:rFonts w:eastAsia="Times New Roman"/>
          <w:lang w:val="fr-FR"/>
        </w:rPr>
        <w:t xml:space="preserve"> </w:t>
      </w:r>
      <w:r>
        <w:rPr>
          <w:rStyle w:val="actor-naam1"/>
          <w:rFonts w:eastAsia="Times New Roman"/>
          <w:lang w:val="fr-FR"/>
        </w:rPr>
        <w:t>Autorité européenne du travail (ELA)</w:t>
      </w:r>
      <w:r>
        <w:rPr>
          <w:rFonts w:eastAsia="Times New Roman"/>
          <w:lang w:val="fr-FR"/>
        </w:rPr>
        <w:br/>
      </w:r>
      <w:r>
        <w:rPr>
          <w:rFonts w:eastAsia="Times New Roman"/>
          <w:lang w:val="fr-FR"/>
        </w:rPr>
        <w:t>Agence spécialisée de l’UE chargée de la mobilité équitable de la main-d’œuvre et de la coordination de la sécurité sociale.</w:t>
      </w:r>
      <w:r>
        <w:rPr>
          <w:rFonts w:eastAsia="Times New Roman"/>
          <w:lang w:val="fr-FR"/>
        </w:rPr>
        <w:br/>
      </w:r>
      <w:r>
        <w:rPr>
          <w:rStyle w:val="actor-rol1"/>
          <w:rFonts w:eastAsia="Times New Roman"/>
          <w:lang w:val="fr-FR"/>
        </w:rPr>
        <w:t>Rôle dans ce dossier :</w:t>
      </w:r>
      <w:r>
        <w:rPr>
          <w:rFonts w:eastAsia="Times New Roman"/>
          <w:lang w:val="fr-FR"/>
        </w:rPr>
        <w:t xml:space="preserve"> intervient exclusivement à la demande des autorités nationales elles-mêmes, et non à la demande de citoyens individuels. La voie de recours spécialisée reste fermée à ceux qui en ont le plus besoin. </w:t>
      </w:r>
    </w:p>
    <w:p w14:paraId="256E29DB" w14:textId="77777777" w:rsidR="0020702A" w:rsidRDefault="0020702A">
      <w:pPr>
        <w:pStyle w:val="Kop4"/>
        <w:divId w:val="1419013937"/>
        <w:rPr>
          <w:rFonts w:eastAsia="Times New Roman"/>
          <w:lang w:val="fr-FR"/>
        </w:rPr>
      </w:pPr>
      <w:r>
        <w:rPr>
          <w:rFonts w:eastAsia="Times New Roman"/>
          <w:lang w:val="fr-FR"/>
        </w:rPr>
        <w:t>Médiation</w:t>
      </w:r>
    </w:p>
    <w:p w14:paraId="0E486DEF" w14:textId="77777777" w:rsidR="0020702A" w:rsidRDefault="0020702A">
      <w:pPr>
        <w:divId w:val="1492988896"/>
        <w:rPr>
          <w:rFonts w:eastAsia="Times New Roman"/>
          <w:lang w:val="fr-FR"/>
        </w:rPr>
      </w:pPr>
      <w:r>
        <w:rPr>
          <w:rFonts w:eastAsia="Times New Roman"/>
          <w:b/>
          <w:bCs/>
          <w:color w:val="FFFFFF"/>
          <w:sz w:val="20"/>
          <w:szCs w:val="20"/>
          <w:shd w:val="clear" w:color="auto" w:fill="0D7377"/>
          <w:lang w:val="fr-FR"/>
        </w:rPr>
        <w:t> 49 </w:t>
      </w:r>
      <w:r>
        <w:rPr>
          <w:rFonts w:eastAsia="Times New Roman"/>
          <w:lang w:val="fr-FR"/>
        </w:rPr>
        <w:t xml:space="preserve"> </w:t>
      </w:r>
      <w:r>
        <w:rPr>
          <w:rStyle w:val="actor-naam1"/>
          <w:rFonts w:eastAsia="Times New Roman"/>
          <w:lang w:val="fr-FR"/>
        </w:rPr>
        <w:t>SOLVIT Pays-Bas</w:t>
      </w:r>
      <w:r>
        <w:rPr>
          <w:rFonts w:eastAsia="Times New Roman"/>
          <w:lang w:val="fr-FR"/>
        </w:rPr>
        <w:br/>
        <w:t>Centre national néerlandais du réseau européen informel de résolution des problèmes.</w:t>
      </w:r>
      <w:r>
        <w:rPr>
          <w:rFonts w:eastAsia="Times New Roman"/>
          <w:lang w:val="fr-FR"/>
        </w:rPr>
        <w:br/>
      </w:r>
      <w:r>
        <w:rPr>
          <w:rStyle w:val="actor-rol1"/>
          <w:rFonts w:eastAsia="Times New Roman"/>
          <w:lang w:val="fr-FR"/>
        </w:rPr>
        <w:t>Rôle dans ce dossier :</w:t>
      </w:r>
      <w:r>
        <w:rPr>
          <w:rFonts w:eastAsia="Times New Roman"/>
          <w:lang w:val="fr-FR"/>
        </w:rPr>
        <w:t xml:space="preserve"> clôt les deux dossiers en estimant que les périodes de référence nationales ont été correctement appliquées. Refuse d’examiner l’arrêt Vester. Refuse le renvoi vers le ELA. </w:t>
      </w:r>
    </w:p>
    <w:p w14:paraId="0BAE2638" w14:textId="77777777" w:rsidR="0020702A" w:rsidRDefault="0020702A">
      <w:pPr>
        <w:divId w:val="996302484"/>
        <w:rPr>
          <w:rFonts w:eastAsia="Times New Roman"/>
          <w:lang w:val="fr-FR"/>
        </w:rPr>
      </w:pPr>
      <w:r>
        <w:rPr>
          <w:rFonts w:eastAsia="Times New Roman"/>
          <w:b/>
          <w:bCs/>
          <w:color w:val="FFFFFF"/>
          <w:sz w:val="20"/>
          <w:szCs w:val="20"/>
          <w:shd w:val="clear" w:color="auto" w:fill="0D7377"/>
          <w:lang w:val="fr-FR"/>
        </w:rPr>
        <w:t> 50 </w:t>
      </w:r>
      <w:r>
        <w:rPr>
          <w:rFonts w:eastAsia="Times New Roman"/>
          <w:lang w:val="fr-FR"/>
        </w:rPr>
        <w:t xml:space="preserve"> </w:t>
      </w:r>
      <w:r>
        <w:rPr>
          <w:rStyle w:val="actor-naam1"/>
          <w:rFonts w:eastAsia="Times New Roman"/>
          <w:lang w:val="fr-FR"/>
        </w:rPr>
        <w:t>SOLVIT Belgique</w:t>
      </w:r>
      <w:r>
        <w:rPr>
          <w:rFonts w:eastAsia="Times New Roman"/>
          <w:lang w:val="fr-FR"/>
        </w:rPr>
        <w:br/>
        <w:t>Le centre national belge SOLVIT.</w:t>
      </w:r>
      <w:r>
        <w:rPr>
          <w:rFonts w:eastAsia="Times New Roman"/>
          <w:lang w:val="fr-FR"/>
        </w:rPr>
        <w:br/>
      </w:r>
      <w:r>
        <w:rPr>
          <w:rStyle w:val="actor-rol1"/>
          <w:rFonts w:eastAsia="Times New Roman"/>
          <w:lang w:val="fr-FR"/>
        </w:rPr>
        <w:t>Rôle dans ce dossier :</w:t>
      </w:r>
      <w:r>
        <w:rPr>
          <w:rFonts w:eastAsia="Times New Roman"/>
          <w:lang w:val="fr-FR"/>
        </w:rPr>
        <w:t xml:space="preserve"> se déclare incompétent pour procéder à une analyse de fond et renvoie vers le SOLVIT des Pays-Bas. Refuse également le renvoi vers le ELA. Renvoi circulaire entre deux centres nationaux SOLVIT. </w:t>
      </w:r>
    </w:p>
    <w:p w14:paraId="32FCF541" w14:textId="77777777" w:rsidR="0020702A" w:rsidRDefault="0020702A">
      <w:pPr>
        <w:divId w:val="16779709"/>
        <w:rPr>
          <w:rFonts w:eastAsia="Times New Roman"/>
          <w:lang w:val="fr-FR"/>
        </w:rPr>
      </w:pPr>
      <w:r>
        <w:rPr>
          <w:rFonts w:eastAsia="Times New Roman"/>
          <w:b/>
          <w:bCs/>
          <w:color w:val="FFFFFF"/>
          <w:sz w:val="20"/>
          <w:szCs w:val="20"/>
          <w:shd w:val="clear" w:color="auto" w:fill="0D7377"/>
          <w:lang w:val="fr-FR"/>
        </w:rPr>
        <w:t> 51 </w:t>
      </w:r>
      <w:r>
        <w:rPr>
          <w:rFonts w:eastAsia="Times New Roman"/>
          <w:lang w:val="fr-FR"/>
        </w:rPr>
        <w:t xml:space="preserve"> </w:t>
      </w:r>
      <w:r>
        <w:rPr>
          <w:rStyle w:val="actor-naam1"/>
          <w:rFonts w:eastAsia="Times New Roman"/>
          <w:lang w:val="fr-FR"/>
        </w:rPr>
        <w:t>Union du Benelux :</w:t>
      </w:r>
      <w:r>
        <w:rPr>
          <w:rFonts w:eastAsia="Times New Roman"/>
          <w:lang w:val="fr-FR"/>
        </w:rPr>
        <w:t xml:space="preserve"> collaboration intergouvernementale entre la Belgique, les Pays-Bas et le Luxembourg.</w:t>
      </w:r>
      <w:r>
        <w:rPr>
          <w:rFonts w:eastAsia="Times New Roman"/>
          <w:lang w:val="fr-FR"/>
        </w:rPr>
        <w:br/>
      </w:r>
      <w:r>
        <w:rPr>
          <w:rStyle w:val="actor-rol1"/>
          <w:rFonts w:eastAsia="Times New Roman"/>
          <w:lang w:val="fr-FR"/>
        </w:rPr>
        <w:t>Rôle dans ce dossier :</w:t>
      </w:r>
      <w:r>
        <w:rPr>
          <w:rFonts w:eastAsia="Times New Roman"/>
          <w:lang w:val="fr-FR"/>
        </w:rPr>
        <w:t xml:space="preserve"> confirme l’existence du problème après une lecture attentive, mais ne traite pas de dossiers individuels et n’a pas le pouvoir de modifier la réglementation européenne. </w:t>
      </w:r>
    </w:p>
    <w:p w14:paraId="2D59A052" w14:textId="77777777" w:rsidR="0020702A" w:rsidRDefault="0020702A">
      <w:pPr>
        <w:divId w:val="486478371"/>
        <w:rPr>
          <w:rFonts w:eastAsia="Times New Roman"/>
          <w:lang w:val="fr-FR"/>
        </w:rPr>
      </w:pPr>
      <w:r>
        <w:rPr>
          <w:rFonts w:eastAsia="Times New Roman"/>
          <w:b/>
          <w:bCs/>
          <w:color w:val="FFFFFF"/>
          <w:sz w:val="20"/>
          <w:szCs w:val="20"/>
          <w:shd w:val="clear" w:color="auto" w:fill="0D7377"/>
          <w:lang w:val="fr-FR"/>
        </w:rPr>
        <w:t> 52 </w:t>
      </w:r>
      <w:r>
        <w:rPr>
          <w:rFonts w:eastAsia="Times New Roman"/>
          <w:lang w:val="fr-FR"/>
        </w:rPr>
        <w:t xml:space="preserve"> </w:t>
      </w:r>
      <w:r>
        <w:rPr>
          <w:rStyle w:val="actor-naam1"/>
          <w:rFonts w:eastAsia="Times New Roman"/>
          <w:lang w:val="fr-FR"/>
        </w:rPr>
        <w:t>GrensInfoPunt (GIP)</w:t>
      </w:r>
      <w:r>
        <w:rPr>
          <w:rFonts w:eastAsia="Times New Roman"/>
          <w:lang w:val="fr-FR"/>
        </w:rPr>
        <w:br/>
        <w:t>Service d’information eurorégional destiné aux travailleurs frontaliers.</w:t>
      </w:r>
      <w:r>
        <w:rPr>
          <w:rFonts w:eastAsia="Times New Roman"/>
          <w:lang w:val="fr-FR"/>
        </w:rPr>
        <w:br/>
      </w:r>
      <w:r>
        <w:rPr>
          <w:rStyle w:val="actor-rol1"/>
          <w:rFonts w:eastAsia="Times New Roman"/>
          <w:lang w:val="fr-FR"/>
        </w:rPr>
        <w:t>Rôle dans ce dossier :</w:t>
      </w:r>
      <w:r>
        <w:rPr>
          <w:rFonts w:eastAsia="Times New Roman"/>
          <w:lang w:val="fr-FR"/>
        </w:rPr>
        <w:t xml:space="preserve"> fournit des informations théoriques précises, mais ne dispose d’aucun pouvoir d’exécution. Refuse de signaler une erreur systémique avérée comme obstacle frontalier, en invoquant la neutralité. </w:t>
      </w:r>
    </w:p>
    <w:p w14:paraId="62683E3B" w14:textId="77777777" w:rsidR="0020702A" w:rsidRDefault="0020702A">
      <w:pPr>
        <w:pStyle w:val="Kop4"/>
        <w:divId w:val="1419013937"/>
        <w:rPr>
          <w:rFonts w:eastAsia="Times New Roman"/>
          <w:lang w:val="fr-FR"/>
        </w:rPr>
      </w:pPr>
      <w:r>
        <w:rPr>
          <w:rFonts w:eastAsia="Times New Roman"/>
          <w:lang w:val="fr-FR"/>
        </w:rPr>
        <w:t>Répercussions sociales</w:t>
      </w:r>
    </w:p>
    <w:p w14:paraId="54285278" w14:textId="77777777" w:rsidR="0020702A" w:rsidRDefault="0020702A">
      <w:pPr>
        <w:divId w:val="1300962287"/>
        <w:rPr>
          <w:rFonts w:eastAsia="Times New Roman"/>
          <w:lang w:val="fr-FR"/>
        </w:rPr>
      </w:pPr>
      <w:r>
        <w:rPr>
          <w:rFonts w:eastAsia="Times New Roman"/>
          <w:b/>
          <w:bCs/>
          <w:color w:val="FFFFFF"/>
          <w:sz w:val="20"/>
          <w:szCs w:val="20"/>
          <w:shd w:val="clear" w:color="auto" w:fill="0D7377"/>
          <w:lang w:val="fr-FR"/>
        </w:rPr>
        <w:t> 53 </w:t>
      </w:r>
      <w:r>
        <w:rPr>
          <w:rFonts w:eastAsia="Times New Roman"/>
          <w:lang w:val="fr-FR"/>
        </w:rPr>
        <w:t xml:space="preserve"> </w:t>
      </w:r>
      <w:r>
        <w:rPr>
          <w:rStyle w:val="actor-naam1"/>
          <w:rFonts w:eastAsia="Times New Roman"/>
          <w:lang w:val="fr-FR"/>
        </w:rPr>
        <w:t>Défense stratégique des intérêts (PILP et autres)</w:t>
      </w:r>
      <w:r>
        <w:rPr>
          <w:rFonts w:eastAsia="Times New Roman"/>
          <w:lang w:val="fr-FR"/>
        </w:rPr>
        <w:br/>
        <w:t>Organisations de défense des droits de l’homme et initiatives d’aide juridique.</w:t>
      </w:r>
      <w:r>
        <w:rPr>
          <w:rFonts w:eastAsia="Times New Roman"/>
          <w:lang w:val="fr-FR"/>
        </w:rPr>
        <w:br/>
      </w:r>
      <w:r>
        <w:rPr>
          <w:rStyle w:val="actor-rol1"/>
          <w:rFonts w:eastAsia="Times New Roman"/>
          <w:lang w:val="fr-FR"/>
        </w:rPr>
        <w:t>Rôle dans ce dossier :</w:t>
      </w:r>
      <w:r>
        <w:rPr>
          <w:rFonts w:eastAsia="Times New Roman"/>
          <w:lang w:val="fr-FR"/>
        </w:rPr>
        <w:t xml:space="preserve"> reçoivent le dossier, en reconnaissent la valeur, l’utilisent comme argumentaire pour de futures procédures. N’apportent pas de solution curative immédiate au dossier individuel. </w:t>
      </w:r>
    </w:p>
    <w:p w14:paraId="29F0BB28" w14:textId="77777777" w:rsidR="0020702A" w:rsidRDefault="0020702A">
      <w:pPr>
        <w:divId w:val="1100838128"/>
        <w:rPr>
          <w:rFonts w:eastAsia="Times New Roman"/>
          <w:lang w:val="fr-FR"/>
        </w:rPr>
      </w:pPr>
      <w:r>
        <w:rPr>
          <w:rFonts w:eastAsia="Times New Roman"/>
          <w:b/>
          <w:bCs/>
          <w:color w:val="FFFFFF"/>
          <w:sz w:val="20"/>
          <w:szCs w:val="20"/>
          <w:shd w:val="clear" w:color="auto" w:fill="0D7377"/>
          <w:lang w:val="fr-FR"/>
        </w:rPr>
        <w:t> 54 </w:t>
      </w:r>
      <w:r>
        <w:rPr>
          <w:rFonts w:eastAsia="Times New Roman"/>
          <w:lang w:val="fr-FR"/>
        </w:rPr>
        <w:t xml:space="preserve"> </w:t>
      </w:r>
      <w:r>
        <w:rPr>
          <w:rStyle w:val="actor-naam1"/>
          <w:rFonts w:eastAsia="Times New Roman"/>
          <w:lang w:val="fr-FR"/>
        </w:rPr>
        <w:t>Couche d’observation académique (ITEM et autres)</w:t>
      </w:r>
      <w:r>
        <w:rPr>
          <w:rFonts w:eastAsia="Times New Roman"/>
          <w:lang w:val="fr-FR"/>
        </w:rPr>
        <w:br/>
        <w:t>Instituts de recherche scientifique spécialisés dans la coopération transfrontalière.</w:t>
      </w:r>
      <w:r>
        <w:rPr>
          <w:rFonts w:eastAsia="Times New Roman"/>
          <w:lang w:val="fr-FR"/>
        </w:rPr>
        <w:br/>
      </w:r>
      <w:r>
        <w:rPr>
          <w:rStyle w:val="actor-rol1"/>
          <w:rFonts w:eastAsia="Times New Roman"/>
          <w:lang w:val="fr-FR"/>
        </w:rPr>
        <w:t>Rôle dans ce dossier :</w:t>
      </w:r>
      <w:r>
        <w:rPr>
          <w:rFonts w:eastAsia="Times New Roman"/>
          <w:lang w:val="fr-FR"/>
        </w:rPr>
        <w:t xml:space="preserve"> publient régulièrement sur les défaillances transfrontalières, mais ne réagissent pas pendant des mois à un cas concret. Lorsque le dossier franchit le seuil académique à l’automne 2026, l’institut entame une étude approfondie. </w:t>
      </w:r>
    </w:p>
    <w:p w14:paraId="1348C726" w14:textId="77777777" w:rsidR="0020702A" w:rsidRDefault="0020702A">
      <w:pPr>
        <w:divId w:val="1053505833"/>
        <w:rPr>
          <w:rFonts w:eastAsia="Times New Roman"/>
          <w:lang w:val="fr-FR"/>
        </w:rPr>
      </w:pPr>
      <w:r>
        <w:rPr>
          <w:rFonts w:eastAsia="Times New Roman"/>
          <w:b/>
          <w:bCs/>
          <w:color w:val="FFFFFF"/>
          <w:sz w:val="20"/>
          <w:szCs w:val="20"/>
          <w:shd w:val="clear" w:color="auto" w:fill="0D7377"/>
          <w:lang w:val="fr-FR"/>
        </w:rPr>
        <w:t> 55 </w:t>
      </w:r>
      <w:r>
        <w:rPr>
          <w:rFonts w:eastAsia="Times New Roman"/>
          <w:lang w:val="fr-FR"/>
        </w:rPr>
        <w:t xml:space="preserve"> </w:t>
      </w:r>
      <w:r>
        <w:rPr>
          <w:rStyle w:val="actor-naam1"/>
          <w:rFonts w:eastAsia="Times New Roman"/>
          <w:lang w:val="fr-FR"/>
        </w:rPr>
        <w:t>Médias et intellectuels publics</w:t>
      </w:r>
      <w:r>
        <w:rPr>
          <w:rFonts w:eastAsia="Times New Roman"/>
          <w:lang w:val="fr-FR"/>
        </w:rPr>
        <w:t xml:space="preserve"> Journalisme d’investigation et faiseurs d’opinion publique.</w:t>
      </w:r>
      <w:r>
        <w:rPr>
          <w:rFonts w:eastAsia="Times New Roman"/>
          <w:lang w:val="fr-FR"/>
        </w:rPr>
        <w:br/>
      </w:r>
      <w:r>
        <w:rPr>
          <w:rStyle w:val="actor-rol1"/>
          <w:rFonts w:eastAsia="Times New Roman"/>
          <w:lang w:val="fr-FR"/>
        </w:rPr>
        <w:t>Rôle dans ce dossier :</w:t>
      </w:r>
      <w:r>
        <w:rPr>
          <w:rFonts w:eastAsia="Times New Roman"/>
          <w:lang w:val="fr-FR"/>
        </w:rPr>
        <w:t xml:space="preserve"> se voient présenter le dossier. La résonance est éphémère : un article génère une pression de courte durée mais ne modifie pas l’architecture. Les algorithmes ne lisent pas les journaux. </w:t>
      </w:r>
    </w:p>
    <w:p w14:paraId="6A0CB992" w14:textId="77777777" w:rsidR="0020702A" w:rsidRDefault="0020702A">
      <w:pPr>
        <w:divId w:val="1841433563"/>
        <w:rPr>
          <w:rFonts w:eastAsia="Times New Roman"/>
          <w:lang w:val="fr-FR"/>
        </w:rPr>
      </w:pPr>
      <w:r>
        <w:rPr>
          <w:rFonts w:eastAsia="Times New Roman"/>
          <w:b/>
          <w:bCs/>
          <w:color w:val="FFFFFF"/>
          <w:sz w:val="20"/>
          <w:szCs w:val="20"/>
          <w:shd w:val="clear" w:color="auto" w:fill="0D7377"/>
          <w:lang w:val="fr-FR"/>
        </w:rPr>
        <w:t> 56 </w:t>
      </w:r>
      <w:r>
        <w:rPr>
          <w:rFonts w:eastAsia="Times New Roman"/>
          <w:lang w:val="fr-FR"/>
        </w:rPr>
        <w:t xml:space="preserve"> </w:t>
      </w:r>
      <w:r>
        <w:rPr>
          <w:rStyle w:val="actor-naam1"/>
          <w:rFonts w:eastAsia="Times New Roman"/>
          <w:lang w:val="fr-FR"/>
        </w:rPr>
        <w:t>HCDH / Nations unies</w:t>
      </w:r>
      <w:r>
        <w:rPr>
          <w:rFonts w:eastAsia="Times New Roman"/>
          <w:lang w:val="fr-FR"/>
        </w:rPr>
        <w:br/>
        <w:t>L’organe des Nations unies chargé des droits de l’homme, y compris le Comité CRPD.</w:t>
      </w:r>
      <w:r>
        <w:rPr>
          <w:rFonts w:eastAsia="Times New Roman"/>
          <w:lang w:val="fr-FR"/>
        </w:rPr>
        <w:br/>
      </w:r>
      <w:r>
        <w:rPr>
          <w:rStyle w:val="actor-rol1"/>
          <w:rFonts w:eastAsia="Times New Roman"/>
          <w:lang w:val="fr-FR"/>
        </w:rPr>
        <w:t>Rôle dans ce dossier :</w:t>
      </w:r>
      <w:r>
        <w:rPr>
          <w:rFonts w:eastAsia="Times New Roman"/>
          <w:lang w:val="fr-FR"/>
        </w:rPr>
        <w:t xml:space="preserve"> établit les normes internationales en matière de droits de l’homme auxquelles la Belgique et les Pays-Bas se sont engagés. Ne dispose d’aucun moyen de contrôle permettant de corriger une instance nationale de mise en œuvre défaillante. </w:t>
      </w:r>
    </w:p>
    <w:p w14:paraId="0537FBCC" w14:textId="77777777" w:rsidR="0020702A" w:rsidRDefault="0020702A">
      <w:pPr>
        <w:pStyle w:val="Kop3"/>
        <w:divId w:val="1419013937"/>
        <w:rPr>
          <w:rFonts w:eastAsia="Times New Roman"/>
          <w:lang w:val="fr-FR"/>
        </w:rPr>
      </w:pPr>
      <w:bookmarkStart w:id="17" w:name="_Toc242103257"/>
      <w:r>
        <w:rPr>
          <w:rFonts w:eastAsia="Times New Roman"/>
          <w:lang w:val="fr-FR"/>
        </w:rPr>
        <w:t>Partie I-C — Les relations</w:t>
      </w:r>
      <w:bookmarkEnd w:id="17"/>
    </w:p>
    <w:p w14:paraId="4FC367D9" w14:textId="77777777" w:rsidR="0020702A" w:rsidRDefault="0020702A">
      <w:pPr>
        <w:pStyle w:val="Normaalweb"/>
        <w:divId w:val="1419013937"/>
        <w:rPr>
          <w:lang w:val="fr-FR"/>
        </w:rPr>
      </w:pPr>
      <w:r>
        <w:rPr>
          <w:lang w:val="fr-FR"/>
        </w:rPr>
        <w:t>Les acteurs sur l’échiquier ne sont pas des entités isolées. Ils s’inscrivent dans des relations d’autorité et de données bien définies qui délimitent l’espace dans lequel la famille doit évoluer. Le cœur du vide de compétences réside dans le fait que ces relations sont organisées de telle sorte qu’aucun acteur n’assume la responsabilité finale de l’ensemble.</w:t>
      </w:r>
    </w:p>
    <w:tbl>
      <w:tblPr>
        <w:tblW w:w="5000" w:type="pct"/>
        <w:tblCellMar>
          <w:top w:w="15" w:type="dxa"/>
          <w:left w:w="15" w:type="dxa"/>
          <w:bottom w:w="15" w:type="dxa"/>
          <w:right w:w="15" w:type="dxa"/>
        </w:tblCellMar>
        <w:tblLook w:val="04A0" w:firstRow="1" w:lastRow="0" w:firstColumn="1" w:lastColumn="0" w:noHBand="0" w:noVBand="1"/>
      </w:tblPr>
      <w:tblGrid>
        <w:gridCol w:w="2173"/>
        <w:gridCol w:w="2355"/>
        <w:gridCol w:w="2355"/>
        <w:gridCol w:w="2173"/>
      </w:tblGrid>
      <w:tr w:rsidR="00000000" w14:paraId="7EFE5D84" w14:textId="77777777">
        <w:trPr>
          <w:divId w:val="1419013937"/>
          <w:tblHeader/>
        </w:trPr>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673C627"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Relation</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285833B"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Autorité formelle</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7087010"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Pratique effective</w:t>
            </w:r>
          </w:p>
        </w:tc>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9BFD294"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Conséquence pour la famille</w:t>
            </w:r>
          </w:p>
        </w:tc>
      </w:tr>
      <w:tr w:rsidR="00000000" w14:paraId="6E2B9DB7"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56846A" w14:textId="77777777" w:rsidR="0020702A" w:rsidRDefault="0020702A">
            <w:pPr>
              <w:spacing w:before="200" w:after="360"/>
              <w:rPr>
                <w:rFonts w:eastAsia="Times New Roman"/>
                <w:sz w:val="21"/>
                <w:szCs w:val="21"/>
              </w:rPr>
            </w:pPr>
            <w:r>
              <w:rPr>
                <w:rStyle w:val="Zwaar"/>
                <w:rFonts w:eastAsia="Times New Roman"/>
                <w:sz w:val="21"/>
                <w:szCs w:val="21"/>
              </w:rPr>
              <w:t>Autorité de contrôle ↔ exécutant</w:t>
            </w:r>
            <w:r>
              <w:rPr>
                <w:rFonts w:eastAsia="Times New Roman"/>
                <w:sz w:val="21"/>
                <w:szCs w:val="21"/>
              </w:rPr>
              <w:br/>
            </w:r>
            <w:r>
              <w:rPr>
                <w:rStyle w:val="badge-be1"/>
                <w:rFonts w:eastAsia="Times New Roman"/>
                <w:sz w:val="21"/>
                <w:szCs w:val="21"/>
              </w:rPr>
              <w:t>BE</w:t>
            </w:r>
            <w:r>
              <w:rPr>
                <w:rFonts w:eastAsia="Times New Roman"/>
                <w:sz w:val="21"/>
                <w:szCs w:val="21"/>
              </w:rPr>
              <w:t xml:space="preserve"> INAMI, OCM → MC</w:t>
            </w:r>
            <w:r>
              <w:rPr>
                <w:rFonts w:eastAsia="Times New Roman"/>
                <w:sz w:val="21"/>
                <w:szCs w:val="21"/>
              </w:rPr>
              <w:br/>
            </w:r>
            <w:r>
              <w:rPr>
                <w:rStyle w:val="badge-nl1"/>
                <w:rFonts w:eastAsia="Times New Roman"/>
                <w:sz w:val="21"/>
                <w:szCs w:val="21"/>
              </w:rPr>
              <w:t>NL</w:t>
            </w:r>
            <w:r>
              <w:rPr>
                <w:rFonts w:eastAsia="Times New Roman"/>
                <w:sz w:val="21"/>
                <w:szCs w:val="21"/>
              </w:rPr>
              <w:t xml:space="preserve"> ZIN → CZ</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22D344" w14:textId="77777777" w:rsidR="0020702A" w:rsidRDefault="0020702A">
            <w:pPr>
              <w:spacing w:before="200" w:after="360"/>
              <w:rPr>
                <w:rFonts w:eastAsia="Times New Roman"/>
                <w:sz w:val="21"/>
                <w:szCs w:val="21"/>
              </w:rPr>
            </w:pPr>
            <w:r>
              <w:rPr>
                <w:rFonts w:eastAsia="Times New Roman"/>
                <w:sz w:val="21"/>
                <w:szCs w:val="21"/>
              </w:rPr>
              <w:t>Les autorités de contrôle régulent les agents d'exécution et peuvent édicter des directives.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0F9BD1" w14:textId="77777777" w:rsidR="0020702A" w:rsidRDefault="0020702A">
            <w:pPr>
              <w:spacing w:before="200" w:after="360"/>
              <w:rPr>
                <w:rFonts w:eastAsia="Times New Roman"/>
                <w:sz w:val="21"/>
                <w:szCs w:val="21"/>
              </w:rPr>
            </w:pPr>
            <w:r>
              <w:rPr>
                <w:rFonts w:eastAsia="Times New Roman"/>
                <w:sz w:val="21"/>
                <w:szCs w:val="21"/>
              </w:rPr>
              <w:t>Pas de mandat d’intervention contraignant dans les dossiers individuels. L’agent décide de manière autonome au guichet.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D958AC" w14:textId="77777777" w:rsidR="0020702A" w:rsidRDefault="0020702A">
            <w:pPr>
              <w:spacing w:before="200" w:after="360"/>
              <w:rPr>
                <w:rFonts w:eastAsia="Times New Roman"/>
                <w:sz w:val="21"/>
                <w:szCs w:val="21"/>
              </w:rPr>
            </w:pPr>
            <w:r>
              <w:rPr>
                <w:rFonts w:eastAsia="Times New Roman"/>
                <w:sz w:val="21"/>
                <w:szCs w:val="21"/>
              </w:rPr>
              <w:t>Les réclamations adressées à l'autorité de contrôle ne permettent pas de lever un blocage concret.</w:t>
            </w:r>
          </w:p>
        </w:tc>
      </w:tr>
      <w:tr w:rsidR="00000000" w14:paraId="5E5A5F83"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A4E7084" w14:textId="77777777" w:rsidR="0020702A" w:rsidRDefault="0020702A">
            <w:pPr>
              <w:spacing w:before="200" w:after="360"/>
              <w:rPr>
                <w:rFonts w:eastAsia="Times New Roman"/>
                <w:sz w:val="21"/>
                <w:szCs w:val="21"/>
              </w:rPr>
            </w:pPr>
            <w:r>
              <w:rPr>
                <w:rStyle w:val="Zwaar"/>
                <w:rFonts w:eastAsia="Times New Roman"/>
                <w:sz w:val="21"/>
                <w:szCs w:val="21"/>
              </w:rPr>
              <w:t>Ministères fédéraux ↔ ministères</w:t>
            </w:r>
            <w:r>
              <w:rPr>
                <w:rFonts w:eastAsia="Times New Roman"/>
                <w:sz w:val="21"/>
                <w:szCs w:val="21"/>
              </w:rPr>
              <w:br/>
            </w:r>
            <w:r>
              <w:rPr>
                <w:rStyle w:val="Zwaar"/>
                <w:rFonts w:eastAsia="Times New Roman"/>
                <w:sz w:val="21"/>
                <w:szCs w:val="21"/>
              </w:rPr>
              <w:t>fédéraux</w:t>
            </w:r>
            <w:r>
              <w:rPr>
                <w:rFonts w:eastAsia="Times New Roman"/>
                <w:sz w:val="21"/>
                <w:szCs w:val="21"/>
              </w:rPr>
              <w:t xml:space="preserve"> </w:t>
            </w:r>
            <w:r>
              <w:rPr>
                <w:rStyle w:val="badge-be1"/>
                <w:rFonts w:eastAsia="Times New Roman"/>
                <w:sz w:val="21"/>
                <w:szCs w:val="21"/>
              </w:rPr>
              <w:t>BE</w:t>
            </w:r>
            <w:r>
              <w:rPr>
                <w:rFonts w:eastAsia="Times New Roman"/>
                <w:sz w:val="21"/>
                <w:szCs w:val="21"/>
              </w:rPr>
              <w:t xml:space="preserve"> SPF SZ → SPF Fin</w:t>
            </w:r>
            <w:r>
              <w:rPr>
                <w:rFonts w:eastAsia="Times New Roman"/>
                <w:sz w:val="21"/>
                <w:szCs w:val="21"/>
              </w:rPr>
              <w:br/>
            </w:r>
            <w:r>
              <w:rPr>
                <w:rStyle w:val="badge-nl1"/>
                <w:rFonts w:eastAsia="Times New Roman"/>
                <w:sz w:val="21"/>
                <w:szCs w:val="21"/>
              </w:rPr>
              <w:t>NL</w:t>
            </w:r>
            <w:r>
              <w:rPr>
                <w:rFonts w:eastAsia="Times New Roman"/>
                <w:sz w:val="21"/>
                <w:szCs w:val="21"/>
              </w:rPr>
              <w:t xml:space="preserve"> SVB → Allocations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3F3552" w14:textId="77777777" w:rsidR="0020702A" w:rsidRDefault="0020702A">
            <w:pPr>
              <w:spacing w:before="200" w:after="360"/>
              <w:rPr>
                <w:rFonts w:eastAsia="Times New Roman"/>
                <w:sz w:val="21"/>
                <w:szCs w:val="21"/>
              </w:rPr>
            </w:pPr>
            <w:r>
              <w:rPr>
                <w:rFonts w:eastAsia="Times New Roman"/>
                <w:sz w:val="21"/>
                <w:szCs w:val="21"/>
              </w:rPr>
              <w:t>Services parallèles dotés de leurs propres mandats légaux.</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9ED5B8F" w14:textId="77777777" w:rsidR="0020702A" w:rsidRDefault="0020702A">
            <w:pPr>
              <w:spacing w:before="200" w:after="360"/>
              <w:rPr>
                <w:rFonts w:eastAsia="Times New Roman"/>
                <w:sz w:val="21"/>
                <w:szCs w:val="21"/>
              </w:rPr>
            </w:pPr>
            <w:r>
              <w:rPr>
                <w:rFonts w:eastAsia="Times New Roman"/>
                <w:sz w:val="21"/>
                <w:szCs w:val="21"/>
              </w:rPr>
              <w:t>Chaque service décide de manière autonome dans son propre cadre légal. Les attestations délivrées par l’un ne lient pas l’autre.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1DE75CF" w14:textId="77777777" w:rsidR="0020702A" w:rsidRDefault="0020702A">
            <w:pPr>
              <w:spacing w:before="200" w:after="360"/>
              <w:rPr>
                <w:rFonts w:eastAsia="Times New Roman"/>
                <w:sz w:val="21"/>
                <w:szCs w:val="21"/>
              </w:rPr>
            </w:pPr>
            <w:r>
              <w:rPr>
                <w:rFonts w:eastAsia="Times New Roman"/>
                <w:sz w:val="21"/>
                <w:szCs w:val="21"/>
              </w:rPr>
              <w:t>La reconnaissance médicale ne conduit pas automatiquement à une protection fiscale.</w:t>
            </w:r>
          </w:p>
        </w:tc>
      </w:tr>
      <w:tr w:rsidR="00000000" w14:paraId="6B9141C9"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0F1236" w14:textId="77777777" w:rsidR="0020702A" w:rsidRDefault="0020702A">
            <w:pPr>
              <w:spacing w:before="200" w:after="360"/>
              <w:rPr>
                <w:rFonts w:eastAsia="Times New Roman"/>
                <w:sz w:val="21"/>
                <w:szCs w:val="21"/>
              </w:rPr>
            </w:pPr>
            <w:r>
              <w:rPr>
                <w:rFonts w:eastAsia="Times New Roman"/>
                <w:sz w:val="21"/>
                <w:szCs w:val="21"/>
              </w:rPr>
              <w:t xml:space="preserve">Chaîne de données </w:t>
            </w:r>
            <w:r>
              <w:rPr>
                <w:rFonts w:eastAsia="Times New Roman"/>
                <w:sz w:val="21"/>
                <w:szCs w:val="21"/>
              </w:rPr>
              <w:br/>
              <w:t>MC → BCSS → Parentia / 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93A717D" w14:textId="77777777" w:rsidR="0020702A" w:rsidRDefault="0020702A">
            <w:pPr>
              <w:spacing w:before="200" w:after="360"/>
              <w:rPr>
                <w:rFonts w:eastAsia="Times New Roman"/>
                <w:sz w:val="21"/>
                <w:szCs w:val="21"/>
              </w:rPr>
            </w:pPr>
            <w:r>
              <w:rPr>
                <w:rFonts w:eastAsia="Times New Roman"/>
                <w:sz w:val="21"/>
                <w:szCs w:val="21"/>
              </w:rPr>
              <w:t>Échange légal de données via la Banque-Carrefour et le réseau européen EESSI.</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220BA60" w14:textId="77777777" w:rsidR="0020702A" w:rsidRDefault="0020702A">
            <w:pPr>
              <w:spacing w:before="200" w:after="360"/>
              <w:rPr>
                <w:rFonts w:eastAsia="Times New Roman"/>
                <w:sz w:val="21"/>
                <w:szCs w:val="21"/>
              </w:rPr>
            </w:pPr>
            <w:r>
              <w:rPr>
                <w:rFonts w:eastAsia="Times New Roman"/>
                <w:sz w:val="21"/>
                <w:szCs w:val="21"/>
              </w:rPr>
              <w:t>Parentia et SVB dépendent entièrement du code source saisi par MC. Si MC ne fournit pas les données, toute la chaîne s'arrête.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9AD95A" w14:textId="77777777" w:rsidR="0020702A" w:rsidRDefault="0020702A">
            <w:pPr>
              <w:spacing w:before="200" w:after="360"/>
              <w:rPr>
                <w:rFonts w:eastAsia="Times New Roman"/>
                <w:sz w:val="21"/>
                <w:szCs w:val="21"/>
              </w:rPr>
            </w:pPr>
            <w:r>
              <w:rPr>
                <w:rFonts w:eastAsia="Times New Roman"/>
                <w:sz w:val="21"/>
                <w:szCs w:val="21"/>
              </w:rPr>
              <w:t>Les allocations familiales et les compléments sociaux sont gelés sans que le bénéficiaire puisse intervenir.</w:t>
            </w:r>
          </w:p>
        </w:tc>
      </w:tr>
      <w:tr w:rsidR="00000000" w14:paraId="70C7CE53"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95B208" w14:textId="77777777" w:rsidR="0020702A" w:rsidRDefault="0020702A">
            <w:pPr>
              <w:spacing w:before="200" w:after="360"/>
              <w:rPr>
                <w:rFonts w:eastAsia="Times New Roman"/>
                <w:sz w:val="21"/>
                <w:szCs w:val="21"/>
              </w:rPr>
            </w:pPr>
            <w:r>
              <w:rPr>
                <w:rStyle w:val="Zwaar"/>
                <w:rFonts w:eastAsia="Times New Roman"/>
                <w:sz w:val="21"/>
                <w:szCs w:val="21"/>
              </w:rPr>
              <w:t>Infrastructure</w:t>
            </w:r>
            <w:r>
              <w:rPr>
                <w:rFonts w:eastAsia="Times New Roman"/>
                <w:sz w:val="21"/>
                <w:szCs w:val="21"/>
              </w:rPr>
              <w:br/>
            </w:r>
            <w:r>
              <w:rPr>
                <w:rStyle w:val="Zwaar"/>
                <w:rFonts w:eastAsia="Times New Roman"/>
                <w:sz w:val="21"/>
                <w:szCs w:val="21"/>
              </w:rPr>
              <w:t>de l’UE</w:t>
            </w:r>
            <w:r>
              <w:rPr>
                <w:rFonts w:eastAsia="Times New Roman"/>
                <w:sz w:val="21"/>
                <w:szCs w:val="21"/>
              </w:rPr>
              <w:t xml:space="preserve"> </w:t>
            </w:r>
            <w:r>
              <w:rPr>
                <w:rStyle w:val="badge-eu1"/>
                <w:rFonts w:eastAsia="Times New Roman"/>
                <w:sz w:val="21"/>
                <w:szCs w:val="21"/>
              </w:rPr>
              <w:t>Canal 1</w:t>
            </w:r>
            <w:r>
              <w:rPr>
                <w:rFonts w:eastAsia="Times New Roman"/>
                <w:sz w:val="21"/>
                <w:szCs w:val="21"/>
              </w:rPr>
              <w:t xml:space="preserve"> SPF Fin ↔ Administration fiscale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FDBBA0C" w14:textId="77777777" w:rsidR="0020702A" w:rsidRDefault="0020702A">
            <w:pPr>
              <w:spacing w:before="200" w:after="360"/>
              <w:rPr>
                <w:rFonts w:eastAsia="Times New Roman"/>
                <w:sz w:val="21"/>
                <w:szCs w:val="21"/>
              </w:rPr>
            </w:pPr>
            <w:r>
              <w:rPr>
                <w:rFonts w:eastAsia="Times New Roman"/>
                <w:sz w:val="21"/>
                <w:szCs w:val="21"/>
              </w:rPr>
              <w:t>Relier par les directives européennes (DAC) et la convention fiscale bilatérale.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B7D095D" w14:textId="77777777" w:rsidR="0020702A" w:rsidRDefault="0020702A">
            <w:pPr>
              <w:spacing w:before="200" w:after="360"/>
              <w:rPr>
                <w:rFonts w:eastAsia="Times New Roman"/>
                <w:sz w:val="21"/>
                <w:szCs w:val="21"/>
              </w:rPr>
            </w:pPr>
            <w:r>
              <w:rPr>
                <w:rFonts w:eastAsia="Times New Roman"/>
                <w:sz w:val="21"/>
                <w:szCs w:val="21"/>
              </w:rPr>
              <w:t>Échange entièrement automatisé sur les revenus mondiaux. Transparence maximale pour la perception et le recouvrement.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DD3F08" w14:textId="77777777" w:rsidR="0020702A" w:rsidRDefault="0020702A">
            <w:pPr>
              <w:spacing w:before="200" w:after="360"/>
              <w:rPr>
                <w:rFonts w:eastAsia="Times New Roman"/>
                <w:sz w:val="21"/>
                <w:szCs w:val="21"/>
              </w:rPr>
            </w:pPr>
            <w:r>
              <w:rPr>
                <w:rFonts w:eastAsia="Times New Roman"/>
                <w:sz w:val="21"/>
                <w:szCs w:val="21"/>
              </w:rPr>
              <w:t>L’UE dispose de toutes les informations sur les revenus, mais n’offre aucun filet de sécurité en cas de perte de ceux-ci.</w:t>
            </w:r>
          </w:p>
        </w:tc>
      </w:tr>
      <w:tr w:rsidR="00000000" w14:paraId="6B345C4C"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433DBD" w14:textId="77777777" w:rsidR="0020702A" w:rsidRDefault="0020702A">
            <w:pPr>
              <w:spacing w:before="200" w:after="360"/>
              <w:rPr>
                <w:rFonts w:eastAsia="Times New Roman"/>
                <w:sz w:val="21"/>
                <w:szCs w:val="21"/>
              </w:rPr>
            </w:pPr>
            <w:r>
              <w:rPr>
                <w:rStyle w:val="Zwaar"/>
                <w:rFonts w:eastAsia="Times New Roman"/>
                <w:sz w:val="21"/>
                <w:szCs w:val="21"/>
              </w:rPr>
              <w:t>Canal</w:t>
            </w:r>
            <w:r>
              <w:rPr>
                <w:rFonts w:eastAsia="Times New Roman"/>
                <w:sz w:val="21"/>
                <w:szCs w:val="21"/>
              </w:rPr>
              <w:br/>
            </w:r>
            <w:r>
              <w:rPr>
                <w:rStyle w:val="Zwaar"/>
                <w:rFonts w:eastAsia="Times New Roman"/>
                <w:sz w:val="21"/>
                <w:szCs w:val="21"/>
              </w:rPr>
              <w:t>conventionnel</w:t>
            </w:r>
            <w:r>
              <w:rPr>
                <w:rFonts w:eastAsia="Times New Roman"/>
                <w:sz w:val="21"/>
                <w:szCs w:val="21"/>
              </w:rPr>
              <w:t xml:space="preserve"> </w:t>
            </w:r>
            <w:r>
              <w:rPr>
                <w:rStyle w:val="badge-mem1"/>
                <w:rFonts w:eastAsia="Times New Roman"/>
                <w:sz w:val="21"/>
                <w:szCs w:val="21"/>
              </w:rPr>
              <w:t>Canal 2</w:t>
            </w:r>
            <w:r>
              <w:rPr>
                <w:rFonts w:eastAsia="Times New Roman"/>
                <w:sz w:val="21"/>
                <w:szCs w:val="21"/>
              </w:rPr>
              <w:t xml:space="preserve"> MC ↔ CZ / CAK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A4519A" w14:textId="77777777" w:rsidR="0020702A" w:rsidRDefault="0020702A">
            <w:pPr>
              <w:spacing w:before="200" w:after="360"/>
              <w:rPr>
                <w:rFonts w:eastAsia="Times New Roman"/>
                <w:sz w:val="21"/>
                <w:szCs w:val="21"/>
              </w:rPr>
            </w:pPr>
            <w:r>
              <w:rPr>
                <w:rFonts w:eastAsia="Times New Roman"/>
                <w:sz w:val="21"/>
                <w:szCs w:val="21"/>
              </w:rPr>
              <w:t>Liaison via le formulaire S072 (règlement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DB67E6" w14:textId="77777777" w:rsidR="0020702A" w:rsidRDefault="0020702A">
            <w:pPr>
              <w:spacing w:before="200" w:after="360"/>
              <w:rPr>
                <w:rFonts w:eastAsia="Times New Roman"/>
                <w:sz w:val="21"/>
                <w:szCs w:val="21"/>
              </w:rPr>
            </w:pPr>
            <w:r>
              <w:rPr>
                <w:rFonts w:eastAsia="Times New Roman"/>
                <w:sz w:val="21"/>
                <w:szCs w:val="21"/>
              </w:rPr>
              <w:t>Canal étroit et ponctuel. Problèmes dès que les soins ou le statut ne correspondent pas au formulaire standard.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2DAC35" w14:textId="77777777" w:rsidR="0020702A" w:rsidRDefault="0020702A">
            <w:pPr>
              <w:spacing w:before="200" w:after="360"/>
              <w:rPr>
                <w:rFonts w:eastAsia="Times New Roman"/>
                <w:sz w:val="21"/>
                <w:szCs w:val="21"/>
              </w:rPr>
            </w:pPr>
            <w:r>
              <w:rPr>
                <w:rFonts w:eastAsia="Times New Roman"/>
                <w:sz w:val="21"/>
                <w:szCs w:val="21"/>
              </w:rPr>
              <w:t>Frictions constantes concernant les autorisations, les plafonds de prise en charge et les tickets modérateurs.</w:t>
            </w:r>
          </w:p>
        </w:tc>
      </w:tr>
      <w:tr w:rsidR="00000000" w14:paraId="779FACF2"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2C5B0CA" w14:textId="77777777" w:rsidR="0020702A" w:rsidRDefault="0020702A">
            <w:pPr>
              <w:spacing w:before="200" w:after="360"/>
              <w:rPr>
                <w:rFonts w:eastAsia="Times New Roman"/>
                <w:sz w:val="21"/>
                <w:szCs w:val="21"/>
              </w:rPr>
            </w:pPr>
            <w:r>
              <w:rPr>
                <w:rStyle w:val="Zwaar"/>
                <w:rFonts w:eastAsia="Times New Roman"/>
                <w:sz w:val="21"/>
                <w:szCs w:val="21"/>
              </w:rPr>
              <w:t>Domaine</w:t>
            </w:r>
            <w:r>
              <w:rPr>
                <w:rFonts w:eastAsia="Times New Roman"/>
                <w:sz w:val="21"/>
                <w:szCs w:val="21"/>
              </w:rPr>
              <w:br/>
            </w:r>
            <w:r>
              <w:rPr>
                <w:rStyle w:val="Zwaar"/>
                <w:rFonts w:eastAsia="Times New Roman"/>
                <w:sz w:val="21"/>
                <w:szCs w:val="21"/>
              </w:rPr>
              <w:t>médical</w:t>
            </w:r>
            <w:r>
              <w:rPr>
                <w:rFonts w:eastAsia="Times New Roman"/>
                <w:sz w:val="21"/>
                <w:szCs w:val="21"/>
              </w:rPr>
              <w:t xml:space="preserve"> </w:t>
            </w:r>
            <w:r>
              <w:rPr>
                <w:rStyle w:val="badge-mem1"/>
                <w:rFonts w:eastAsia="Times New Roman"/>
                <w:sz w:val="21"/>
                <w:szCs w:val="21"/>
              </w:rPr>
              <w:t>Canal 3</w:t>
            </w:r>
            <w:r>
              <w:rPr>
                <w:rFonts w:eastAsia="Times New Roman"/>
                <w:sz w:val="21"/>
                <w:szCs w:val="21"/>
              </w:rPr>
              <w:t xml:space="preserve"> Vitaz · UZ Gent ↔ ZorgSaam · Pallion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1C25DB" w14:textId="77777777" w:rsidR="0020702A" w:rsidRDefault="0020702A">
            <w:pPr>
              <w:spacing w:before="200" w:after="360"/>
              <w:rPr>
                <w:rFonts w:eastAsia="Times New Roman"/>
                <w:sz w:val="21"/>
                <w:szCs w:val="21"/>
              </w:rPr>
            </w:pPr>
            <w:r>
              <w:rPr>
                <w:rFonts w:eastAsia="Times New Roman"/>
                <w:sz w:val="21"/>
                <w:szCs w:val="21"/>
              </w:rPr>
              <w:t>Aucune interconnexion au-delà de la frontière nationale.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3E4E853" w14:textId="77777777" w:rsidR="0020702A" w:rsidRDefault="0020702A">
            <w:pPr>
              <w:spacing w:before="200" w:after="360"/>
              <w:rPr>
                <w:rFonts w:eastAsia="Times New Roman"/>
                <w:sz w:val="21"/>
                <w:szCs w:val="21"/>
              </w:rPr>
            </w:pPr>
            <w:r>
              <w:rPr>
                <w:rFonts w:eastAsia="Times New Roman"/>
                <w:sz w:val="21"/>
                <w:szCs w:val="21"/>
              </w:rPr>
              <w:t>Les systèmes nationaux de dossiers médicaux électroniques sont hermétiquement fermés à la frontière nationale.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FB1809C" w14:textId="77777777" w:rsidR="0020702A" w:rsidRDefault="0020702A">
            <w:pPr>
              <w:spacing w:before="200" w:after="360"/>
              <w:rPr>
                <w:rFonts w:eastAsia="Times New Roman"/>
                <w:sz w:val="21"/>
                <w:szCs w:val="21"/>
              </w:rPr>
            </w:pPr>
            <w:r>
              <w:rPr>
                <w:rFonts w:eastAsia="Times New Roman"/>
                <w:sz w:val="21"/>
                <w:szCs w:val="21"/>
              </w:rPr>
              <w:t>La famille se charge elle-même de transporter les dossiers. Le patient devient le seul lien entre deux systèmes.</w:t>
            </w:r>
          </w:p>
        </w:tc>
      </w:tr>
      <w:tr w:rsidR="00000000" w14:paraId="443CD67E"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3BABCAB" w14:textId="77777777" w:rsidR="0020702A" w:rsidRDefault="0020702A">
            <w:pPr>
              <w:spacing w:before="200" w:after="360"/>
              <w:rPr>
                <w:rFonts w:eastAsia="Times New Roman"/>
                <w:sz w:val="21"/>
                <w:szCs w:val="21"/>
              </w:rPr>
            </w:pPr>
            <w:r>
              <w:rPr>
                <w:rStyle w:val="Zwaar"/>
                <w:rFonts w:eastAsia="Times New Roman"/>
                <w:sz w:val="21"/>
                <w:szCs w:val="21"/>
              </w:rPr>
              <w:t>Politique ↔ mise</w:t>
            </w:r>
            <w:r>
              <w:rPr>
                <w:rFonts w:eastAsia="Times New Roman"/>
                <w:sz w:val="21"/>
                <w:szCs w:val="21"/>
              </w:rPr>
              <w:br/>
            </w:r>
            <w:r>
              <w:rPr>
                <w:rStyle w:val="Zwaar"/>
                <w:rFonts w:eastAsia="Times New Roman"/>
                <w:sz w:val="21"/>
                <w:szCs w:val="21"/>
              </w:rPr>
              <w:t>en œuvre :</w:t>
            </w:r>
            <w:r>
              <w:rPr>
                <w:rFonts w:eastAsia="Times New Roman"/>
                <w:sz w:val="21"/>
                <w:szCs w:val="21"/>
              </w:rPr>
              <w:t xml:space="preserve"> </w:t>
            </w:r>
            <w:r>
              <w:rPr>
                <w:rFonts w:eastAsia="Times New Roman"/>
                <w:sz w:val="21"/>
                <w:szCs w:val="21"/>
              </w:rPr>
              <w:t>Chambre des représentants belge et Chambre des représentants néerlandaise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DE4D697" w14:textId="77777777" w:rsidR="0020702A" w:rsidRDefault="0020702A">
            <w:pPr>
              <w:spacing w:before="200" w:after="360"/>
              <w:rPr>
                <w:rFonts w:eastAsia="Times New Roman"/>
                <w:sz w:val="21"/>
                <w:szCs w:val="21"/>
              </w:rPr>
            </w:pPr>
            <w:r>
              <w:rPr>
                <w:rFonts w:eastAsia="Times New Roman"/>
                <w:sz w:val="21"/>
                <w:szCs w:val="21"/>
              </w:rPr>
              <w:t>Les parlements sont les plus hautes instances législatives et contrôlent le gouvernement.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096353" w14:textId="77777777" w:rsidR="0020702A" w:rsidRDefault="0020702A">
            <w:pPr>
              <w:spacing w:before="200" w:after="360"/>
              <w:rPr>
                <w:rFonts w:eastAsia="Times New Roman"/>
                <w:sz w:val="21"/>
                <w:szCs w:val="21"/>
              </w:rPr>
            </w:pPr>
            <w:r>
              <w:rPr>
                <w:rFonts w:eastAsia="Times New Roman"/>
                <w:sz w:val="21"/>
                <w:szCs w:val="21"/>
              </w:rPr>
              <w:t>La sphère politique n’intervient pas dans les dossiers d’application individuels.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346CC0" w14:textId="77777777" w:rsidR="0020702A" w:rsidRDefault="0020702A">
            <w:pPr>
              <w:spacing w:before="200" w:after="360"/>
              <w:rPr>
                <w:rFonts w:eastAsia="Times New Roman"/>
                <w:sz w:val="21"/>
                <w:szCs w:val="21"/>
              </w:rPr>
            </w:pPr>
            <w:r>
              <w:rPr>
                <w:rFonts w:eastAsia="Times New Roman"/>
                <w:sz w:val="21"/>
                <w:szCs w:val="21"/>
              </w:rPr>
              <w:t>Les failles structurelles de la loi persistent dans la mise en œuvre.</w:t>
            </w:r>
          </w:p>
        </w:tc>
      </w:tr>
      <w:tr w:rsidR="00000000" w14:paraId="05B4C80E"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FD8A52" w14:textId="77777777" w:rsidR="0020702A" w:rsidRDefault="0020702A">
            <w:pPr>
              <w:spacing w:before="200" w:after="360"/>
              <w:rPr>
                <w:rFonts w:eastAsia="Times New Roman"/>
                <w:sz w:val="21"/>
                <w:szCs w:val="21"/>
              </w:rPr>
            </w:pPr>
            <w:r>
              <w:rPr>
                <w:rStyle w:val="Zwaar"/>
                <w:rFonts w:eastAsia="Times New Roman"/>
                <w:sz w:val="21"/>
                <w:szCs w:val="21"/>
              </w:rPr>
              <w:t>UE ↔ États</w:t>
            </w:r>
            <w:r>
              <w:rPr>
                <w:rFonts w:eastAsia="Times New Roman"/>
                <w:sz w:val="21"/>
                <w:szCs w:val="21"/>
              </w:rPr>
              <w:br/>
            </w:r>
            <w:r>
              <w:rPr>
                <w:rStyle w:val="Zwaar"/>
                <w:rFonts w:eastAsia="Times New Roman"/>
                <w:sz w:val="21"/>
                <w:szCs w:val="21"/>
              </w:rPr>
              <w:t>membres –</w:t>
            </w:r>
            <w:r>
              <w:rPr>
                <w:rFonts w:eastAsia="Times New Roman"/>
                <w:sz w:val="21"/>
                <w:szCs w:val="21"/>
              </w:rPr>
              <w:t xml:space="preserve"> </w:t>
            </w:r>
            <w:r>
              <w:rPr>
                <w:rStyle w:val="badge-eu1"/>
                <w:rFonts w:eastAsia="Times New Roman"/>
                <w:sz w:val="21"/>
                <w:szCs w:val="21"/>
              </w:rPr>
              <w:t>niveau externe de l’UE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B050DE" w14:textId="77777777" w:rsidR="0020702A" w:rsidRDefault="0020702A">
            <w:pPr>
              <w:spacing w:before="200" w:after="360"/>
              <w:rPr>
                <w:rFonts w:eastAsia="Times New Roman"/>
                <w:sz w:val="21"/>
                <w:szCs w:val="21"/>
              </w:rPr>
            </w:pPr>
            <w:r>
              <w:rPr>
                <w:rFonts w:eastAsia="Times New Roman"/>
                <w:sz w:val="21"/>
                <w:szCs w:val="21"/>
              </w:rPr>
              <w:t>Le droit de l'Union prime le droit national (règlement n°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1B2FD6" w14:textId="77777777" w:rsidR="0020702A" w:rsidRDefault="0020702A">
            <w:pPr>
              <w:spacing w:before="200" w:after="360"/>
              <w:rPr>
                <w:rFonts w:eastAsia="Times New Roman"/>
                <w:sz w:val="21"/>
                <w:szCs w:val="21"/>
              </w:rPr>
            </w:pPr>
            <w:r>
              <w:rPr>
                <w:rFonts w:eastAsia="Times New Roman"/>
                <w:sz w:val="21"/>
                <w:szCs w:val="21"/>
              </w:rPr>
              <w:t>L'UE ne dispose pas de son propre guichet unique de mise en œuvre. SOLVIT est sans engagement. ELA refuse les citoyens.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0700C0" w14:textId="77777777" w:rsidR="0020702A" w:rsidRDefault="0020702A">
            <w:pPr>
              <w:spacing w:before="200" w:after="360"/>
              <w:rPr>
                <w:rFonts w:eastAsia="Times New Roman"/>
                <w:sz w:val="21"/>
                <w:szCs w:val="21"/>
              </w:rPr>
            </w:pPr>
            <w:r>
              <w:rPr>
                <w:rFonts w:eastAsia="Times New Roman"/>
                <w:sz w:val="21"/>
                <w:szCs w:val="21"/>
              </w:rPr>
              <w:t>Référence circulaire entre Bruxelles et les capitales nationales.</w:t>
            </w:r>
          </w:p>
        </w:tc>
      </w:tr>
      <w:tr w:rsidR="00000000" w14:paraId="58BE90A5"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6B6FC5" w14:textId="77777777" w:rsidR="0020702A" w:rsidRDefault="0020702A">
            <w:pPr>
              <w:spacing w:before="200" w:after="360"/>
              <w:rPr>
                <w:rFonts w:eastAsia="Times New Roman"/>
                <w:sz w:val="21"/>
                <w:szCs w:val="21"/>
              </w:rPr>
            </w:pPr>
            <w:r>
              <w:rPr>
                <w:rStyle w:val="Zwaar"/>
                <w:rFonts w:eastAsia="Times New Roman"/>
                <w:sz w:val="21"/>
                <w:szCs w:val="21"/>
              </w:rPr>
              <w:t>Symbolique</w:t>
            </w:r>
            <w:r>
              <w:rPr>
                <w:rFonts w:eastAsia="Times New Roman"/>
                <w:sz w:val="21"/>
                <w:szCs w:val="21"/>
              </w:rPr>
              <w:br/>
            </w:r>
            <w:r>
              <w:rPr>
                <w:rStyle w:val="Zwaar"/>
                <w:rFonts w:eastAsia="Times New Roman"/>
                <w:sz w:val="21"/>
                <w:szCs w:val="21"/>
              </w:rPr>
              <w:t>:</w:t>
            </w:r>
            <w:r>
              <w:rPr>
                <w:rFonts w:eastAsia="Times New Roman"/>
                <w:sz w:val="21"/>
                <w:szCs w:val="21"/>
              </w:rPr>
              <w:t xml:space="preserve"> Palais royal de Belgique et Maison royale des Pays-Bas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AB9243" w14:textId="77777777" w:rsidR="0020702A" w:rsidRDefault="0020702A">
            <w:pPr>
              <w:spacing w:before="200" w:after="360"/>
              <w:rPr>
                <w:rFonts w:eastAsia="Times New Roman"/>
                <w:sz w:val="21"/>
                <w:szCs w:val="21"/>
              </w:rPr>
            </w:pPr>
            <w:r>
              <w:rPr>
                <w:rFonts w:eastAsia="Times New Roman"/>
                <w:sz w:val="21"/>
                <w:szCs w:val="21"/>
              </w:rPr>
              <w:t>Chef d'État constitutionnel, sans pouvoir exécutif.</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16E8F0" w14:textId="77777777" w:rsidR="0020702A" w:rsidRDefault="0020702A">
            <w:pPr>
              <w:spacing w:before="200" w:after="360"/>
              <w:rPr>
                <w:rFonts w:eastAsia="Times New Roman"/>
                <w:sz w:val="21"/>
                <w:szCs w:val="21"/>
              </w:rPr>
            </w:pPr>
            <w:r>
              <w:rPr>
                <w:rFonts w:eastAsia="Times New Roman"/>
                <w:sz w:val="21"/>
                <w:szCs w:val="21"/>
              </w:rPr>
              <w:t>Boîte aux lettres protocolaire. Les requêtes sont transmises au ministre.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F2F56F" w14:textId="77777777" w:rsidR="0020702A" w:rsidRDefault="0020702A">
            <w:pPr>
              <w:spacing w:before="200" w:after="360"/>
              <w:rPr>
                <w:rFonts w:eastAsia="Times New Roman"/>
                <w:sz w:val="21"/>
                <w:szCs w:val="21"/>
              </w:rPr>
            </w:pPr>
            <w:r>
              <w:rPr>
                <w:rFonts w:eastAsia="Times New Roman"/>
                <w:sz w:val="21"/>
                <w:szCs w:val="21"/>
              </w:rPr>
              <w:t>Le terminus renvoie les lettres à leur point de départ au niveau 1.</w:t>
            </w:r>
          </w:p>
        </w:tc>
      </w:tr>
    </w:tbl>
    <w:p w14:paraId="21BFE44F"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 leurs noms sont publics et figurent dans le document B. Les personnes physiques sont désignées exclusivement par leur fonction ou par un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xml:space="preserve">, petit </w:t>
      </w:r>
      <w:r>
        <w:rPr>
          <w:rFonts w:ascii="Segoe UI Symbol" w:hAnsi="Segoe UI Symbol" w:cs="Segoe UI Symbol"/>
          <w:lang w:val="fr-FR"/>
        </w:rPr>
        <w:t>♂</w:t>
      </w:r>
      <w:r>
        <w:rPr>
          <w:lang w:val="fr-FR"/>
        </w:rPr>
        <w:t xml:space="preserve">). Il s'agit </w:t>
      </w:r>
      <w:r>
        <w:rPr>
          <w:rFonts w:cs="Aptos"/>
          <w:lang w:val="fr-FR"/>
        </w:rPr>
        <w:t>à</w:t>
      </w:r>
      <w:r>
        <w:rPr>
          <w:lang w:val="fr-FR"/>
        </w:rPr>
        <w:t xml:space="preserve"> la fois d'un choix m</w:t>
      </w:r>
      <w:r>
        <w:rPr>
          <w:rFonts w:cs="Aptos"/>
          <w:lang w:val="fr-FR"/>
        </w:rPr>
        <w:t>é</w:t>
      </w:r>
      <w:r>
        <w:rPr>
          <w:lang w:val="fr-FR"/>
        </w:rPr>
        <w:t>thodologique et d'une obligation au titre du R</w:t>
      </w:r>
      <w:r>
        <w:rPr>
          <w:rFonts w:cs="Aptos"/>
          <w:lang w:val="fr-FR"/>
        </w:rPr>
        <w:t>è</w:t>
      </w:r>
      <w:r>
        <w:rPr>
          <w:lang w:val="fr-FR"/>
        </w:rPr>
        <w:t>glement g</w:t>
      </w:r>
      <w:r>
        <w:rPr>
          <w:rFonts w:cs="Aptos"/>
          <w:lang w:val="fr-FR"/>
        </w:rPr>
        <w:t>é</w:t>
      </w:r>
      <w:r>
        <w:rPr>
          <w:lang w:val="fr-FR"/>
        </w:rPr>
        <w:t>n</w:t>
      </w:r>
      <w:r>
        <w:rPr>
          <w:rFonts w:cs="Aptos"/>
          <w:lang w:val="fr-FR"/>
        </w:rPr>
        <w:t>é</w:t>
      </w:r>
      <w:r>
        <w:rPr>
          <w:lang w:val="fr-FR"/>
        </w:rPr>
        <w:t>ral sur la protection des donn</w:t>
      </w:r>
      <w:r>
        <w:rPr>
          <w:rFonts w:cs="Aptos"/>
          <w:lang w:val="fr-FR"/>
        </w:rPr>
        <w:t>é</w:t>
      </w:r>
      <w:r>
        <w:rPr>
          <w:lang w:val="fr-FR"/>
        </w:rPr>
        <w:t>es. L'auteur de ce dossier est le patient concern</w:t>
      </w:r>
      <w:r>
        <w:rPr>
          <w:rFonts w:cs="Aptos"/>
          <w:lang w:val="fr-FR"/>
        </w:rPr>
        <w:t>é</w:t>
      </w:r>
      <w:r>
        <w:rPr>
          <w:lang w:val="fr-FR"/>
        </w:rPr>
        <w:t xml:space="preserve"> ; il est autoris</w:t>
      </w:r>
      <w:r>
        <w:rPr>
          <w:rFonts w:cs="Aptos"/>
          <w:lang w:val="fr-FR"/>
        </w:rPr>
        <w:t>é</w:t>
      </w:r>
      <w:r>
        <w:rPr>
          <w:lang w:val="fr-FR"/>
        </w:rPr>
        <w:t xml:space="preserve"> </w:t>
      </w:r>
      <w:r>
        <w:rPr>
          <w:rFonts w:cs="Aptos"/>
          <w:lang w:val="fr-FR"/>
        </w:rPr>
        <w:t>à</w:t>
      </w:r>
      <w:r>
        <w:rPr>
          <w:lang w:val="fr-FR"/>
        </w:rPr>
        <w:t xml:space="preserve"> publier ses propres donn</w:t>
      </w:r>
      <w:r>
        <w:rPr>
          <w:rFonts w:cs="Aptos"/>
          <w:lang w:val="fr-FR"/>
        </w:rPr>
        <w:t>é</w:t>
      </w:r>
      <w:r>
        <w:rPr>
          <w:lang w:val="fr-FR"/>
        </w:rPr>
        <w:t>es m</w:t>
      </w:r>
      <w:r>
        <w:rPr>
          <w:rFonts w:cs="Aptos"/>
          <w:lang w:val="fr-FR"/>
        </w:rPr>
        <w:t>é</w:t>
      </w:r>
      <w:r>
        <w:rPr>
          <w:lang w:val="fr-FR"/>
        </w:rPr>
        <w:t>dicales et administratives.</w:t>
      </w:r>
    </w:p>
    <w:p w14:paraId="16753876" w14:textId="77777777" w:rsidR="0020702A" w:rsidRDefault="0020702A">
      <w:pPr>
        <w:pStyle w:val="marker"/>
        <w:ind w:left="800" w:right="800"/>
        <w:divId w:val="1419013937"/>
        <w:rPr>
          <w:lang w:val="fr-FR"/>
        </w:rPr>
      </w:pPr>
      <w:r>
        <w:br w:type="page"/>
      </w:r>
    </w:p>
    <w:p w14:paraId="5ECDF223" w14:textId="77777777" w:rsidR="0020702A" w:rsidRDefault="0020702A">
      <w:pPr>
        <w:pStyle w:val="Kop2"/>
        <w:divId w:val="1419013937"/>
        <w:rPr>
          <w:rFonts w:eastAsia="Times New Roman"/>
          <w:lang w:val="fr-FR"/>
        </w:rPr>
      </w:pPr>
      <w:bookmarkStart w:id="18" w:name="_Toc242103258"/>
      <w:r>
        <w:rPr>
          <w:rFonts w:eastAsia="Times New Roman"/>
          <w:lang w:val="fr-FR"/>
        </w:rPr>
        <w:t>La cascade</w:t>
      </w:r>
      <w:bookmarkEnd w:id="18"/>
    </w:p>
    <w:p w14:paraId="1DCF1FEE" w14:textId="77777777" w:rsidR="0020702A" w:rsidRDefault="0020702A">
      <w:pPr>
        <w:pStyle w:val="lead"/>
        <w:divId w:val="1419013937"/>
        <w:rPr>
          <w:lang w:val="fr-FR"/>
        </w:rPr>
      </w:pPr>
      <w:r>
        <w:rPr>
          <w:lang w:val="fr-FR"/>
        </w:rPr>
        <w:t>Le bloc II présentera tout à l'heure les « aides », le mécanisme et la décision. Ce chapitre montre ce qui se passe lorsque le mécanisme et la décision se rejoignent au sein d'une même famille, sur une même ligne temporelle, avec une seule conséquence visible : un compte bancaire vide.</w:t>
      </w:r>
    </w:p>
    <w:p w14:paraId="2E08A090" w14:textId="77777777" w:rsidR="0020702A" w:rsidRDefault="0020702A">
      <w:pPr>
        <w:pStyle w:val="Kop3"/>
        <w:divId w:val="1419013937"/>
        <w:rPr>
          <w:rFonts w:eastAsia="Times New Roman"/>
          <w:lang w:val="fr-FR"/>
        </w:rPr>
      </w:pPr>
      <w:bookmarkStart w:id="19" w:name="_Toc242103259"/>
      <w:r>
        <w:rPr>
          <w:rFonts w:eastAsia="Times New Roman"/>
          <w:lang w:val="fr-FR"/>
        </w:rPr>
        <w:t>Cadre 1 — Le déclencheur</w:t>
      </w:r>
      <w:bookmarkEnd w:id="19"/>
    </w:p>
    <w:p w14:paraId="1C048982" w14:textId="77777777" w:rsidR="0020702A" w:rsidRDefault="0020702A">
      <w:pPr>
        <w:pStyle w:val="tijd"/>
        <w:divId w:val="1419013937"/>
        <w:rPr>
          <w:lang w:val="fr-FR"/>
        </w:rPr>
      </w:pPr>
      <w:r>
        <w:rPr>
          <w:lang w:val="fr-FR"/>
        </w:rPr>
        <w:t>11 avril 2025 · semaine 1</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2FC0DD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51C07DB" w14:textId="77777777" w:rsidR="0020702A" w:rsidRDefault="0020702A">
            <w:pPr>
              <w:pStyle w:val="Normaalweb"/>
              <w:spacing w:before="120"/>
              <w:jc w:val="center"/>
              <w:rPr>
                <w:sz w:val="21"/>
                <w:szCs w:val="21"/>
              </w:rPr>
            </w:pPr>
            <w:r>
              <w:rPr>
                <w:noProof/>
                <w:sz w:val="21"/>
                <w:szCs w:val="21"/>
              </w:rPr>
              <w:drawing>
                <wp:inline distT="0" distB="0" distL="0" distR="0" wp14:anchorId="3F460455" wp14:editId="16322106">
                  <wp:extent cx="3810000" cy="990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4F664F46" w14:textId="77777777" w:rsidR="0020702A" w:rsidRDefault="0020702A">
            <w:pPr>
              <w:pStyle w:val="caption"/>
              <w:spacing w:after="120" w:afterAutospacing="0"/>
            </w:pPr>
            <w:r>
              <w:t>Le corps est admis à l'hôpital</w:t>
            </w:r>
            <w:r>
              <w:t>. Le rapport médical et la facture sont séparés : le rapport reste à l'hôpital, la facture est envoyée à la Mutualité. La quote-part est prélevée directement sur le compte bancaire.</w:t>
            </w:r>
          </w:p>
        </w:tc>
      </w:tr>
    </w:tbl>
    <w:p w14:paraId="3AACC488" w14:textId="77777777" w:rsidR="0020702A" w:rsidRDefault="0020702A">
      <w:pPr>
        <w:pStyle w:val="Kop3"/>
        <w:divId w:val="1419013937"/>
        <w:rPr>
          <w:rFonts w:eastAsia="Times New Roman"/>
          <w:lang w:val="fr-FR"/>
        </w:rPr>
      </w:pPr>
      <w:bookmarkStart w:id="20" w:name="_Toc242103260"/>
      <w:r>
        <w:rPr>
          <w:rFonts w:eastAsia="Times New Roman"/>
          <w:lang w:val="fr-FR"/>
        </w:rPr>
        <w:t>Cadre 2 — Ce qui continue de couler</w:t>
      </w:r>
      <w:bookmarkEnd w:id="20"/>
    </w:p>
    <w:p w14:paraId="10FC68CE" w14:textId="77777777" w:rsidR="0020702A" w:rsidRDefault="0020702A">
      <w:pPr>
        <w:pStyle w:val="tijd"/>
        <w:divId w:val="1419013937"/>
        <w:rPr>
          <w:lang w:val="fr-FR"/>
        </w:rPr>
      </w:pPr>
      <w:r>
        <w:rPr>
          <w:lang w:val="fr-FR"/>
        </w:rPr>
        <w:t>en continu · dès le premier jour</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B4EAE64"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E4D60AE" w14:textId="77777777" w:rsidR="0020702A" w:rsidRDefault="0020702A">
            <w:pPr>
              <w:pStyle w:val="Normaalweb"/>
              <w:spacing w:before="120"/>
              <w:jc w:val="center"/>
              <w:rPr>
                <w:sz w:val="21"/>
                <w:szCs w:val="21"/>
              </w:rPr>
            </w:pPr>
            <w:r>
              <w:rPr>
                <w:noProof/>
                <w:sz w:val="21"/>
                <w:szCs w:val="21"/>
              </w:rPr>
              <w:drawing>
                <wp:inline distT="0" distB="0" distL="0" distR="0" wp14:anchorId="1AFB42A3" wp14:editId="7855FF5A">
                  <wp:extent cx="3810000" cy="1143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14:paraId="3982D5BE" w14:textId="77777777" w:rsidR="0020702A" w:rsidRDefault="0020702A">
            <w:pPr>
              <w:pStyle w:val="caption"/>
              <w:spacing w:after="120" w:afterAutospacing="0"/>
            </w:pPr>
            <w:r>
              <w:t>Une seule ligne continue de circuler sans interruption : la mère. Tout ce que le père apporte s’arrête.</w:t>
            </w:r>
          </w:p>
        </w:tc>
      </w:tr>
    </w:tbl>
    <w:p w14:paraId="44852066" w14:textId="77777777" w:rsidR="0020702A" w:rsidRDefault="0020702A">
      <w:pPr>
        <w:pStyle w:val="Kop3"/>
        <w:divId w:val="1419013937"/>
        <w:rPr>
          <w:rFonts w:eastAsia="Times New Roman"/>
          <w:lang w:val="fr-FR"/>
        </w:rPr>
      </w:pPr>
      <w:bookmarkStart w:id="21" w:name="_Toc242103261"/>
      <w:r>
        <w:rPr>
          <w:rFonts w:eastAsia="Times New Roman"/>
          <w:lang w:val="fr-FR"/>
        </w:rPr>
        <w:t>Cadre 3 — Ce qui s'écoule</w:t>
      </w:r>
      <w:bookmarkEnd w:id="21"/>
    </w:p>
    <w:p w14:paraId="4238BC73" w14:textId="77777777" w:rsidR="0020702A" w:rsidRDefault="0020702A">
      <w:pPr>
        <w:pStyle w:val="tijd"/>
        <w:divId w:val="1419013937"/>
        <w:rPr>
          <w:lang w:val="fr-FR"/>
        </w:rPr>
      </w:pPr>
      <w:r>
        <w:rPr>
          <w:lang w:val="fr-FR"/>
        </w:rPr>
        <w:t>avril 2025 · en continu</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CA800A3"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5A267FD" w14:textId="77777777" w:rsidR="0020702A" w:rsidRDefault="0020702A">
            <w:pPr>
              <w:pStyle w:val="Normaalweb"/>
              <w:spacing w:before="120"/>
              <w:jc w:val="center"/>
              <w:rPr>
                <w:sz w:val="21"/>
                <w:szCs w:val="21"/>
              </w:rPr>
            </w:pPr>
            <w:r>
              <w:rPr>
                <w:noProof/>
                <w:sz w:val="21"/>
                <w:szCs w:val="21"/>
              </w:rPr>
              <w:drawing>
                <wp:inline distT="0" distB="0" distL="0" distR="0" wp14:anchorId="6BCB9746" wp14:editId="39B88F16">
                  <wp:extent cx="3810000" cy="12192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0" cy="1219200"/>
                          </a:xfrm>
                          <a:prstGeom prst="rect">
                            <a:avLst/>
                          </a:prstGeom>
                          <a:noFill/>
                          <a:ln>
                            <a:noFill/>
                          </a:ln>
                        </pic:spPr>
                      </pic:pic>
                    </a:graphicData>
                  </a:graphic>
                </wp:inline>
              </w:drawing>
            </w:r>
          </w:p>
          <w:p w14:paraId="127C1115" w14:textId="77777777" w:rsidR="0020702A" w:rsidRDefault="0020702A">
            <w:pPr>
              <w:pStyle w:val="caption"/>
              <w:spacing w:after="120" w:afterAutospacing="0"/>
            </w:pPr>
            <w:r>
              <w:t>Alors que le salaire de la mère entre, il s'écoule de l'autre côté. Petit et prévisible, ou important et soudain. Le réservoir se vide.</w:t>
            </w:r>
          </w:p>
        </w:tc>
      </w:tr>
    </w:tbl>
    <w:p w14:paraId="142D34ED" w14:textId="77777777" w:rsidR="0020702A" w:rsidRDefault="0020702A">
      <w:pPr>
        <w:pStyle w:val="Kop3"/>
        <w:divId w:val="1419013937"/>
        <w:rPr>
          <w:rFonts w:eastAsia="Times New Roman"/>
          <w:lang w:val="fr-FR"/>
        </w:rPr>
      </w:pPr>
      <w:bookmarkStart w:id="22" w:name="_Toc242103262"/>
      <w:r>
        <w:rPr>
          <w:rFonts w:eastAsia="Times New Roman"/>
          <w:lang w:val="fr-FR"/>
        </w:rPr>
        <w:t>Cadre 4 — Ce qui n’entre pas</w:t>
      </w:r>
      <w:bookmarkEnd w:id="22"/>
    </w:p>
    <w:p w14:paraId="2554150E" w14:textId="77777777" w:rsidR="0020702A" w:rsidRDefault="0020702A">
      <w:pPr>
        <w:pStyle w:val="tijd"/>
        <w:divId w:val="1419013937"/>
        <w:rPr>
          <w:lang w:val="fr-FR"/>
        </w:rPr>
      </w:pPr>
      <w:r>
        <w:rPr>
          <w:lang w:val="fr-FR"/>
        </w:rPr>
        <w:t>mai 2025 — septembre 2026 · bloqué</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4F8BDC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5B89354" w14:textId="77777777" w:rsidR="0020702A" w:rsidRDefault="0020702A">
            <w:pPr>
              <w:pStyle w:val="Normaalweb"/>
              <w:spacing w:before="120"/>
              <w:jc w:val="center"/>
              <w:rPr>
                <w:sz w:val="21"/>
                <w:szCs w:val="21"/>
              </w:rPr>
            </w:pPr>
            <w:r>
              <w:rPr>
                <w:noProof/>
                <w:sz w:val="21"/>
                <w:szCs w:val="21"/>
              </w:rPr>
              <w:drawing>
                <wp:inline distT="0" distB="0" distL="0" distR="0" wp14:anchorId="08DDD89F" wp14:editId="71287FB7">
                  <wp:extent cx="3810000" cy="15240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tc>
      </w:tr>
    </w:tbl>
    <w:p w14:paraId="45965BD5" w14:textId="77777777" w:rsidR="0020702A" w:rsidRDefault="0020702A">
      <w:pPr>
        <w:pStyle w:val="caption"/>
        <w:spacing w:after="120" w:afterAutospacing="0"/>
        <w:divId w:val="1419013937"/>
        <w:rPr>
          <w:lang w:val="fr-FR"/>
        </w:rPr>
      </w:pPr>
      <w:r>
        <w:rPr>
          <w:lang w:val="fr-FR"/>
        </w:rPr>
        <w:t>Cinq sources de revenus devraient être actives pour compenser la perte de salaire. Quatre sont bloquées. Une seule petite source — les allocations familiales — permet à la famille de rester tout juste au-dessus du seuil de pauvreté.</w:t>
      </w:r>
    </w:p>
    <w:p w14:paraId="344DC59C" w14:textId="77777777" w:rsidR="0020702A" w:rsidRDefault="0020702A">
      <w:pPr>
        <w:pStyle w:val="Kop3"/>
        <w:divId w:val="1419013937"/>
        <w:rPr>
          <w:rFonts w:eastAsia="Times New Roman"/>
          <w:lang w:val="fr-FR"/>
        </w:rPr>
      </w:pPr>
      <w:bookmarkStart w:id="23" w:name="_Toc242103263"/>
      <w:r>
        <w:rPr>
          <w:rFonts w:eastAsia="Times New Roman"/>
          <w:lang w:val="fr-FR"/>
        </w:rPr>
        <w:t>Cadre 5 — Le résultat</w:t>
      </w:r>
      <w:bookmarkEnd w:id="23"/>
    </w:p>
    <w:p w14:paraId="26A2B33C" w14:textId="77777777" w:rsidR="0020702A" w:rsidRDefault="0020702A">
      <w:pPr>
        <w:pStyle w:val="tijd"/>
        <w:divId w:val="1419013937"/>
        <w:rPr>
          <w:lang w:val="fr-FR"/>
        </w:rPr>
      </w:pPr>
      <w:r>
        <w:rPr>
          <w:lang w:val="fr-FR"/>
        </w:rPr>
        <w:t>automne 2026 · dix-huit mois plus tard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ABD0B7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AC2DC2A" w14:textId="77777777" w:rsidR="0020702A" w:rsidRDefault="0020702A">
            <w:pPr>
              <w:pStyle w:val="Normaalweb"/>
              <w:spacing w:before="120"/>
              <w:jc w:val="center"/>
              <w:rPr>
                <w:sz w:val="21"/>
                <w:szCs w:val="21"/>
              </w:rPr>
            </w:pPr>
            <w:r>
              <w:rPr>
                <w:noProof/>
                <w:sz w:val="21"/>
                <w:szCs w:val="21"/>
              </w:rPr>
              <w:drawing>
                <wp:inline distT="0" distB="0" distL="0" distR="0" wp14:anchorId="491463F4" wp14:editId="63F60B9D">
                  <wp:extent cx="3810000" cy="12954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0" cy="1295400"/>
                          </a:xfrm>
                          <a:prstGeom prst="rect">
                            <a:avLst/>
                          </a:prstGeom>
                          <a:noFill/>
                          <a:ln>
                            <a:noFill/>
                          </a:ln>
                        </pic:spPr>
                      </pic:pic>
                    </a:graphicData>
                  </a:graphic>
                </wp:inline>
              </w:drawing>
            </w:r>
          </w:p>
          <w:p w14:paraId="30850928" w14:textId="77777777" w:rsidR="0020702A" w:rsidRDefault="0020702A">
            <w:pPr>
              <w:pStyle w:val="caption"/>
              <w:spacing w:after="120" w:afterAutospacing="0"/>
            </w:pPr>
            <w:r>
              <w:t>Dix-huit mois plus tard, le compte est dans le rouge. La banque commerciale propose une solution assortie de sanctions. L’agence de recouvrement a été sollicitée. Et le système qui aurait dû amortir ce choc ne donne toujours aucun résultat.</w:t>
            </w:r>
          </w:p>
        </w:tc>
      </w:tr>
    </w:tbl>
    <w:p w14:paraId="416D9618" w14:textId="77777777" w:rsidR="0020702A" w:rsidRDefault="0020702A">
      <w:pPr>
        <w:divId w:val="1419013937"/>
        <w:rPr>
          <w:rFonts w:eastAsia="Times New Roman"/>
          <w:vanish/>
          <w:lang w:val="fr-FR"/>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FE205DE"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2423E3AC" w14:textId="77777777" w:rsidR="0020702A" w:rsidRDefault="0020702A">
            <w:pPr>
              <w:spacing w:before="240" w:after="240"/>
              <w:rPr>
                <w:rFonts w:eastAsia="Times New Roman"/>
                <w:szCs w:val="22"/>
              </w:rPr>
            </w:pPr>
            <w:r>
              <w:rPr>
                <w:rFonts w:eastAsia="Times New Roman"/>
                <w:szCs w:val="22"/>
              </w:rPr>
              <w:t xml:space="preserve">La cascade n’est pas une chaîne d’erreurs. C’est un mécanisme unique qui réagit de cinq façons différentes à un seul événement. Chaque maillon a sa propre règle, son propre guichet, sa propre logique. Aucun maillon ne voit le suivant. Et le compte bancaire est le seul endroit où tous les maillons se rejoignent — en tant que résultat, et non en tant que cause. </w:t>
            </w:r>
          </w:p>
        </w:tc>
      </w:tr>
    </w:tbl>
    <w:p w14:paraId="6D07DAF4" w14:textId="77777777" w:rsidR="0020702A" w:rsidRDefault="0020702A">
      <w:pPr>
        <w:pStyle w:val="noot"/>
        <w:spacing w:after="120" w:afterAutospacing="0"/>
        <w:divId w:val="1419013937"/>
        <w:rPr>
          <w:lang w:val="fr-FR"/>
        </w:rPr>
      </w:pPr>
      <w:r>
        <w:rPr>
          <w:lang w:val="fr-FR"/>
        </w:rPr>
        <w:t>Les faits sont tirés du document B. Les montants figurent dans les écritures comptables de chaque organisation. Les personnes physiques sont désignées par des symboles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 les organisations par leur nom public.</w:t>
      </w:r>
    </w:p>
    <w:p w14:paraId="6B94F933" w14:textId="77777777" w:rsidR="0020702A" w:rsidRDefault="0020702A">
      <w:pPr>
        <w:pStyle w:val="marker"/>
        <w:ind w:left="800" w:right="800"/>
        <w:divId w:val="1419013937"/>
        <w:rPr>
          <w:lang w:val="fr-FR"/>
        </w:rPr>
      </w:pPr>
      <w:r>
        <w:br w:type="page"/>
      </w:r>
    </w:p>
    <w:p w14:paraId="64C488FA" w14:textId="77777777" w:rsidR="0020702A" w:rsidRDefault="0020702A">
      <w:pPr>
        <w:pStyle w:val="Kop1"/>
        <w:divId w:val="1419013937"/>
        <w:rPr>
          <w:rFonts w:eastAsia="Times New Roman"/>
          <w:lang w:val="fr-FR"/>
        </w:rPr>
      </w:pPr>
      <w:bookmarkStart w:id="24" w:name="_Toc242103264"/>
      <w:r>
        <w:rPr>
          <w:rFonts w:eastAsia="Times New Roman"/>
          <w:lang w:val="fr-FR"/>
        </w:rPr>
        <w:t>II. Belgique</w:t>
      </w:r>
      <w:bookmarkEnd w:id="24"/>
    </w:p>
    <w:p w14:paraId="62C7B97B" w14:textId="77777777" w:rsidR="0020702A" w:rsidRDefault="0020702A">
      <w:pPr>
        <w:pStyle w:val="Kop2"/>
        <w:divId w:val="1419013937"/>
        <w:rPr>
          <w:rFonts w:eastAsia="Times New Roman"/>
          <w:lang w:val="fr-FR"/>
        </w:rPr>
      </w:pPr>
      <w:bookmarkStart w:id="25" w:name="_Toc242103265"/>
      <w:r>
        <w:rPr>
          <w:rFonts w:eastAsia="Times New Roman"/>
          <w:lang w:val="fr-FR"/>
        </w:rPr>
        <w:t>Les caisses et les ventes liées</w:t>
      </w:r>
      <w:bookmarkEnd w:id="25"/>
    </w:p>
    <w:p w14:paraId="23239BA5" w14:textId="77777777" w:rsidR="0020702A" w:rsidRDefault="0020702A">
      <w:pPr>
        <w:pStyle w:val="lead"/>
        <w:divId w:val="1419013937"/>
        <w:rPr>
          <w:lang w:val="fr-FR"/>
        </w:rPr>
      </w:pPr>
      <w:r>
        <w:rPr>
          <w:lang w:val="fr-FR"/>
        </w:rPr>
        <w:t>Une famille qui perd ses revenus à la suite d’une maladie peut, en Belgique et aux Pays-Bas, demander une série d’allocations. Celles-ci sont réparties entre deux pays, deux régimes fiscaux, deux systèmes de sécurité sociale et deux logiques d’octroi des prestations. Ce chapitre dresse tout d’abord l’inventaire des différentes aides existantes. Il montre ensuite pourquoi la plupart de ces aides restent inaccessibles — non pas en raison d’une cause unique, mais d’un mécanisme commun aux deux pays.</w:t>
      </w:r>
    </w:p>
    <w:p w14:paraId="2816DB5D" w14:textId="77777777" w:rsidR="0020702A" w:rsidRDefault="0020702A">
      <w:pPr>
        <w:pStyle w:val="Kop3"/>
        <w:divId w:val="1419013937"/>
        <w:rPr>
          <w:rFonts w:eastAsia="Times New Roman"/>
          <w:lang w:val="fr-FR"/>
        </w:rPr>
      </w:pPr>
      <w:bookmarkStart w:id="26" w:name="_Toc242103266"/>
      <w:r>
        <w:rPr>
          <w:rFonts w:eastAsia="Times New Roman"/>
          <w:lang w:val="fr-FR"/>
        </w:rPr>
        <w:t>Partie II-A — Les sources de revenus</w:t>
      </w:r>
      <w:bookmarkEnd w:id="26"/>
    </w:p>
    <w:p w14:paraId="0FEA5122" w14:textId="77777777" w:rsidR="0020702A" w:rsidRDefault="0020702A">
      <w:pPr>
        <w:pStyle w:val="Normaalweb"/>
        <w:divId w:val="1419013937"/>
        <w:rPr>
          <w:lang w:val="fr-FR"/>
        </w:rPr>
      </w:pPr>
      <w:r>
        <w:rPr>
          <w:lang w:val="fr-FR"/>
        </w:rPr>
        <w:t>En théorie, la famille a droit ou peut prétendre aux aides suivantes. Le statut de chaque aide est basé sur le document B.</w:t>
      </w:r>
    </w:p>
    <w:p w14:paraId="2B3750BB" w14:textId="77777777" w:rsidR="0020702A" w:rsidRDefault="0020702A">
      <w:pPr>
        <w:pStyle w:val="Kop4"/>
        <w:divId w:val="1419013937"/>
        <w:rPr>
          <w:rFonts w:eastAsia="Times New Roman"/>
          <w:lang w:val="fr-FR"/>
        </w:rPr>
      </w:pPr>
      <w:r>
        <w:rPr>
          <w:rFonts w:eastAsia="Times New Roman"/>
          <w:lang w:val="fr-FR"/>
        </w:rPr>
        <w:t>Aides belges</w:t>
      </w:r>
    </w:p>
    <w:tbl>
      <w:tblPr>
        <w:tblW w:w="5000" w:type="pct"/>
        <w:tblCellMar>
          <w:top w:w="15" w:type="dxa"/>
          <w:left w:w="15" w:type="dxa"/>
          <w:bottom w:w="15" w:type="dxa"/>
          <w:right w:w="15" w:type="dxa"/>
        </w:tblCellMar>
        <w:tblLook w:val="04A0" w:firstRow="1" w:lastRow="0" w:firstColumn="1" w:lastColumn="0" w:noHBand="0" w:noVBand="1"/>
      </w:tblPr>
      <w:tblGrid>
        <w:gridCol w:w="2536"/>
        <w:gridCol w:w="1992"/>
        <w:gridCol w:w="1992"/>
        <w:gridCol w:w="2536"/>
      </w:tblGrid>
      <w:tr w:rsidR="00000000" w14:paraId="18BF804C" w14:textId="77777777">
        <w:trPr>
          <w:divId w:val="1419013937"/>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420E570"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Aide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D0EA272"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Gestionnaire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57AE86D"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Condition</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7335E8F"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Statut</w:t>
            </w:r>
          </w:p>
        </w:tc>
      </w:tr>
      <w:tr w:rsidR="00000000" w14:paraId="1F2B7EE8"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A9B01D" w14:textId="77777777" w:rsidR="0020702A" w:rsidRDefault="0020702A">
            <w:pPr>
              <w:spacing w:before="200" w:after="360"/>
              <w:rPr>
                <w:rFonts w:eastAsia="Times New Roman"/>
                <w:sz w:val="21"/>
                <w:szCs w:val="21"/>
              </w:rPr>
            </w:pPr>
            <w:r>
              <w:rPr>
                <w:rStyle w:val="Zwaar"/>
                <w:rFonts w:eastAsia="Times New Roman"/>
                <w:sz w:val="21"/>
                <w:szCs w:val="21"/>
              </w:rPr>
              <w:t>Indemnités de maladie</w:t>
            </w:r>
            <w:r>
              <w:rPr>
                <w:rFonts w:eastAsia="Times New Roman"/>
                <w:sz w:val="21"/>
                <w:szCs w:val="21"/>
              </w:rPr>
              <w:t xml:space="preserve"> (incapacité de travail, première année)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D60D78" w14:textId="77777777" w:rsidR="0020702A" w:rsidRDefault="0020702A">
            <w:pPr>
              <w:spacing w:before="200" w:after="360"/>
              <w:rPr>
                <w:rFonts w:eastAsia="Times New Roman"/>
                <w:sz w:val="21"/>
                <w:szCs w:val="21"/>
              </w:rPr>
            </w:pPr>
            <w:r>
              <w:rPr>
                <w:rFonts w:eastAsia="Times New Roman"/>
                <w:sz w:val="21"/>
                <w:szCs w:val="21"/>
              </w:rPr>
              <w:t>MC</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CF92A2" w14:textId="77777777" w:rsidR="0020702A" w:rsidRDefault="0020702A">
            <w:pPr>
              <w:spacing w:before="200" w:after="360"/>
              <w:rPr>
                <w:rFonts w:eastAsia="Times New Roman"/>
                <w:sz w:val="21"/>
                <w:szCs w:val="21"/>
              </w:rPr>
            </w:pPr>
            <w:r>
              <w:rPr>
                <w:rFonts w:eastAsia="Times New Roman"/>
                <w:sz w:val="21"/>
                <w:szCs w:val="21"/>
              </w:rPr>
              <w:t>Incapacité de travail constatée + délai de carence écoulé</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D3902C1"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délai de carence de 180 jours non appliqué en raison du cumul européen</w:t>
            </w:r>
          </w:p>
        </w:tc>
      </w:tr>
      <w:tr w:rsidR="00000000" w14:paraId="20D8F135"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B0471F" w14:textId="77777777" w:rsidR="0020702A" w:rsidRDefault="0020702A">
            <w:pPr>
              <w:spacing w:before="200" w:after="360"/>
              <w:rPr>
                <w:rFonts w:eastAsia="Times New Roman"/>
                <w:sz w:val="21"/>
                <w:szCs w:val="21"/>
              </w:rPr>
            </w:pPr>
            <w:r>
              <w:rPr>
                <w:rStyle w:val="Zwaar"/>
                <w:rFonts w:eastAsia="Times New Roman"/>
                <w:sz w:val="21"/>
                <w:szCs w:val="21"/>
              </w:rPr>
              <w:t>Prestation d'invalidité</w:t>
            </w:r>
            <w:r>
              <w:rPr>
                <w:rFonts w:eastAsia="Times New Roman"/>
                <w:sz w:val="21"/>
                <w:szCs w:val="21"/>
              </w:rPr>
              <w:t xml:space="preserve"> (après 1 an d'incapacité de travail)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FA55CFC" w14:textId="77777777" w:rsidR="0020702A" w:rsidRDefault="0020702A">
            <w:pPr>
              <w:spacing w:before="200" w:after="360"/>
              <w:rPr>
                <w:rFonts w:eastAsia="Times New Roman"/>
                <w:sz w:val="21"/>
                <w:szCs w:val="21"/>
              </w:rPr>
            </w:pPr>
            <w:r>
              <w:rPr>
                <w:rFonts w:eastAsia="Times New Roman"/>
                <w:sz w:val="21"/>
                <w:szCs w:val="21"/>
              </w:rPr>
              <w:t>MC</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ECF887" w14:textId="77777777" w:rsidR="0020702A" w:rsidRDefault="0020702A">
            <w:pPr>
              <w:spacing w:before="200" w:after="360"/>
              <w:rPr>
                <w:rFonts w:eastAsia="Times New Roman"/>
                <w:sz w:val="21"/>
                <w:szCs w:val="21"/>
              </w:rPr>
            </w:pPr>
            <w:r>
              <w:rPr>
                <w:rFonts w:eastAsia="Times New Roman"/>
                <w:sz w:val="21"/>
                <w:szCs w:val="21"/>
              </w:rPr>
              <w:t>Transition automatique après 365 jours d'incapacité de travail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F0729BD"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la date de fin fictive empêche le passage</w:t>
            </w:r>
          </w:p>
        </w:tc>
      </w:tr>
      <w:tr w:rsidR="00000000" w14:paraId="300083D4"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AA44E9" w14:textId="77777777" w:rsidR="0020702A" w:rsidRDefault="0020702A">
            <w:pPr>
              <w:spacing w:before="200" w:after="360"/>
              <w:rPr>
                <w:rFonts w:eastAsia="Times New Roman"/>
                <w:sz w:val="21"/>
                <w:szCs w:val="21"/>
              </w:rPr>
            </w:pPr>
            <w:r>
              <w:rPr>
                <w:rStyle w:val="Zwaar"/>
                <w:rFonts w:eastAsia="Times New Roman"/>
                <w:sz w:val="21"/>
                <w:szCs w:val="21"/>
              </w:rPr>
              <w:t>ARR</w:t>
            </w:r>
            <w:r>
              <w:rPr>
                <w:rFonts w:eastAsia="Times New Roman"/>
                <w:sz w:val="21"/>
                <w:szCs w:val="21"/>
              </w:rPr>
              <w:t xml:space="preserve"> </w:t>
            </w:r>
            <w:r>
              <w:rPr>
                <w:rFonts w:eastAsia="Times New Roman"/>
                <w:sz w:val="21"/>
                <w:szCs w:val="21"/>
              </w:rPr>
              <w:t>(allocation de remplacement de revenu)</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22837F" w14:textId="77777777" w:rsidR="0020702A" w:rsidRDefault="0020702A">
            <w:pPr>
              <w:spacing w:before="200" w:after="360"/>
              <w:rPr>
                <w:rFonts w:eastAsia="Times New Roman"/>
                <w:sz w:val="21"/>
                <w:szCs w:val="21"/>
              </w:rPr>
            </w:pPr>
            <w:r>
              <w:rPr>
                <w:rFonts w:eastAsia="Times New Roman"/>
                <w:sz w:val="21"/>
                <w:szCs w:val="21"/>
              </w:rPr>
              <w:t>SPF Sécurité sociale / DG HAN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1B8BB5" w14:textId="77777777" w:rsidR="0020702A" w:rsidRDefault="0020702A">
            <w:pPr>
              <w:spacing w:before="200" w:after="360"/>
              <w:rPr>
                <w:rFonts w:eastAsia="Times New Roman"/>
                <w:sz w:val="21"/>
                <w:szCs w:val="21"/>
              </w:rPr>
            </w:pPr>
            <w:r>
              <w:rPr>
                <w:rFonts w:eastAsia="Times New Roman"/>
                <w:sz w:val="21"/>
                <w:szCs w:val="21"/>
              </w:rPr>
              <w:t>Handicap reconnu + capacité de gain réduite + résidence en Belgique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CB802A"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condition de résidence, pas de domicile en Belgique</w:t>
            </w:r>
          </w:p>
        </w:tc>
      </w:tr>
      <w:tr w:rsidR="00000000" w14:paraId="45D51EB0"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ECE3B2D" w14:textId="77777777" w:rsidR="0020702A" w:rsidRDefault="0020702A">
            <w:pPr>
              <w:spacing w:before="200" w:after="360"/>
              <w:rPr>
                <w:rFonts w:eastAsia="Times New Roman"/>
                <w:sz w:val="21"/>
                <w:szCs w:val="21"/>
              </w:rPr>
            </w:pPr>
            <w:r>
              <w:rPr>
                <w:rStyle w:val="Zwaar"/>
                <w:rFonts w:eastAsia="Times New Roman"/>
                <w:sz w:val="21"/>
                <w:szCs w:val="21"/>
              </w:rPr>
              <w:t>Abattement fiscal majoré</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C0FB0C" w14:textId="77777777" w:rsidR="0020702A" w:rsidRDefault="0020702A">
            <w:pPr>
              <w:spacing w:before="200" w:after="360"/>
              <w:rPr>
                <w:rFonts w:eastAsia="Times New Roman"/>
                <w:sz w:val="21"/>
                <w:szCs w:val="21"/>
              </w:rPr>
            </w:pPr>
            <w:r>
              <w:rPr>
                <w:rFonts w:eastAsia="Times New Roman"/>
                <w:sz w:val="21"/>
                <w:szCs w:val="21"/>
              </w:rPr>
              <w:t>SPF Finances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6BE30F" w14:textId="77777777" w:rsidR="0020702A" w:rsidRDefault="0020702A">
            <w:pPr>
              <w:spacing w:before="200" w:after="360"/>
              <w:rPr>
                <w:rFonts w:eastAsia="Times New Roman"/>
                <w:sz w:val="21"/>
                <w:szCs w:val="21"/>
              </w:rPr>
            </w:pPr>
            <w:r>
              <w:rPr>
                <w:rFonts w:eastAsia="Times New Roman"/>
                <w:sz w:val="21"/>
                <w:szCs w:val="21"/>
              </w:rPr>
              <w:t>Reconnaissance d’un handicap grave (9 points)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BF29F47"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via DG HAN, </w:t>
            </w:r>
            <w:r>
              <w:rPr>
                <w:rStyle w:val="status-g1"/>
                <w:rFonts w:eastAsia="Times New Roman"/>
                <w:sz w:val="21"/>
                <w:szCs w:val="21"/>
              </w:rPr>
              <w:t>activé</w:t>
            </w:r>
            <w:r>
              <w:rPr>
                <w:rFonts w:eastAsia="Times New Roman"/>
                <w:sz w:val="21"/>
                <w:szCs w:val="21"/>
              </w:rPr>
              <w:t xml:space="preserve"> via un contournement fiscal (voir Chapitre II — La voie fiscale belge)</w:t>
            </w:r>
          </w:p>
        </w:tc>
      </w:tr>
      <w:tr w:rsidR="00000000" w14:paraId="12675E5E"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07331C" w14:textId="77777777" w:rsidR="0020702A" w:rsidRDefault="0020702A">
            <w:pPr>
              <w:spacing w:before="200" w:after="360"/>
              <w:rPr>
                <w:rFonts w:eastAsia="Times New Roman"/>
                <w:sz w:val="21"/>
                <w:szCs w:val="21"/>
              </w:rPr>
            </w:pPr>
            <w:r>
              <w:rPr>
                <w:rStyle w:val="Zwaar"/>
                <w:rFonts w:eastAsia="Times New Roman"/>
                <w:sz w:val="21"/>
                <w:szCs w:val="21"/>
              </w:rPr>
              <w:t>Allocations familiales / Groeipakket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408599" w14:textId="77777777" w:rsidR="0020702A" w:rsidRDefault="0020702A">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5222E9" w14:textId="77777777" w:rsidR="0020702A" w:rsidRDefault="0020702A">
            <w:pPr>
              <w:spacing w:before="200" w:after="360"/>
              <w:rPr>
                <w:rFonts w:eastAsia="Times New Roman"/>
                <w:sz w:val="21"/>
                <w:szCs w:val="21"/>
              </w:rPr>
            </w:pPr>
            <w:r>
              <w:rPr>
                <w:rFonts w:eastAsia="Times New Roman"/>
                <w:sz w:val="21"/>
                <w:szCs w:val="21"/>
              </w:rPr>
              <w:t>Enfant à charge + principe du pays d'emploi (la mère travaille en Belgique)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1226CD" w14:textId="77777777" w:rsidR="0020702A" w:rsidRDefault="0020702A">
            <w:pPr>
              <w:spacing w:before="200" w:after="360"/>
              <w:rPr>
                <w:rFonts w:eastAsia="Times New Roman"/>
                <w:sz w:val="21"/>
                <w:szCs w:val="21"/>
              </w:rPr>
            </w:pPr>
            <w:r>
              <w:rPr>
                <w:rStyle w:val="status-g1"/>
                <w:rFonts w:eastAsia="Times New Roman"/>
                <w:sz w:val="21"/>
                <w:szCs w:val="21"/>
              </w:rPr>
              <w:t>Actif</w:t>
            </w:r>
            <w:r>
              <w:rPr>
                <w:rFonts w:eastAsia="Times New Roman"/>
                <w:sz w:val="21"/>
                <w:szCs w:val="21"/>
              </w:rPr>
              <w:t xml:space="preserve"> </w:t>
            </w:r>
            <w:r>
              <w:rPr>
                <w:rFonts w:eastAsia="Times New Roman"/>
                <w:sz w:val="21"/>
                <w:szCs w:val="21"/>
              </w:rPr>
              <w:t>— bénéficiaire principal au nom de la mère, complété par SVB</w:t>
            </w:r>
          </w:p>
        </w:tc>
      </w:tr>
      <w:tr w:rsidR="00000000" w14:paraId="3DC81380"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9BF219" w14:textId="77777777" w:rsidR="0020702A" w:rsidRDefault="0020702A">
            <w:pPr>
              <w:spacing w:before="200" w:after="360"/>
              <w:rPr>
                <w:rFonts w:eastAsia="Times New Roman"/>
                <w:sz w:val="21"/>
                <w:szCs w:val="21"/>
              </w:rPr>
            </w:pPr>
            <w:r>
              <w:rPr>
                <w:rStyle w:val="Zwaar"/>
                <w:rFonts w:eastAsia="Times New Roman"/>
                <w:sz w:val="21"/>
                <w:szCs w:val="21"/>
              </w:rPr>
              <w:t>Supplément social</w:t>
            </w:r>
            <w:r>
              <w:rPr>
                <w:rFonts w:eastAsia="Times New Roman"/>
                <w:sz w:val="21"/>
                <w:szCs w:val="21"/>
              </w:rPr>
              <w:t xml:space="preserve"> (dans le cadre du « Groeipakket »)</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3A37A87" w14:textId="77777777" w:rsidR="0020702A" w:rsidRDefault="0020702A">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A077E4" w14:textId="77777777" w:rsidR="0020702A" w:rsidRDefault="0020702A">
            <w:pPr>
              <w:spacing w:before="200" w:after="360"/>
              <w:rPr>
                <w:rFonts w:eastAsia="Times New Roman"/>
                <w:sz w:val="21"/>
                <w:szCs w:val="21"/>
              </w:rPr>
            </w:pPr>
            <w:r>
              <w:rPr>
                <w:rFonts w:eastAsia="Times New Roman"/>
                <w:sz w:val="21"/>
                <w:szCs w:val="21"/>
              </w:rPr>
              <w:t>Revenu familial inférieur au seuil + 6 mois consécutifs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24406B"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Parentia se base sur la capacité de gain théorique, et non sur le revenu réel</w:t>
            </w:r>
          </w:p>
        </w:tc>
      </w:tr>
      <w:tr w:rsidR="00000000" w14:paraId="6DBEB17D"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FA0EC0B" w14:textId="77777777" w:rsidR="0020702A" w:rsidRDefault="0020702A">
            <w:pPr>
              <w:spacing w:before="200" w:after="360"/>
              <w:rPr>
                <w:rFonts w:eastAsia="Times New Roman"/>
                <w:sz w:val="21"/>
                <w:szCs w:val="21"/>
              </w:rPr>
            </w:pPr>
            <w:r>
              <w:rPr>
                <w:rStyle w:val="Zwaar"/>
                <w:rFonts w:eastAsia="Times New Roman"/>
                <w:sz w:val="21"/>
                <w:szCs w:val="21"/>
              </w:rPr>
              <w:t>MAF</w:t>
            </w:r>
            <w:r>
              <w:rPr>
                <w:rFonts w:eastAsia="Times New Roman"/>
                <w:sz w:val="21"/>
                <w:szCs w:val="21"/>
              </w:rPr>
              <w:t xml:space="preserve"> (maximum à facturer)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B8C33F8" w14:textId="77777777" w:rsidR="0020702A" w:rsidRDefault="0020702A">
            <w:pPr>
              <w:spacing w:before="200" w:after="360"/>
              <w:rPr>
                <w:rFonts w:eastAsia="Times New Roman"/>
                <w:sz w:val="21"/>
                <w:szCs w:val="21"/>
              </w:rPr>
            </w:pPr>
            <w:r>
              <w:rPr>
                <w:rFonts w:eastAsia="Times New Roman"/>
                <w:sz w:val="21"/>
                <w:szCs w:val="21"/>
              </w:rPr>
              <w:t>MC</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B27FFE" w14:textId="77777777" w:rsidR="0020702A" w:rsidRDefault="0020702A">
            <w:pPr>
              <w:spacing w:before="200" w:after="360"/>
              <w:rPr>
                <w:rFonts w:eastAsia="Times New Roman"/>
                <w:sz w:val="21"/>
                <w:szCs w:val="21"/>
              </w:rPr>
            </w:pPr>
            <w:r>
              <w:rPr>
                <w:rFonts w:eastAsia="Times New Roman"/>
                <w:sz w:val="21"/>
                <w:szCs w:val="21"/>
              </w:rPr>
              <w:t>Participation aux frais supérieure au plafond — plafond majoré en cas de reconnaissance d’un handicap</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E51761" w14:textId="77777777" w:rsidR="0020702A" w:rsidRDefault="0020702A">
            <w:pPr>
              <w:spacing w:before="200" w:after="360"/>
              <w:rPr>
                <w:rFonts w:eastAsia="Times New Roman"/>
                <w:sz w:val="21"/>
                <w:szCs w:val="21"/>
              </w:rPr>
            </w:pPr>
            <w:r>
              <w:rPr>
                <w:rStyle w:val="status-o1"/>
                <w:rFonts w:eastAsia="Times New Roman"/>
                <w:sz w:val="21"/>
                <w:szCs w:val="21"/>
              </w:rPr>
              <w:t>Partiel</w:t>
            </w:r>
            <w:r>
              <w:rPr>
                <w:rFonts w:eastAsia="Times New Roman"/>
                <w:sz w:val="21"/>
                <w:szCs w:val="21"/>
              </w:rPr>
              <w:t xml:space="preserve"> </w:t>
            </w:r>
            <w:r>
              <w:rPr>
                <w:rFonts w:eastAsia="Times New Roman"/>
                <w:sz w:val="21"/>
                <w:szCs w:val="21"/>
              </w:rPr>
              <w:t>— MAF ordinaire applicable, MAF majoré bloqué en raison du refus de la reconnaissance d'invalidité</w:t>
            </w:r>
          </w:p>
        </w:tc>
      </w:tr>
      <w:tr w:rsidR="00000000" w14:paraId="539D55B8"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7ABECAA" w14:textId="77777777" w:rsidR="0020702A" w:rsidRDefault="0020702A">
            <w:pPr>
              <w:spacing w:before="200" w:after="360"/>
              <w:rPr>
                <w:rFonts w:eastAsia="Times New Roman"/>
                <w:sz w:val="21"/>
                <w:szCs w:val="21"/>
              </w:rPr>
            </w:pPr>
            <w:r>
              <w:rPr>
                <w:rStyle w:val="Zwaar"/>
                <w:rFonts w:eastAsia="Times New Roman"/>
                <w:sz w:val="21"/>
                <w:szCs w:val="21"/>
              </w:rPr>
              <w:t>Déduction fiscale des frais médicaux</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9A31119" w14:textId="77777777" w:rsidR="0020702A" w:rsidRDefault="0020702A">
            <w:pPr>
              <w:spacing w:before="200" w:after="360"/>
              <w:rPr>
                <w:rFonts w:eastAsia="Times New Roman"/>
                <w:sz w:val="21"/>
                <w:szCs w:val="21"/>
              </w:rPr>
            </w:pPr>
            <w:r>
              <w:rPr>
                <w:rFonts w:eastAsia="Times New Roman"/>
                <w:sz w:val="21"/>
                <w:szCs w:val="21"/>
              </w:rPr>
              <w:t>SPF Finances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D3AFAA" w14:textId="77777777" w:rsidR="0020702A" w:rsidRDefault="0020702A">
            <w:pPr>
              <w:spacing w:before="200" w:after="360"/>
              <w:rPr>
                <w:rFonts w:eastAsia="Times New Roman"/>
                <w:sz w:val="21"/>
                <w:szCs w:val="21"/>
              </w:rPr>
            </w:pPr>
            <w:r>
              <w:rPr>
                <w:rFonts w:eastAsia="Times New Roman"/>
                <w:sz w:val="21"/>
                <w:szCs w:val="21"/>
              </w:rPr>
              <w:t>Justificatif des dépenses médicales via la déclaration annuelle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70706D1" w14:textId="77777777" w:rsidR="0020702A" w:rsidRDefault="0020702A">
            <w:pPr>
              <w:spacing w:before="200" w:after="360"/>
              <w:rPr>
                <w:rFonts w:eastAsia="Times New Roman"/>
                <w:sz w:val="21"/>
                <w:szCs w:val="21"/>
              </w:rPr>
            </w:pPr>
            <w:r>
              <w:rPr>
                <w:rStyle w:val="status-o1"/>
                <w:rFonts w:eastAsia="Times New Roman"/>
                <w:sz w:val="21"/>
                <w:szCs w:val="21"/>
              </w:rPr>
              <w:t>Partiel</w:t>
            </w:r>
            <w:r>
              <w:rPr>
                <w:rFonts w:eastAsia="Times New Roman"/>
                <w:sz w:val="21"/>
                <w:szCs w:val="21"/>
              </w:rPr>
              <w:t xml:space="preserve"> — déductible mais impact limité tant que les autres revenus restent faibles</w:t>
            </w:r>
          </w:p>
        </w:tc>
      </w:tr>
      <w:tr w:rsidR="00000000" w14:paraId="5599E282"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EE4CDC" w14:textId="77777777" w:rsidR="0020702A" w:rsidRDefault="0020702A">
            <w:pPr>
              <w:spacing w:before="200" w:after="360"/>
              <w:rPr>
                <w:rFonts w:eastAsia="Times New Roman"/>
                <w:sz w:val="21"/>
                <w:szCs w:val="21"/>
              </w:rPr>
            </w:pPr>
            <w:r>
              <w:rPr>
                <w:rStyle w:val="Zwaar"/>
                <w:rFonts w:eastAsia="Times New Roman"/>
                <w:sz w:val="21"/>
                <w:szCs w:val="21"/>
              </w:rPr>
              <w:t>Indemnité pour aides techniques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0765AB" w14:textId="77777777" w:rsidR="0020702A" w:rsidRDefault="0020702A">
            <w:pPr>
              <w:spacing w:before="200" w:after="360"/>
              <w:rPr>
                <w:rFonts w:eastAsia="Times New Roman"/>
                <w:sz w:val="21"/>
                <w:szCs w:val="21"/>
              </w:rPr>
            </w:pPr>
            <w:r>
              <w:rPr>
                <w:rFonts w:eastAsia="Times New Roman"/>
                <w:sz w:val="21"/>
                <w:szCs w:val="21"/>
              </w:rPr>
              <w:t>MC (via la convention INAMI)</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0D4317A" w14:textId="77777777" w:rsidR="0020702A" w:rsidRDefault="0020702A">
            <w:pPr>
              <w:spacing w:before="200" w:after="360"/>
              <w:rPr>
                <w:rFonts w:eastAsia="Times New Roman"/>
                <w:sz w:val="21"/>
                <w:szCs w:val="21"/>
              </w:rPr>
            </w:pPr>
            <w:r>
              <w:rPr>
                <w:rFonts w:eastAsia="Times New Roman"/>
                <w:sz w:val="21"/>
                <w:szCs w:val="21"/>
              </w:rPr>
              <w:t>Prescriptions médicales et accord du médecin-conseil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77B05CA" w14:textId="77777777" w:rsidR="0020702A" w:rsidRDefault="0020702A">
            <w:pPr>
              <w:spacing w:before="200" w:after="360"/>
              <w:rPr>
                <w:rFonts w:eastAsia="Times New Roman"/>
                <w:sz w:val="21"/>
                <w:szCs w:val="21"/>
              </w:rPr>
            </w:pPr>
            <w:r>
              <w:rPr>
                <w:rStyle w:val="status-g1"/>
                <w:rFonts w:eastAsia="Times New Roman"/>
                <w:sz w:val="21"/>
                <w:szCs w:val="21"/>
              </w:rPr>
              <w:t>En vigueur</w:t>
            </w:r>
            <w:r>
              <w:rPr>
                <w:rFonts w:eastAsia="Times New Roman"/>
                <w:sz w:val="21"/>
                <w:szCs w:val="21"/>
              </w:rPr>
              <w:t xml:space="preserve"> — chaussures orthopédiques agréées, convention diabète active</w:t>
            </w:r>
          </w:p>
        </w:tc>
      </w:tr>
      <w:tr w:rsidR="00000000" w14:paraId="27ED61E6"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B93840D" w14:textId="77777777" w:rsidR="0020702A" w:rsidRDefault="0020702A">
            <w:pPr>
              <w:spacing w:before="200" w:after="360"/>
              <w:rPr>
                <w:rFonts w:eastAsia="Times New Roman"/>
                <w:sz w:val="21"/>
                <w:szCs w:val="21"/>
              </w:rPr>
            </w:pPr>
            <w:r>
              <w:rPr>
                <w:rStyle w:val="Zwaar"/>
                <w:rFonts w:eastAsia="Times New Roman"/>
                <w:sz w:val="21"/>
                <w:szCs w:val="21"/>
              </w:rPr>
              <w:t>Clinique du pied diabétique UZ Gent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3D8CA3" w14:textId="77777777" w:rsidR="0020702A" w:rsidRDefault="0020702A">
            <w:pPr>
              <w:spacing w:before="200" w:after="360"/>
              <w:rPr>
                <w:rFonts w:eastAsia="Times New Roman"/>
                <w:sz w:val="21"/>
                <w:szCs w:val="21"/>
              </w:rPr>
            </w:pPr>
            <w:r>
              <w:rPr>
                <w:rFonts w:eastAsia="Times New Roman"/>
                <w:sz w:val="21"/>
                <w:szCs w:val="21"/>
              </w:rPr>
              <w:t>MC (convention)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5491F9C" w14:textId="77777777" w:rsidR="0020702A" w:rsidRDefault="0020702A">
            <w:pPr>
              <w:spacing w:before="200" w:after="360"/>
              <w:rPr>
                <w:rFonts w:eastAsia="Times New Roman"/>
                <w:sz w:val="21"/>
                <w:szCs w:val="21"/>
              </w:rPr>
            </w:pPr>
            <w:r>
              <w:rPr>
                <w:rFonts w:eastAsia="Times New Roman"/>
                <w:sz w:val="21"/>
                <w:szCs w:val="21"/>
              </w:rPr>
              <w:t>Convention avec un hôpital universitaire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4E67B5" w14:textId="77777777" w:rsidR="0020702A" w:rsidRDefault="0020702A">
            <w:pPr>
              <w:spacing w:before="200" w:after="360"/>
              <w:rPr>
                <w:rFonts w:eastAsia="Times New Roman"/>
                <w:sz w:val="21"/>
                <w:szCs w:val="21"/>
              </w:rPr>
            </w:pPr>
            <w:r>
              <w:rPr>
                <w:rStyle w:val="status-g1"/>
                <w:rFonts w:eastAsia="Times New Roman"/>
                <w:sz w:val="21"/>
                <w:szCs w:val="21"/>
              </w:rPr>
              <w:t>En vigueur</w:t>
            </w:r>
            <w:r>
              <w:rPr>
                <w:rFonts w:eastAsia="Times New Roman"/>
                <w:sz w:val="21"/>
                <w:szCs w:val="21"/>
              </w:rPr>
              <w:t xml:space="preserve"> — validé du 19/06/2026 au 27/05/2027</w:t>
            </w:r>
          </w:p>
        </w:tc>
      </w:tr>
      <w:tr w:rsidR="00000000" w14:paraId="72F04D17"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D1718C" w14:textId="77777777" w:rsidR="0020702A" w:rsidRDefault="0020702A">
            <w:pPr>
              <w:spacing w:before="200" w:after="360"/>
              <w:rPr>
                <w:rFonts w:eastAsia="Times New Roman"/>
                <w:sz w:val="21"/>
                <w:szCs w:val="21"/>
              </w:rPr>
            </w:pPr>
            <w:r>
              <w:rPr>
                <w:rStyle w:val="Zwaar"/>
                <w:rFonts w:eastAsia="Times New Roman"/>
                <w:sz w:val="21"/>
                <w:szCs w:val="21"/>
              </w:rPr>
              <w:t>Carte de stationnement européenne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FDDC27" w14:textId="77777777" w:rsidR="0020702A" w:rsidRDefault="0020702A">
            <w:pPr>
              <w:spacing w:before="200" w:after="360"/>
              <w:rPr>
                <w:rFonts w:eastAsia="Times New Roman"/>
                <w:sz w:val="21"/>
                <w:szCs w:val="21"/>
              </w:rPr>
            </w:pPr>
            <w:r>
              <w:rPr>
                <w:rFonts w:eastAsia="Times New Roman"/>
                <w:sz w:val="21"/>
                <w:szCs w:val="21"/>
              </w:rPr>
              <w:t>SPF Sécurité sociale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F3AB45" w14:textId="77777777" w:rsidR="0020702A" w:rsidRDefault="0020702A">
            <w:pPr>
              <w:spacing w:before="200" w:after="360"/>
              <w:rPr>
                <w:rFonts w:eastAsia="Times New Roman"/>
                <w:sz w:val="21"/>
                <w:szCs w:val="21"/>
              </w:rPr>
            </w:pPr>
            <w:r>
              <w:rPr>
                <w:rFonts w:eastAsia="Times New Roman"/>
                <w:sz w:val="21"/>
                <w:szCs w:val="21"/>
              </w:rPr>
              <w:t>Reconnaissance du handicap</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FE4D81" w14:textId="77777777" w:rsidR="0020702A" w:rsidRDefault="0020702A">
            <w:pPr>
              <w:spacing w:before="200" w:after="360"/>
              <w:rPr>
                <w:rFonts w:eastAsia="Times New Roman"/>
                <w:sz w:val="21"/>
                <w:szCs w:val="21"/>
              </w:rPr>
            </w:pPr>
            <w:r>
              <w:rPr>
                <w:rStyle w:val="status-g1"/>
                <w:rFonts w:eastAsia="Times New Roman"/>
                <w:sz w:val="21"/>
                <w:szCs w:val="21"/>
              </w:rPr>
              <w:t>Octroyée</w:t>
            </w:r>
            <w:r>
              <w:rPr>
                <w:rFonts w:eastAsia="Times New Roman"/>
                <w:sz w:val="21"/>
                <w:szCs w:val="21"/>
              </w:rPr>
              <w:t xml:space="preserve"> le 03/08/2026, durée indéterminée</w:t>
            </w:r>
          </w:p>
        </w:tc>
      </w:tr>
      <w:tr w:rsidR="00000000" w14:paraId="03190FA5"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7CA55AF" w14:textId="77777777" w:rsidR="0020702A" w:rsidRDefault="0020702A">
            <w:pPr>
              <w:spacing w:before="200" w:after="360"/>
              <w:rPr>
                <w:rFonts w:eastAsia="Times New Roman"/>
                <w:sz w:val="21"/>
                <w:szCs w:val="21"/>
              </w:rPr>
            </w:pPr>
            <w:r>
              <w:rPr>
                <w:rStyle w:val="Zwaar"/>
                <w:rFonts w:eastAsia="Times New Roman"/>
                <w:sz w:val="21"/>
                <w:szCs w:val="21"/>
              </w:rPr>
              <w:t>Carte de réduction pour les transports en commun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845C475" w14:textId="77777777" w:rsidR="0020702A" w:rsidRDefault="0020702A">
            <w:pPr>
              <w:spacing w:before="200" w:after="360"/>
              <w:rPr>
                <w:rFonts w:eastAsia="Times New Roman"/>
                <w:sz w:val="21"/>
                <w:szCs w:val="21"/>
              </w:rPr>
            </w:pPr>
            <w:r>
              <w:rPr>
                <w:rFonts w:eastAsia="Times New Roman"/>
                <w:sz w:val="21"/>
                <w:szCs w:val="21"/>
              </w:rPr>
              <w:t>SPF Sécurité sociale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78EAAF3" w14:textId="77777777" w:rsidR="0020702A" w:rsidRDefault="0020702A">
            <w:pPr>
              <w:spacing w:before="200" w:after="360"/>
              <w:rPr>
                <w:rFonts w:eastAsia="Times New Roman"/>
                <w:sz w:val="21"/>
                <w:szCs w:val="21"/>
              </w:rPr>
            </w:pPr>
            <w:r>
              <w:rPr>
                <w:rFonts w:eastAsia="Times New Roman"/>
                <w:sz w:val="21"/>
                <w:szCs w:val="21"/>
              </w:rPr>
              <w:t>Reconnaissance du handicap + obstacle spécifique à la mobilité</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740FC3A" w14:textId="77777777" w:rsidR="0020702A" w:rsidRDefault="0020702A">
            <w:pPr>
              <w:spacing w:before="200" w:after="360"/>
              <w:rPr>
                <w:rFonts w:eastAsia="Times New Roman"/>
                <w:sz w:val="21"/>
                <w:szCs w:val="21"/>
              </w:rPr>
            </w:pPr>
            <w:r>
              <w:rPr>
                <w:rStyle w:val="status-r1"/>
                <w:rFonts w:eastAsia="Times New Roman"/>
                <w:sz w:val="21"/>
                <w:szCs w:val="21"/>
              </w:rPr>
              <w:t>Refusée</w:t>
            </w:r>
            <w:r>
              <w:rPr>
                <w:rFonts w:eastAsia="Times New Roman"/>
                <w:sz w:val="21"/>
                <w:szCs w:val="21"/>
              </w:rPr>
              <w:t xml:space="preserve"> — 21/08/2026, conditions médicales non remplies</w:t>
            </w:r>
          </w:p>
        </w:tc>
      </w:tr>
      <w:tr w:rsidR="00000000" w14:paraId="21BF531D"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79E6DC" w14:textId="77777777" w:rsidR="0020702A" w:rsidRDefault="0020702A">
            <w:pPr>
              <w:spacing w:before="200" w:after="360"/>
              <w:rPr>
                <w:rFonts w:eastAsia="Times New Roman"/>
                <w:sz w:val="21"/>
                <w:szCs w:val="21"/>
              </w:rPr>
            </w:pPr>
            <w:r>
              <w:rPr>
                <w:rStyle w:val="Zwaar"/>
                <w:rFonts w:eastAsia="Times New Roman"/>
                <w:sz w:val="21"/>
                <w:szCs w:val="21"/>
              </w:rPr>
              <w:t>Attestation d'aptitude à la conduite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9A6F6D" w14:textId="77777777" w:rsidR="0020702A" w:rsidRDefault="0020702A">
            <w:pPr>
              <w:spacing w:before="200" w:after="360"/>
              <w:rPr>
                <w:rFonts w:eastAsia="Times New Roman"/>
                <w:sz w:val="21"/>
                <w:szCs w:val="21"/>
              </w:rPr>
            </w:pPr>
            <w:r>
              <w:rPr>
                <w:rFonts w:eastAsia="Times New Roman"/>
                <w:sz w:val="21"/>
                <w:szCs w:val="21"/>
              </w:rPr>
              <w:t>SPF Mobilité / ophtalmologue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B16990" w14:textId="77777777" w:rsidR="0020702A" w:rsidRDefault="0020702A">
            <w:pPr>
              <w:spacing w:before="200" w:after="360"/>
              <w:rPr>
                <w:rFonts w:eastAsia="Times New Roman"/>
                <w:sz w:val="21"/>
                <w:szCs w:val="21"/>
              </w:rPr>
            </w:pPr>
            <w:r>
              <w:rPr>
                <w:rFonts w:eastAsia="Times New Roman"/>
                <w:sz w:val="21"/>
                <w:szCs w:val="21"/>
              </w:rPr>
              <w:t>Acuité visuelle supérieure au seuil légal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A2B7F4B" w14:textId="77777777" w:rsidR="0020702A" w:rsidRDefault="0020702A">
            <w:pPr>
              <w:spacing w:before="200" w:after="360"/>
              <w:rPr>
                <w:rFonts w:eastAsia="Times New Roman"/>
                <w:sz w:val="21"/>
                <w:szCs w:val="21"/>
              </w:rPr>
            </w:pPr>
            <w:r>
              <w:rPr>
                <w:rStyle w:val="status-r1"/>
                <w:rFonts w:eastAsia="Times New Roman"/>
                <w:sz w:val="21"/>
                <w:szCs w:val="21"/>
              </w:rPr>
              <w:t>Rejeté</w:t>
            </w:r>
            <w:r>
              <w:rPr>
                <w:rFonts w:eastAsia="Times New Roman"/>
                <w:sz w:val="21"/>
                <w:szCs w:val="21"/>
              </w:rPr>
              <w:t xml:space="preserve"> — acuité visuelle inférieure au seuil, de manière permanente</w:t>
            </w:r>
          </w:p>
        </w:tc>
      </w:tr>
    </w:tbl>
    <w:p w14:paraId="43E44478" w14:textId="77777777" w:rsidR="0020702A" w:rsidRDefault="0020702A">
      <w:pPr>
        <w:pStyle w:val="Kop4"/>
        <w:divId w:val="1419013937"/>
        <w:rPr>
          <w:rFonts w:eastAsia="Times New Roman"/>
          <w:lang w:val="fr-FR"/>
        </w:rPr>
      </w:pPr>
      <w:r>
        <w:rPr>
          <w:rFonts w:eastAsia="Times New Roman"/>
          <w:lang w:val="fr-FR"/>
        </w:rPr>
        <w:t>Aides néerlandaises</w:t>
      </w:r>
    </w:p>
    <w:tbl>
      <w:tblPr>
        <w:tblW w:w="5000" w:type="pct"/>
        <w:tblCellMar>
          <w:top w:w="15" w:type="dxa"/>
          <w:left w:w="15" w:type="dxa"/>
          <w:bottom w:w="15" w:type="dxa"/>
          <w:right w:w="15" w:type="dxa"/>
        </w:tblCellMar>
        <w:tblLook w:val="04A0" w:firstRow="1" w:lastRow="0" w:firstColumn="1" w:lastColumn="0" w:noHBand="0" w:noVBand="1"/>
      </w:tblPr>
      <w:tblGrid>
        <w:gridCol w:w="2536"/>
        <w:gridCol w:w="1992"/>
        <w:gridCol w:w="1992"/>
        <w:gridCol w:w="2536"/>
      </w:tblGrid>
      <w:tr w:rsidR="00000000" w14:paraId="213247FC" w14:textId="77777777">
        <w:trPr>
          <w:divId w:val="1419013937"/>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7238DA1"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Catégorie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9FD31C2"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Gestionnaire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16A91E8"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Condition</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06C2E20"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Statut</w:t>
            </w:r>
          </w:p>
        </w:tc>
      </w:tr>
      <w:tr w:rsidR="00000000" w14:paraId="6E2C1292"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005787" w14:textId="77777777" w:rsidR="0020702A" w:rsidRDefault="0020702A">
            <w:pPr>
              <w:spacing w:before="200" w:after="360"/>
              <w:rPr>
                <w:rFonts w:eastAsia="Times New Roman"/>
                <w:sz w:val="21"/>
                <w:szCs w:val="21"/>
              </w:rPr>
            </w:pPr>
            <w:r>
              <w:rPr>
                <w:rStyle w:val="Zwaar"/>
                <w:rFonts w:eastAsia="Times New Roman"/>
                <w:sz w:val="21"/>
                <w:szCs w:val="21"/>
              </w:rPr>
              <w:t>WIA - prestation</w:t>
            </w:r>
            <w:r>
              <w:rPr>
                <w:rFonts w:eastAsia="Times New Roman"/>
                <w:sz w:val="21"/>
                <w:szCs w:val="21"/>
              </w:rPr>
              <w:t xml:space="preserve"> (incapacité de travail)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2AACBD" w14:textId="77777777" w:rsidR="0020702A" w:rsidRDefault="0020702A">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1318834" w14:textId="77777777" w:rsidR="0020702A" w:rsidRDefault="0020702A">
            <w:pPr>
              <w:spacing w:before="200" w:after="360"/>
              <w:rPr>
                <w:rFonts w:eastAsia="Times New Roman"/>
                <w:sz w:val="21"/>
                <w:szCs w:val="21"/>
              </w:rPr>
            </w:pPr>
            <w:r>
              <w:rPr>
                <w:rFonts w:eastAsia="Times New Roman"/>
                <w:sz w:val="21"/>
                <w:szCs w:val="21"/>
              </w:rPr>
              <w:t>104 semaines de délai d'attente + assurance à la date de référence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431FEA"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date de référence erronée, arrêt Vester non appliqué</w:t>
            </w:r>
          </w:p>
        </w:tc>
      </w:tr>
      <w:tr w:rsidR="00000000" w14:paraId="259D415D"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BD15E94" w14:textId="77777777" w:rsidR="0020702A" w:rsidRDefault="0020702A">
            <w:pPr>
              <w:spacing w:before="200" w:after="360"/>
              <w:rPr>
                <w:rFonts w:eastAsia="Times New Roman"/>
                <w:sz w:val="21"/>
                <w:szCs w:val="21"/>
              </w:rPr>
            </w:pPr>
            <w:r>
              <w:rPr>
                <w:rStyle w:val="Zwaar"/>
                <w:rFonts w:eastAsia="Times New Roman"/>
                <w:sz w:val="21"/>
                <w:szCs w:val="21"/>
              </w:rPr>
              <w:t>Allocation d'aide sociale</w:t>
            </w:r>
            <w:r>
              <w:rPr>
                <w:rFonts w:eastAsia="Times New Roman"/>
                <w:sz w:val="21"/>
                <w:szCs w:val="21"/>
              </w:rPr>
              <w:t xml:space="preserve"> (loi sur la participation)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A263134" w14:textId="77777777" w:rsidR="0020702A" w:rsidRDefault="0020702A">
            <w:pPr>
              <w:spacing w:before="200" w:after="360"/>
              <w:rPr>
                <w:rFonts w:eastAsia="Times New Roman"/>
                <w:sz w:val="21"/>
                <w:szCs w:val="21"/>
              </w:rPr>
            </w:pPr>
            <w:r>
              <w:rPr>
                <w:rFonts w:eastAsia="Times New Roman"/>
                <w:sz w:val="21"/>
                <w:szCs w:val="21"/>
              </w:rPr>
              <w:t>Commune de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3A5EC6" w14:textId="77777777" w:rsidR="0020702A" w:rsidRDefault="0020702A">
            <w:pPr>
              <w:spacing w:before="200" w:after="360"/>
              <w:rPr>
                <w:rFonts w:eastAsia="Times New Roman"/>
                <w:sz w:val="21"/>
                <w:szCs w:val="21"/>
              </w:rPr>
            </w:pPr>
            <w:r>
              <w:rPr>
                <w:rFonts w:eastAsia="Times New Roman"/>
                <w:sz w:val="21"/>
                <w:szCs w:val="21"/>
              </w:rPr>
              <w:t>Revenus insuffisants + patrimoine inférieur au seuil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52A553"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demande d’aide supprimée sans avoir été lue après 73 jours</w:t>
            </w:r>
          </w:p>
        </w:tc>
      </w:tr>
      <w:tr w:rsidR="00000000" w14:paraId="47D65133"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E148F4" w14:textId="77777777" w:rsidR="0020702A" w:rsidRDefault="0020702A">
            <w:pPr>
              <w:spacing w:before="200" w:after="360"/>
              <w:rPr>
                <w:rFonts w:eastAsia="Times New Roman"/>
                <w:sz w:val="21"/>
                <w:szCs w:val="21"/>
              </w:rPr>
            </w:pPr>
            <w:r>
              <w:rPr>
                <w:rStyle w:val="Zwaar"/>
                <w:rFonts w:eastAsia="Times New Roman"/>
                <w:sz w:val="21"/>
                <w:szCs w:val="21"/>
              </w:rPr>
              <w:t>Aide sociale spéciale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9B88D03" w14:textId="77777777" w:rsidR="0020702A" w:rsidRDefault="0020702A">
            <w:pPr>
              <w:spacing w:before="200" w:after="360"/>
              <w:rPr>
                <w:rFonts w:eastAsia="Times New Roman"/>
                <w:sz w:val="21"/>
                <w:szCs w:val="21"/>
              </w:rPr>
            </w:pPr>
            <w:r>
              <w:rPr>
                <w:rFonts w:eastAsia="Times New Roman"/>
                <w:sz w:val="21"/>
                <w:szCs w:val="21"/>
              </w:rPr>
              <w:t>Commune de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80673CD" w14:textId="77777777" w:rsidR="0020702A" w:rsidRDefault="0020702A">
            <w:pPr>
              <w:spacing w:before="200" w:after="360"/>
              <w:rPr>
                <w:rFonts w:eastAsia="Times New Roman"/>
                <w:sz w:val="21"/>
                <w:szCs w:val="21"/>
              </w:rPr>
            </w:pPr>
            <w:r>
              <w:rPr>
                <w:rFonts w:eastAsia="Times New Roman"/>
                <w:sz w:val="21"/>
                <w:szCs w:val="21"/>
              </w:rPr>
              <w:t>Dépenses exceptionnelles + revenus inférieurs au seuil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952C6D"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 pas d'évaluation au fond</w:t>
            </w:r>
          </w:p>
        </w:tc>
      </w:tr>
      <w:tr w:rsidR="00000000" w14:paraId="2C9CFBE9"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F5F842" w14:textId="77777777" w:rsidR="0020702A" w:rsidRDefault="0020702A">
            <w:pPr>
              <w:spacing w:before="200" w:after="360"/>
              <w:rPr>
                <w:rFonts w:eastAsia="Times New Roman"/>
                <w:sz w:val="21"/>
                <w:szCs w:val="21"/>
              </w:rPr>
            </w:pPr>
            <w:r>
              <w:rPr>
                <w:rStyle w:val="Zwaar"/>
                <w:rFonts w:eastAsia="Times New Roman"/>
                <w:sz w:val="21"/>
                <w:szCs w:val="21"/>
              </w:rPr>
              <w:t>Allocation de soins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41B094" w14:textId="77777777" w:rsidR="0020702A" w:rsidRDefault="0020702A">
            <w:pPr>
              <w:spacing w:before="200" w:after="360"/>
              <w:rPr>
                <w:rFonts w:eastAsia="Times New Roman"/>
                <w:sz w:val="21"/>
                <w:szCs w:val="21"/>
              </w:rPr>
            </w:pPr>
            <w:r>
              <w:rPr>
                <w:rFonts w:eastAsia="Times New Roman"/>
                <w:sz w:val="21"/>
                <w:szCs w:val="21"/>
              </w:rPr>
              <w:t>Service des allocations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91FE4E0" w14:textId="77777777" w:rsidR="0020702A" w:rsidRDefault="0020702A">
            <w:pPr>
              <w:spacing w:before="200" w:after="360"/>
              <w:rPr>
                <w:rFonts w:eastAsia="Times New Roman"/>
                <w:sz w:val="21"/>
                <w:szCs w:val="21"/>
              </w:rPr>
            </w:pPr>
            <w:r>
              <w:rPr>
                <w:rFonts w:eastAsia="Times New Roman"/>
                <w:sz w:val="21"/>
                <w:szCs w:val="21"/>
              </w:rPr>
              <w:t>Assuré aux Pays-Bas + revenus inférieurs au seuil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79C2750" w14:textId="77777777" w:rsidR="0020702A" w:rsidRDefault="0020702A">
            <w:pPr>
              <w:spacing w:before="200" w:after="360"/>
              <w:rPr>
                <w:rFonts w:eastAsia="Times New Roman"/>
                <w:sz w:val="21"/>
                <w:szCs w:val="21"/>
              </w:rPr>
            </w:pPr>
            <w:r>
              <w:rPr>
                <w:rStyle w:val="status-r1"/>
                <w:rFonts w:eastAsia="Times New Roman"/>
                <w:sz w:val="21"/>
                <w:szCs w:val="21"/>
              </w:rPr>
              <w:t>Bloqué</w:t>
            </w:r>
            <w:r>
              <w:rPr>
                <w:rFonts w:eastAsia="Times New Roman"/>
                <w:sz w:val="21"/>
                <w:szCs w:val="21"/>
              </w:rPr>
              <w:t xml:space="preserve"> </w:t>
            </w:r>
            <w:r>
              <w:rPr>
                <w:rFonts w:eastAsia="Times New Roman"/>
                <w:sz w:val="21"/>
                <w:szCs w:val="21"/>
              </w:rPr>
              <w:t>— le registre RIV ne contient aucune police d'assurance relevant d'une convention</w:t>
            </w:r>
          </w:p>
        </w:tc>
      </w:tr>
      <w:tr w:rsidR="00000000" w14:paraId="4A297358"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D78D6F0" w14:textId="77777777" w:rsidR="0020702A" w:rsidRDefault="0020702A">
            <w:pPr>
              <w:spacing w:before="200" w:after="360"/>
              <w:rPr>
                <w:rFonts w:eastAsia="Times New Roman"/>
                <w:sz w:val="21"/>
                <w:szCs w:val="21"/>
              </w:rPr>
            </w:pPr>
            <w:r>
              <w:rPr>
                <w:rStyle w:val="Zwaar"/>
                <w:rFonts w:eastAsia="Times New Roman"/>
                <w:sz w:val="21"/>
                <w:szCs w:val="21"/>
              </w:rPr>
              <w:t>Allocation de logement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FDA7EFE" w14:textId="77777777" w:rsidR="0020702A" w:rsidRDefault="0020702A">
            <w:pPr>
              <w:spacing w:before="200" w:after="360"/>
              <w:rPr>
                <w:rFonts w:eastAsia="Times New Roman"/>
                <w:sz w:val="21"/>
                <w:szCs w:val="21"/>
              </w:rPr>
            </w:pPr>
            <w:r>
              <w:rPr>
                <w:rFonts w:eastAsia="Times New Roman"/>
                <w:sz w:val="21"/>
                <w:szCs w:val="21"/>
              </w:rPr>
              <w:t>Service des allocations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46ACE4" w14:textId="77777777" w:rsidR="0020702A" w:rsidRDefault="0020702A">
            <w:pPr>
              <w:spacing w:before="200" w:after="360"/>
              <w:rPr>
                <w:rFonts w:eastAsia="Times New Roman"/>
                <w:sz w:val="21"/>
                <w:szCs w:val="21"/>
              </w:rPr>
            </w:pPr>
            <w:r>
              <w:rPr>
                <w:rFonts w:eastAsia="Times New Roman"/>
                <w:sz w:val="21"/>
                <w:szCs w:val="21"/>
              </w:rPr>
              <w:t>Loyer supérieur au seuil + revenus inférieurs au seuil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637FC4" w14:textId="77777777" w:rsidR="0020702A" w:rsidRDefault="0020702A">
            <w:pPr>
              <w:spacing w:before="200" w:after="360"/>
              <w:rPr>
                <w:rFonts w:eastAsia="Times New Roman"/>
                <w:sz w:val="21"/>
                <w:szCs w:val="21"/>
              </w:rPr>
            </w:pPr>
            <w:r>
              <w:rPr>
                <w:rStyle w:val="status-o1"/>
                <w:rFonts w:eastAsia="Times New Roman"/>
                <w:sz w:val="21"/>
                <w:szCs w:val="21"/>
              </w:rPr>
              <w:t>Partiellement</w:t>
            </w:r>
            <w:r>
              <w:rPr>
                <w:rFonts w:eastAsia="Times New Roman"/>
                <w:sz w:val="21"/>
                <w:szCs w:val="21"/>
              </w:rPr>
              <w:t xml:space="preserve"> — accordée, montant révisé sur la base de revenus incomplets</w:t>
            </w:r>
          </w:p>
        </w:tc>
      </w:tr>
      <w:tr w:rsidR="00000000" w14:paraId="413815B3"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33ADB99" w14:textId="77777777" w:rsidR="0020702A" w:rsidRDefault="0020702A">
            <w:pPr>
              <w:spacing w:before="200" w:after="360"/>
              <w:rPr>
                <w:rFonts w:eastAsia="Times New Roman"/>
                <w:sz w:val="21"/>
                <w:szCs w:val="21"/>
              </w:rPr>
            </w:pPr>
            <w:r>
              <w:rPr>
                <w:rStyle w:val="Zwaar"/>
                <w:rFonts w:eastAsia="Times New Roman"/>
                <w:sz w:val="21"/>
                <w:szCs w:val="21"/>
              </w:rPr>
              <w:t>Budget lié aux enfants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407543F" w14:textId="77777777" w:rsidR="0020702A" w:rsidRDefault="0020702A">
            <w:pPr>
              <w:spacing w:before="200" w:after="360"/>
              <w:rPr>
                <w:rFonts w:eastAsia="Times New Roman"/>
                <w:sz w:val="21"/>
                <w:szCs w:val="21"/>
              </w:rPr>
            </w:pPr>
            <w:r>
              <w:rPr>
                <w:rFonts w:eastAsia="Times New Roman"/>
                <w:sz w:val="21"/>
                <w:szCs w:val="21"/>
              </w:rPr>
              <w:t>Service des allocations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37E2A8" w14:textId="77777777" w:rsidR="0020702A" w:rsidRDefault="0020702A">
            <w:pPr>
              <w:spacing w:before="200" w:after="360"/>
              <w:rPr>
                <w:rFonts w:eastAsia="Times New Roman"/>
                <w:sz w:val="21"/>
                <w:szCs w:val="21"/>
              </w:rPr>
            </w:pPr>
            <w:r>
              <w:rPr>
                <w:rFonts w:eastAsia="Times New Roman"/>
                <w:sz w:val="21"/>
                <w:szCs w:val="21"/>
              </w:rPr>
              <w:t>Enfant + revenus inférieurs au seuil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FF24EA" w14:textId="77777777" w:rsidR="0020702A" w:rsidRDefault="0020702A">
            <w:pPr>
              <w:spacing w:before="200" w:after="360"/>
              <w:rPr>
                <w:rFonts w:eastAsia="Times New Roman"/>
                <w:sz w:val="21"/>
                <w:szCs w:val="21"/>
              </w:rPr>
            </w:pPr>
            <w:r>
              <w:rPr>
                <w:rStyle w:val="status-o1"/>
                <w:rFonts w:eastAsia="Times New Roman"/>
                <w:sz w:val="21"/>
                <w:szCs w:val="21"/>
              </w:rPr>
              <w:t>Partiellement</w:t>
            </w:r>
            <w:r>
              <w:rPr>
                <w:rFonts w:eastAsia="Times New Roman"/>
                <w:sz w:val="21"/>
                <w:szCs w:val="21"/>
              </w:rPr>
              <w:t xml:space="preserve"> — accordé après recoupement avec SVB</w:t>
            </w:r>
          </w:p>
        </w:tc>
      </w:tr>
      <w:tr w:rsidR="00000000" w14:paraId="6FADF65D"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FA55510" w14:textId="77777777" w:rsidR="0020702A" w:rsidRDefault="0020702A">
            <w:pPr>
              <w:spacing w:before="200" w:after="360"/>
              <w:rPr>
                <w:rFonts w:eastAsia="Times New Roman"/>
                <w:sz w:val="21"/>
                <w:szCs w:val="21"/>
              </w:rPr>
            </w:pPr>
            <w:r>
              <w:rPr>
                <w:rStyle w:val="Zwaar"/>
                <w:rFonts w:eastAsia="Times New Roman"/>
                <w:sz w:val="21"/>
                <w:szCs w:val="21"/>
              </w:rPr>
              <w:t>Allocations familiales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4BD02E8" w14:textId="77777777" w:rsidR="0020702A" w:rsidRDefault="0020702A">
            <w:pPr>
              <w:spacing w:before="200" w:after="360"/>
              <w:rPr>
                <w:rFonts w:eastAsia="Times New Roman"/>
                <w:sz w:val="21"/>
                <w:szCs w:val="21"/>
              </w:rPr>
            </w:pPr>
            <w:r>
              <w:rPr>
                <w:rFonts w:eastAsia="Times New Roman"/>
                <w:sz w:val="21"/>
                <w:szCs w:val="21"/>
              </w:rPr>
              <w:t>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254BB0" w14:textId="77777777" w:rsidR="0020702A" w:rsidRDefault="0020702A">
            <w:pPr>
              <w:spacing w:before="200" w:after="360"/>
              <w:rPr>
                <w:rFonts w:eastAsia="Times New Roman"/>
                <w:sz w:val="21"/>
                <w:szCs w:val="21"/>
              </w:rPr>
            </w:pPr>
            <w:r>
              <w:rPr>
                <w:rFonts w:eastAsia="Times New Roman"/>
                <w:sz w:val="21"/>
                <w:szCs w:val="21"/>
              </w:rPr>
              <w:t>Enfant à charge + principe du pays de résidence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D54466" w14:textId="77777777" w:rsidR="0020702A" w:rsidRDefault="0020702A">
            <w:pPr>
              <w:spacing w:before="200" w:after="360"/>
              <w:rPr>
                <w:rFonts w:eastAsia="Times New Roman"/>
                <w:sz w:val="21"/>
                <w:szCs w:val="21"/>
              </w:rPr>
            </w:pPr>
            <w:r>
              <w:rPr>
                <w:rStyle w:val="status-g1"/>
                <w:rFonts w:eastAsia="Times New Roman"/>
                <w:sz w:val="21"/>
                <w:szCs w:val="21"/>
              </w:rPr>
              <w:t>Octroyées</w:t>
            </w:r>
            <w:r>
              <w:rPr>
                <w:rFonts w:eastAsia="Times New Roman"/>
                <w:sz w:val="21"/>
                <w:szCs w:val="21"/>
              </w:rPr>
              <w:t xml:space="preserve"> — montant modeste, en vigueur depuis le 20/04/2026</w:t>
            </w:r>
          </w:p>
        </w:tc>
      </w:tr>
    </w:tbl>
    <w:p w14:paraId="7FD1418C" w14:textId="77777777" w:rsidR="0020702A" w:rsidRDefault="0020702A">
      <w:pPr>
        <w:pStyle w:val="Kop4"/>
        <w:divId w:val="1419013937"/>
        <w:rPr>
          <w:rFonts w:eastAsia="Times New Roman"/>
          <w:lang w:val="fr-FR"/>
        </w:rPr>
      </w:pPr>
      <w:r>
        <w:rPr>
          <w:rFonts w:eastAsia="Times New Roman"/>
          <w:lang w:val="fr-FR"/>
        </w:rPr>
        <w:t>Droits transfrontaliers</w:t>
      </w:r>
    </w:p>
    <w:tbl>
      <w:tblPr>
        <w:tblW w:w="5000" w:type="pct"/>
        <w:tblCellMar>
          <w:top w:w="15" w:type="dxa"/>
          <w:left w:w="15" w:type="dxa"/>
          <w:bottom w:w="15" w:type="dxa"/>
          <w:right w:w="15" w:type="dxa"/>
        </w:tblCellMar>
        <w:tblLook w:val="04A0" w:firstRow="1" w:lastRow="0" w:firstColumn="1" w:lastColumn="0" w:noHBand="0" w:noVBand="1"/>
      </w:tblPr>
      <w:tblGrid>
        <w:gridCol w:w="2536"/>
        <w:gridCol w:w="1992"/>
        <w:gridCol w:w="1992"/>
        <w:gridCol w:w="2536"/>
      </w:tblGrid>
      <w:tr w:rsidR="00000000" w14:paraId="3DFAB955" w14:textId="77777777">
        <w:trPr>
          <w:divId w:val="1419013937"/>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9CC8A21"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Droit</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6DBC79D"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Fondement</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885B1A5"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Condition</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BFCD817"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Statut</w:t>
            </w:r>
          </w:p>
        </w:tc>
      </w:tr>
      <w:tr w:rsidR="00000000" w14:paraId="70A869DB"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6A4B696" w14:textId="77777777" w:rsidR="0020702A" w:rsidRDefault="0020702A">
            <w:pPr>
              <w:spacing w:before="200" w:after="360"/>
              <w:rPr>
                <w:rFonts w:eastAsia="Times New Roman"/>
                <w:sz w:val="21"/>
                <w:szCs w:val="21"/>
              </w:rPr>
            </w:pPr>
            <w:r>
              <w:rPr>
                <w:rStyle w:val="Zwaar"/>
                <w:rFonts w:eastAsia="Times New Roman"/>
                <w:sz w:val="21"/>
                <w:szCs w:val="21"/>
              </w:rPr>
              <w:t>Totalisation des périodes d'assurance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7FD87FD" w14:textId="77777777" w:rsidR="0020702A" w:rsidRDefault="0020702A">
            <w:pPr>
              <w:spacing w:before="200" w:after="360"/>
              <w:rPr>
                <w:rFonts w:eastAsia="Times New Roman"/>
                <w:sz w:val="21"/>
                <w:szCs w:val="21"/>
              </w:rPr>
            </w:pPr>
            <w:r>
              <w:rPr>
                <w:rFonts w:eastAsia="Times New Roman"/>
                <w:sz w:val="21"/>
                <w:szCs w:val="21"/>
              </w:rPr>
              <w:t>Règlement n° 883/2004, art. 6</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456B32D" w14:textId="77777777" w:rsidR="0020702A" w:rsidRDefault="0020702A">
            <w:pPr>
              <w:spacing w:before="200" w:after="360"/>
              <w:rPr>
                <w:rFonts w:eastAsia="Times New Roman"/>
                <w:sz w:val="21"/>
                <w:szCs w:val="21"/>
              </w:rPr>
            </w:pPr>
            <w:r>
              <w:rPr>
                <w:rFonts w:eastAsia="Times New Roman"/>
                <w:sz w:val="21"/>
                <w:szCs w:val="21"/>
              </w:rPr>
              <w:t>Périodes d'assurance dans plusieurs États membres de l'UE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249D04" w14:textId="77777777" w:rsidR="0020702A" w:rsidRDefault="0020702A">
            <w:pPr>
              <w:spacing w:before="200" w:after="360"/>
              <w:rPr>
                <w:rFonts w:eastAsia="Times New Roman"/>
                <w:sz w:val="21"/>
                <w:szCs w:val="21"/>
              </w:rPr>
            </w:pPr>
            <w:r>
              <w:rPr>
                <w:rStyle w:val="status-r1"/>
                <w:rFonts w:eastAsia="Times New Roman"/>
                <w:sz w:val="21"/>
                <w:szCs w:val="21"/>
              </w:rPr>
              <w:t>Non applicable</w:t>
            </w:r>
            <w:r>
              <w:rPr>
                <w:rFonts w:eastAsia="Times New Roman"/>
                <w:sz w:val="21"/>
                <w:szCs w:val="21"/>
              </w:rPr>
              <w:t xml:space="preserve"> — MC et UWV appliquent les périodes de référence nationales</w:t>
            </w:r>
          </w:p>
        </w:tc>
      </w:tr>
      <w:tr w:rsidR="00000000" w14:paraId="5853CF87"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7F1FABC" w14:textId="77777777" w:rsidR="0020702A" w:rsidRDefault="0020702A">
            <w:pPr>
              <w:spacing w:before="200" w:after="360"/>
              <w:rPr>
                <w:rFonts w:eastAsia="Times New Roman"/>
                <w:sz w:val="21"/>
                <w:szCs w:val="21"/>
              </w:rPr>
            </w:pPr>
            <w:r>
              <w:rPr>
                <w:rStyle w:val="Zwaar"/>
                <w:rFonts w:eastAsia="Times New Roman"/>
                <w:sz w:val="21"/>
                <w:szCs w:val="21"/>
              </w:rPr>
              <w:t>Calcul au prorata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92CC1A8" w14:textId="77777777" w:rsidR="0020702A" w:rsidRDefault="0020702A">
            <w:pPr>
              <w:spacing w:before="200" w:after="360"/>
              <w:rPr>
                <w:rFonts w:eastAsia="Times New Roman"/>
                <w:sz w:val="21"/>
                <w:szCs w:val="21"/>
              </w:rPr>
            </w:pPr>
            <w:r>
              <w:rPr>
                <w:rFonts w:eastAsia="Times New Roman"/>
                <w:sz w:val="21"/>
                <w:szCs w:val="21"/>
              </w:rPr>
              <w:t>Règlement n° 883/2004, art. 52</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0E2F2E" w14:textId="77777777" w:rsidR="0020702A" w:rsidRDefault="0020702A">
            <w:pPr>
              <w:spacing w:before="200" w:after="360"/>
              <w:rPr>
                <w:rFonts w:eastAsia="Times New Roman"/>
                <w:sz w:val="21"/>
                <w:szCs w:val="21"/>
              </w:rPr>
            </w:pPr>
            <w:r>
              <w:rPr>
                <w:rFonts w:eastAsia="Times New Roman"/>
                <w:sz w:val="21"/>
                <w:szCs w:val="21"/>
              </w:rPr>
              <w:t>Droit aux prestations dans le cadre du cumul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350028" w14:textId="77777777" w:rsidR="0020702A" w:rsidRDefault="0020702A">
            <w:pPr>
              <w:spacing w:before="200" w:after="360"/>
              <w:rPr>
                <w:rFonts w:eastAsia="Times New Roman"/>
                <w:sz w:val="21"/>
                <w:szCs w:val="21"/>
              </w:rPr>
            </w:pPr>
            <w:r>
              <w:rPr>
                <w:rStyle w:val="status-r1"/>
                <w:rFonts w:eastAsia="Times New Roman"/>
                <w:sz w:val="21"/>
                <w:szCs w:val="21"/>
              </w:rPr>
              <w:t>Non appliqué</w:t>
            </w:r>
            <w:r>
              <w:rPr>
                <w:rFonts w:eastAsia="Times New Roman"/>
                <w:sz w:val="21"/>
                <w:szCs w:val="21"/>
              </w:rPr>
              <w:t xml:space="preserve"> </w:t>
            </w:r>
            <w:r>
              <w:rPr>
                <w:rFonts w:eastAsia="Times New Roman"/>
                <w:sz w:val="21"/>
                <w:szCs w:val="21"/>
              </w:rPr>
              <w:t>— condition : reconnaissance du droit aux prestations</w:t>
            </w:r>
          </w:p>
        </w:tc>
      </w:tr>
      <w:tr w:rsidR="00000000" w14:paraId="065031FF"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4D5572" w14:textId="77777777" w:rsidR="0020702A" w:rsidRDefault="0020702A">
            <w:pPr>
              <w:spacing w:before="200" w:after="360"/>
              <w:rPr>
                <w:rFonts w:eastAsia="Times New Roman"/>
                <w:sz w:val="21"/>
                <w:szCs w:val="21"/>
              </w:rPr>
            </w:pPr>
            <w:r>
              <w:rPr>
                <w:rStyle w:val="Zwaar"/>
                <w:rFonts w:eastAsia="Times New Roman"/>
                <w:sz w:val="21"/>
                <w:szCs w:val="21"/>
              </w:rPr>
              <w:t>Application de l’arrêt Vester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BD3C35E" w14:textId="77777777" w:rsidR="0020702A" w:rsidRDefault="0020702A">
            <w:pPr>
              <w:spacing w:before="200" w:after="360"/>
              <w:rPr>
                <w:rFonts w:eastAsia="Times New Roman"/>
                <w:sz w:val="21"/>
                <w:szCs w:val="21"/>
              </w:rPr>
            </w:pPr>
            <w:r>
              <w:rPr>
                <w:rFonts w:eastAsia="Times New Roman"/>
                <w:sz w:val="21"/>
                <w:szCs w:val="21"/>
              </w:rPr>
              <w:t>CJUE C-134/18</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FAB587" w14:textId="77777777" w:rsidR="0020702A" w:rsidRDefault="0020702A">
            <w:pPr>
              <w:spacing w:before="200" w:after="360"/>
              <w:rPr>
                <w:rFonts w:eastAsia="Times New Roman"/>
                <w:sz w:val="21"/>
                <w:szCs w:val="21"/>
              </w:rPr>
            </w:pPr>
            <w:r>
              <w:rPr>
                <w:rFonts w:eastAsia="Times New Roman"/>
                <w:sz w:val="21"/>
                <w:szCs w:val="21"/>
              </w:rPr>
              <w:t>Perte de revenus en cas d’assurances successives dans deux États membres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12E7B8" w14:textId="77777777" w:rsidR="0020702A" w:rsidRDefault="0020702A">
            <w:pPr>
              <w:spacing w:before="200" w:after="360"/>
              <w:rPr>
                <w:rFonts w:eastAsia="Times New Roman"/>
                <w:sz w:val="21"/>
                <w:szCs w:val="21"/>
              </w:rPr>
            </w:pPr>
            <w:r>
              <w:rPr>
                <w:rStyle w:val="status-r1"/>
                <w:rFonts w:eastAsia="Times New Roman"/>
                <w:sz w:val="21"/>
                <w:szCs w:val="21"/>
              </w:rPr>
              <w:t>Non appliqué</w:t>
            </w:r>
            <w:r>
              <w:rPr>
                <w:rFonts w:eastAsia="Times New Roman"/>
                <w:sz w:val="21"/>
                <w:szCs w:val="21"/>
              </w:rPr>
              <w:t xml:space="preserve"> — UWV refuse, MC refuse</w:t>
            </w:r>
          </w:p>
        </w:tc>
      </w:tr>
    </w:tbl>
    <w:p w14:paraId="4D9AC74C" w14:textId="77777777" w:rsidR="0020702A" w:rsidRDefault="0020702A">
      <w:pPr>
        <w:divId w:val="1419013937"/>
        <w:rPr>
          <w:rFonts w:eastAsia="Times New Roman"/>
          <w:vanish/>
          <w:lang w:val="fr-FR"/>
        </w:rPr>
      </w:pP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A8C22F7"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5DC8946" w14:textId="77777777" w:rsidR="0020702A" w:rsidRDefault="0020702A">
            <w:pPr>
              <w:pStyle w:val="Normaalweb"/>
              <w:spacing w:before="120"/>
              <w:jc w:val="center"/>
              <w:rPr>
                <w:sz w:val="21"/>
                <w:szCs w:val="21"/>
              </w:rPr>
            </w:pPr>
            <w:r>
              <w:rPr>
                <w:noProof/>
                <w:sz w:val="21"/>
                <w:szCs w:val="21"/>
              </w:rPr>
              <w:drawing>
                <wp:inline distT="0" distB="0" distL="0" distR="0" wp14:anchorId="1E34EE5B" wp14:editId="61A722FC">
                  <wp:extent cx="3810000" cy="164465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388B1407" w14:textId="77777777" w:rsidR="0020702A" w:rsidRDefault="0020702A">
            <w:pPr>
              <w:pStyle w:val="caption"/>
              <w:spacing w:after="120" w:afterAutospacing="0"/>
            </w:pPr>
            <w:r>
              <w:rPr>
                <w:rStyle w:val="Zwaar"/>
              </w:rPr>
              <w:t>Figure II.1 — L’inventaire.</w:t>
            </w:r>
            <w:r>
              <w:t xml:space="preserve"> Autour de la famille se trouvent les sources de revenus auxquelles elle a droit ou pourrait avoir droit. Vert = fonctionne. Orange = partiellement ou de manière détournée. Rouge = bloqué ou non sollicité. À gauche, les sources de revenus belges ; à droite, les sources néerlandaises. Les sources vertes sont modestes ou indirectes. Les principales sources de revenus sont toutes en rouge.</w:t>
            </w:r>
          </w:p>
        </w:tc>
      </w:tr>
    </w:tbl>
    <w:p w14:paraId="7D263013" w14:textId="77777777" w:rsidR="0020702A" w:rsidRDefault="0020702A">
      <w:pPr>
        <w:pStyle w:val="Kop3"/>
        <w:divId w:val="1419013937"/>
        <w:rPr>
          <w:rFonts w:eastAsia="Times New Roman"/>
          <w:lang w:val="fr-FR"/>
        </w:rPr>
      </w:pPr>
      <w:bookmarkStart w:id="27" w:name="_Toc242103267"/>
      <w:r>
        <w:rPr>
          <w:rFonts w:eastAsia="Times New Roman"/>
          <w:lang w:val="fr-FR"/>
        </w:rPr>
        <w:t>Partie II-B — La vente liée</w:t>
      </w:r>
      <w:bookmarkEnd w:id="27"/>
    </w:p>
    <w:p w14:paraId="3D0F3AA5" w14:textId="77777777" w:rsidR="0020702A" w:rsidRDefault="0020702A">
      <w:pPr>
        <w:pStyle w:val="Normaalweb"/>
        <w:divId w:val="1419013937"/>
        <w:rPr>
          <w:lang w:val="fr-FR"/>
        </w:rPr>
      </w:pPr>
      <w:r>
        <w:rPr>
          <w:lang w:val="fr-FR"/>
        </w:rPr>
        <w:t xml:space="preserve">Les sources de revenus ne sont pas indépendantes les unes des autres. Dans les deux pays, il existe une </w:t>
      </w:r>
      <w:r>
        <w:rPr>
          <w:rStyle w:val="Zwaar"/>
          <w:lang w:val="fr-FR"/>
        </w:rPr>
        <w:t>vente liée</w:t>
      </w:r>
      <w:r>
        <w:rPr>
          <w:lang w:val="fr-FR"/>
        </w:rPr>
        <w:t xml:space="preserve"> : un diagnostic médical entraîne deux conséquences possibles — une prestation et un avantage fiscal — mais l’avantage fiscal n’est accordé qu’après la reconnaissance du droit à la prestation. Juridiquement, il s’agit de deux procédures distinctes. Sur le plan administratif, elles sont liées l’une à l’autre.</w:t>
      </w:r>
    </w:p>
    <w:p w14:paraId="0C499B98" w14:textId="77777777" w:rsidR="0020702A" w:rsidRDefault="0020702A">
      <w:pPr>
        <w:pStyle w:val="Kop4"/>
        <w:divId w:val="1419013937"/>
        <w:rPr>
          <w:rFonts w:eastAsia="Times New Roman"/>
          <w:lang w:val="fr-FR"/>
        </w:rPr>
      </w:pPr>
      <w:r>
        <w:rPr>
          <w:rFonts w:eastAsia="Times New Roman"/>
          <w:lang w:val="fr-FR"/>
        </w:rPr>
        <w:t>Comment fonctionne le lien de dépendance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06F1D01"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EE2CCEA" w14:textId="77777777" w:rsidR="0020702A" w:rsidRDefault="0020702A">
            <w:pPr>
              <w:pStyle w:val="Normaalweb"/>
              <w:spacing w:before="120"/>
              <w:jc w:val="center"/>
              <w:rPr>
                <w:sz w:val="21"/>
                <w:szCs w:val="21"/>
              </w:rPr>
            </w:pPr>
            <w:r>
              <w:rPr>
                <w:noProof/>
                <w:sz w:val="21"/>
                <w:szCs w:val="21"/>
              </w:rPr>
              <w:drawing>
                <wp:inline distT="0" distB="0" distL="0" distR="0" wp14:anchorId="3CC39286" wp14:editId="1A69A337">
                  <wp:extent cx="3810000" cy="14541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5DDC1DC6" w14:textId="77777777" w:rsidR="0020702A" w:rsidRDefault="0020702A">
            <w:pPr>
              <w:pStyle w:val="caption"/>
              <w:spacing w:after="120" w:afterAutospacing="0"/>
            </w:pPr>
            <w:r>
              <w:rPr>
                <w:rStyle w:val="Zwaar"/>
              </w:rPr>
              <w:t>Figure II.2 — Le lien de dépendance.</w:t>
            </w:r>
            <w:r>
              <w:t xml:space="preserve"> Un seul diagnostic médical, deux voies. La voie fiscale n’est pas évaluée de manière indépendante, mais est liée à la voie des prestations. Appliquée dans les deux pays, avec une variante administrative propre à chacun.</w:t>
            </w:r>
          </w:p>
        </w:tc>
      </w:tr>
    </w:tbl>
    <w:p w14:paraId="21B894AB" w14:textId="77777777" w:rsidR="0020702A" w:rsidRDefault="0020702A">
      <w:pPr>
        <w:pStyle w:val="Kop4"/>
        <w:divId w:val="1419013937"/>
        <w:rPr>
          <w:rFonts w:eastAsia="Times New Roman"/>
          <w:lang w:val="fr-FR"/>
        </w:rPr>
      </w:pPr>
      <w:r>
        <w:rPr>
          <w:rFonts w:eastAsia="Times New Roman"/>
          <w:lang w:val="fr-FR"/>
        </w:rPr>
        <w:t>Pourquoi cela est-il fatal pour un travailleur frontalier ?</w:t>
      </w:r>
    </w:p>
    <w:p w14:paraId="412C2DC7" w14:textId="77777777" w:rsidR="0020702A" w:rsidRDefault="0020702A">
      <w:pPr>
        <w:pStyle w:val="Normaalweb"/>
        <w:divId w:val="1419013937"/>
        <w:rPr>
          <w:lang w:val="fr-FR"/>
        </w:rPr>
      </w:pPr>
      <w:r>
        <w:rPr>
          <w:lang w:val="fr-FR"/>
        </w:rPr>
        <w:t>Un ressortissant national dispose d’un seul système. Si la vente liée pose problème, il peut introduire une réclamation auprès d’un seul guichet. Un travailleur frontalier est confronté à deux systèmes nationaux qui ne le considèrent pas comme une seule et même personne.</w:t>
      </w:r>
    </w:p>
    <w:p w14:paraId="56E4F3F9" w14:textId="77777777" w:rsidR="0020702A" w:rsidRDefault="0020702A">
      <w:pPr>
        <w:pStyle w:val="Normaalweb"/>
        <w:divId w:val="1419013937"/>
        <w:rPr>
          <w:lang w:val="fr-FR"/>
        </w:rPr>
      </w:pPr>
      <w:r>
        <w:rPr>
          <w:lang w:val="fr-FR"/>
        </w:rPr>
        <w:t xml:space="preserve">Dans le pays de résidence (Pays-Bas) : </w:t>
      </w:r>
      <w:r>
        <w:rPr>
          <w:rStyle w:val="Nadruk"/>
          <w:lang w:val="fr-FR"/>
        </w:rPr>
        <w:t>vous résidez ici, nous ne sommes donc pas compétents pour vous verser des prestations, car vous travailliez en Belgique.</w:t>
      </w:r>
      <w:r>
        <w:rPr>
          <w:lang w:val="fr-FR"/>
        </w:rPr>
        <w:t xml:space="preserve"> Dans le pays de travail (Belgique) : </w:t>
      </w:r>
      <w:r>
        <w:rPr>
          <w:rStyle w:val="Nadruk"/>
          <w:lang w:val="fr-FR"/>
        </w:rPr>
        <w:t>vous travaillez ici, mais vous résidez aux Pays-Bas, nous ne sommes donc pas tenus de vous accorder les avantages fiscaux.</w:t>
      </w:r>
      <w:r>
        <w:rPr>
          <w:lang w:val="fr-FR"/>
        </w:rPr>
        <w:t xml:space="preserve"> Chaque système applique son propre « couplage », et aucun ne résout ce problème en dissociant le constat médical.</w:t>
      </w:r>
    </w:p>
    <w:p w14:paraId="287078A4" w14:textId="77777777" w:rsidR="0020702A" w:rsidRDefault="0020702A">
      <w:pPr>
        <w:pStyle w:val="Normaalweb"/>
        <w:divId w:val="1419013937"/>
        <w:rPr>
          <w:lang w:val="fr-FR"/>
        </w:rPr>
      </w:pPr>
      <w:r>
        <w:rPr>
          <w:lang w:val="fr-FR"/>
        </w:rPr>
        <w:t xml:space="preserve">Le réseau EESSI et le règlement 883/2004 prévoient la totalisation des périodes (article 6) et le calcul au prorata (article 52). Mais ils ne prévoient pas la </w:t>
      </w:r>
      <w:r>
        <w:rPr>
          <w:rStyle w:val="Nadruk"/>
          <w:lang w:val="fr-FR"/>
        </w:rPr>
        <w:t>dissociation</w:t>
      </w:r>
      <w:r>
        <w:rPr>
          <w:lang w:val="fr-FR"/>
        </w:rPr>
        <w:t xml:space="preserve"> du diagnostic médical des conditions d’octroi des prestations. Cette dissociation relève de la compétence nationale, et aucun des deux États ne l’applique aux travailleurs frontaliers.</w:t>
      </w:r>
    </w:p>
    <w:p w14:paraId="7DD0F59B" w14:textId="77777777" w:rsidR="0020702A" w:rsidRDefault="0020702A">
      <w:pPr>
        <w:pStyle w:val="Kop3"/>
        <w:divId w:val="1419013937"/>
        <w:rPr>
          <w:rFonts w:eastAsia="Times New Roman"/>
          <w:lang w:val="fr-FR"/>
        </w:rPr>
      </w:pPr>
      <w:bookmarkStart w:id="28" w:name="_Toc242103268"/>
      <w:r>
        <w:rPr>
          <w:rFonts w:eastAsia="Times New Roman"/>
          <w:lang w:val="fr-FR"/>
        </w:rPr>
        <w:t>Partie II-C — Les quatre « catch-22 »</w:t>
      </w:r>
      <w:bookmarkEnd w:id="28"/>
    </w:p>
    <w:p w14:paraId="546B26D4" w14:textId="77777777" w:rsidR="0020702A" w:rsidRDefault="0020702A">
      <w:pPr>
        <w:pStyle w:val="Normaalweb"/>
        <w:divId w:val="1419013937"/>
        <w:rPr>
          <w:lang w:val="fr-FR"/>
        </w:rPr>
      </w:pPr>
      <w:r>
        <w:rPr>
          <w:lang w:val="fr-FR"/>
        </w:rPr>
        <w:t>Dans la pratique, cette condition de cumul conduit à une série de raisonnements circulaires. Voici les quatre plus courants.</w:t>
      </w:r>
    </w:p>
    <w:p w14:paraId="2DBD8608" w14:textId="77777777" w:rsidR="0020702A" w:rsidRDefault="0020702A">
      <w:pPr>
        <w:pStyle w:val="Kop4"/>
        <w:divId w:val="1419013937"/>
        <w:rPr>
          <w:rFonts w:eastAsia="Times New Roman"/>
          <w:lang w:val="fr-FR"/>
        </w:rPr>
      </w:pPr>
      <w:r>
        <w:rPr>
          <w:rFonts w:eastAsia="Times New Roman"/>
          <w:lang w:val="fr-FR"/>
        </w:rPr>
        <w:t>Catch-22 n° 1 — Le délai d’attente qui ne compte pas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895B803"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ACBB3C7" w14:textId="77777777" w:rsidR="0020702A" w:rsidRDefault="0020702A">
            <w:pPr>
              <w:pStyle w:val="Normaalweb"/>
              <w:spacing w:before="120"/>
              <w:jc w:val="center"/>
              <w:rPr>
                <w:sz w:val="21"/>
                <w:szCs w:val="21"/>
              </w:rPr>
            </w:pPr>
            <w:r>
              <w:rPr>
                <w:noProof/>
                <w:sz w:val="21"/>
                <w:szCs w:val="21"/>
              </w:rPr>
              <w:drawing>
                <wp:inline distT="0" distB="0" distL="0" distR="0" wp14:anchorId="5FABD905" wp14:editId="39089C86">
                  <wp:extent cx="3810000" cy="9906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53BCAF16" w14:textId="77777777" w:rsidR="0020702A" w:rsidRDefault="0020702A">
            <w:pPr>
              <w:pStyle w:val="caption"/>
              <w:spacing w:after="120" w:afterAutospacing="0"/>
            </w:pPr>
            <w:r>
              <w:t>MC refuse la demande au motif que le délai d’attente national n’est pas respecté. UWV attend une décision belge avant d’appliquer l’arrêt Vester. Le citoyen se retrouve pris entre deux instances qui imposent chacune une condition rendue impossible à remplir par l’autre instance.</w:t>
            </w:r>
          </w:p>
        </w:tc>
      </w:tr>
    </w:tbl>
    <w:p w14:paraId="72C0F678" w14:textId="77777777" w:rsidR="0020702A" w:rsidRDefault="0020702A">
      <w:pPr>
        <w:pStyle w:val="Kop4"/>
        <w:divId w:val="1419013937"/>
        <w:rPr>
          <w:rFonts w:eastAsia="Times New Roman"/>
          <w:lang w:val="fr-FR"/>
        </w:rPr>
      </w:pPr>
      <w:r>
        <w:rPr>
          <w:rFonts w:eastAsia="Times New Roman"/>
          <w:lang w:val="fr-FR"/>
        </w:rPr>
        <w:t>Catch-22 n° 2 — Les 8 contre les 9 points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42A665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FBC6050" w14:textId="77777777" w:rsidR="0020702A" w:rsidRDefault="0020702A">
            <w:pPr>
              <w:pStyle w:val="Normaalweb"/>
              <w:spacing w:before="120"/>
              <w:jc w:val="center"/>
              <w:rPr>
                <w:sz w:val="21"/>
                <w:szCs w:val="21"/>
              </w:rPr>
            </w:pPr>
            <w:r>
              <w:rPr>
                <w:noProof/>
                <w:sz w:val="21"/>
                <w:szCs w:val="21"/>
              </w:rPr>
              <w:drawing>
                <wp:inline distT="0" distB="0" distL="0" distR="0" wp14:anchorId="5CCE7C93" wp14:editId="49AE2685">
                  <wp:extent cx="3810000" cy="9906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28C7CDAE" w14:textId="77777777" w:rsidR="0020702A" w:rsidRDefault="0020702A">
            <w:pPr>
              <w:pStyle w:val="caption"/>
              <w:spacing w:after="120" w:afterAutospacing="0"/>
            </w:pPr>
            <w:r>
              <w:t>Une instance fédérale reconnaît officiellement un handicap. Une autre instance fédérale impose un seuil plus strict pour les conséquences fiscales. Le citoyen doit rouvrir le dossier auprès de la première instance pour obtenir un point de plus — pour une réalité physique déjà constatée par cinq professionnels de santé indépendants.</w:t>
            </w:r>
          </w:p>
        </w:tc>
      </w:tr>
    </w:tbl>
    <w:p w14:paraId="39A551E1" w14:textId="77777777" w:rsidR="0020702A" w:rsidRDefault="0020702A">
      <w:pPr>
        <w:pStyle w:val="Kop4"/>
        <w:divId w:val="1419013937"/>
        <w:rPr>
          <w:rFonts w:eastAsia="Times New Roman"/>
          <w:lang w:val="fr-FR"/>
        </w:rPr>
      </w:pPr>
      <w:r>
        <w:rPr>
          <w:rFonts w:eastAsia="Times New Roman"/>
          <w:lang w:val="fr-FR"/>
        </w:rPr>
        <w:t>Catch-22 n° 3 — Les données qui ne circulent pas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0A437C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642EDA5" w14:textId="77777777" w:rsidR="0020702A" w:rsidRDefault="0020702A">
            <w:pPr>
              <w:pStyle w:val="Normaalweb"/>
              <w:spacing w:before="120"/>
              <w:jc w:val="center"/>
              <w:rPr>
                <w:sz w:val="21"/>
                <w:szCs w:val="21"/>
              </w:rPr>
            </w:pPr>
            <w:r>
              <w:rPr>
                <w:noProof/>
                <w:sz w:val="21"/>
                <w:szCs w:val="21"/>
              </w:rPr>
              <w:drawing>
                <wp:inline distT="0" distB="0" distL="0" distR="0" wp14:anchorId="79EF9CE1" wp14:editId="54472DA0">
                  <wp:extent cx="3810000" cy="11430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14:paraId="20A3A2AB" w14:textId="77777777" w:rsidR="0020702A" w:rsidRDefault="0020702A">
            <w:pPr>
              <w:pStyle w:val="caption"/>
              <w:spacing w:after="120" w:afterAutospacing="0"/>
            </w:pPr>
            <w:r>
              <w:t>Le MC n’enregistre pas le statut de maladie dans la Banque-Carrefour de la Sécurité sociale. Les formulaires Parentia, SVB et les allocations néerlandaises s’appuient tous sur cette même BCSS ou sur une base dérivée de celle-ci. Un seul blocage à la source au niveau d’une instance gèle six autres versements.</w:t>
            </w:r>
          </w:p>
        </w:tc>
      </w:tr>
    </w:tbl>
    <w:p w14:paraId="76FD06AA" w14:textId="77777777" w:rsidR="0020702A" w:rsidRDefault="0020702A">
      <w:pPr>
        <w:pStyle w:val="Kop4"/>
        <w:divId w:val="1419013937"/>
        <w:rPr>
          <w:rFonts w:eastAsia="Times New Roman"/>
          <w:lang w:val="fr-FR"/>
        </w:rPr>
      </w:pPr>
      <w:r>
        <w:rPr>
          <w:rFonts w:eastAsia="Times New Roman"/>
          <w:lang w:val="fr-FR"/>
        </w:rPr>
        <w:t>Catch-22 n° 4 — Le MAF qui ni ne monte ni ne descend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1CB61A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3F59022" w14:textId="77777777" w:rsidR="0020702A" w:rsidRDefault="0020702A">
            <w:pPr>
              <w:pStyle w:val="Normaalweb"/>
              <w:spacing w:before="120"/>
              <w:jc w:val="center"/>
              <w:rPr>
                <w:sz w:val="21"/>
                <w:szCs w:val="21"/>
              </w:rPr>
            </w:pPr>
            <w:r>
              <w:rPr>
                <w:noProof/>
                <w:sz w:val="21"/>
                <w:szCs w:val="21"/>
              </w:rPr>
              <w:drawing>
                <wp:inline distT="0" distB="0" distL="0" distR="0" wp14:anchorId="7075F3BF" wp14:editId="169459D6">
                  <wp:extent cx="3810000" cy="12192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0000" cy="1219200"/>
                          </a:xfrm>
                          <a:prstGeom prst="rect">
                            <a:avLst/>
                          </a:prstGeom>
                          <a:noFill/>
                          <a:ln>
                            <a:noFill/>
                          </a:ln>
                        </pic:spPr>
                      </pic:pic>
                    </a:graphicData>
                  </a:graphic>
                </wp:inline>
              </w:drawing>
            </w:r>
          </w:p>
          <w:p w14:paraId="5EA7433D" w14:textId="77777777" w:rsidR="0020702A" w:rsidRDefault="0020702A">
            <w:pPr>
              <w:pStyle w:val="caption"/>
              <w:spacing w:after="120" w:afterAutospacing="0"/>
            </w:pPr>
            <w:r>
              <w:t>La mutuelle gère à la fois le plafond de remboursement (MAF) et la reconnaissance d’invalidité. Toute personne reconnue invalide bénéficie d’un plafond de participation aux frais moins élevé — moins de ticket modérateur, plus de remboursement. Comme c’est cette même caisse d’assurance maladie qui refuse la reconnaissance, la famille reste soumise au plafond normal. Le patient paie donc plus de participation aux frais qu’une personne invalide présentant le même état physique. La même instance a établi la réa</w:t>
            </w:r>
            <w:r>
              <w:t>lité médicale en approuvant les aides techniques, mais refuse d’utiliser cette réalité pour augmenter le filet de sécurité financier.</w:t>
            </w:r>
          </w:p>
        </w:tc>
      </w:tr>
    </w:tbl>
    <w:p w14:paraId="026E7CD2" w14:textId="77777777" w:rsidR="0020702A" w:rsidRDefault="0020702A">
      <w:pPr>
        <w:pStyle w:val="Kop3"/>
        <w:divId w:val="1419013937"/>
        <w:rPr>
          <w:rFonts w:eastAsia="Times New Roman"/>
          <w:lang w:val="fr-FR"/>
        </w:rPr>
      </w:pPr>
      <w:bookmarkStart w:id="29" w:name="_Toc242103269"/>
      <w:r>
        <w:rPr>
          <w:rFonts w:eastAsia="Times New Roman"/>
          <w:lang w:val="fr-FR"/>
        </w:rPr>
        <w:t>Ce que précise ce chapitre</w:t>
      </w:r>
      <w:bookmarkEnd w:id="29"/>
    </w:p>
    <w:p w14:paraId="63B73165" w14:textId="77777777" w:rsidR="0020702A" w:rsidRDefault="0020702A">
      <w:pPr>
        <w:pStyle w:val="Normaalweb"/>
        <w:divId w:val="1419013937"/>
        <w:rPr>
          <w:lang w:val="fr-FR"/>
        </w:rPr>
      </w:pPr>
      <w:r>
        <w:rPr>
          <w:lang w:val="fr-FR"/>
        </w:rPr>
        <w:t>La famille a droit à un large éventail d’allocations. En théorie, le réseau des deux systèmes de soins couvre ensemble presque tous les aspects de la situation médicale et financière. Dans la pratique, plus de la moitié des aides restent inaccessibles. Non pas parce que les conditions sont impossibles à remplir, mais parce que les voies d’accès sont conçues de telle manière qu’elles se bloquent mutuellement.</w:t>
      </w:r>
    </w:p>
    <w:p w14:paraId="05EED6E0" w14:textId="77777777" w:rsidR="0020702A" w:rsidRDefault="0020702A">
      <w:pPr>
        <w:pStyle w:val="Normaalweb"/>
        <w:divId w:val="1419013937"/>
        <w:rPr>
          <w:lang w:val="fr-FR"/>
        </w:rPr>
      </w:pPr>
      <w:r>
        <w:rPr>
          <w:lang w:val="fr-FR"/>
        </w:rPr>
        <w:t>Le couplage entre la voie des prestations et la voie fiscale est le mécanisme le plus courant. Il en résulte des « catch-22 » : des raisonnements circulaires entre deux systèmes nationaux qui ne se reconnaissent pas mutuellement, et entre des instances fédérales au sein d’un même système qui ne reconnaissent pas leurs seuils respectifs.</w:t>
      </w:r>
    </w:p>
    <w:p w14:paraId="36B5F810" w14:textId="77777777" w:rsidR="0020702A" w:rsidRDefault="0020702A">
      <w:pPr>
        <w:pStyle w:val="Normaalweb"/>
        <w:divId w:val="1419013937"/>
        <w:rPr>
          <w:lang w:val="fr-FR"/>
        </w:rPr>
      </w:pPr>
      <w:r>
        <w:rPr>
          <w:lang w:val="fr-FR"/>
        </w:rPr>
        <w:t>Le chapitre suivant se penche sur les acteurs qui entretiennent ces « catch-22 » — non pas en tant que personnes, mais en tant que fonctions au sein d’une architecture.</w:t>
      </w:r>
    </w:p>
    <w:p w14:paraId="7DFA497D"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exclusivement par leur fonction ou par un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Il s</w:t>
      </w:r>
      <w:r>
        <w:rPr>
          <w:rFonts w:cs="Aptos"/>
          <w:lang w:val="fr-FR"/>
        </w:rPr>
        <w:t>’</w:t>
      </w:r>
      <w:r>
        <w:rPr>
          <w:lang w:val="fr-FR"/>
        </w:rPr>
        <w:t xml:space="preserve">agit </w:t>
      </w:r>
      <w:r>
        <w:rPr>
          <w:rFonts w:cs="Aptos"/>
          <w:lang w:val="fr-FR"/>
        </w:rPr>
        <w:t>à</w:t>
      </w:r>
      <w:r>
        <w:rPr>
          <w:lang w:val="fr-FR"/>
        </w:rPr>
        <w:t xml:space="preserve"> la fois d</w:t>
      </w:r>
      <w:r>
        <w:rPr>
          <w:rFonts w:cs="Aptos"/>
          <w:lang w:val="fr-FR"/>
        </w:rPr>
        <w:t>’</w:t>
      </w:r>
      <w:r>
        <w:rPr>
          <w:lang w:val="fr-FR"/>
        </w:rPr>
        <w:t>un choix m</w:t>
      </w:r>
      <w:r>
        <w:rPr>
          <w:rFonts w:cs="Aptos"/>
          <w:lang w:val="fr-FR"/>
        </w:rPr>
        <w:t>é</w:t>
      </w:r>
      <w:r>
        <w:rPr>
          <w:lang w:val="fr-FR"/>
        </w:rPr>
        <w:t>thodologique et d</w:t>
      </w:r>
      <w:r>
        <w:rPr>
          <w:rFonts w:cs="Aptos"/>
          <w:lang w:val="fr-FR"/>
        </w:rPr>
        <w:t>’</w:t>
      </w:r>
      <w:r>
        <w:rPr>
          <w:lang w:val="fr-FR"/>
        </w:rPr>
        <w:t>une obligation au titre du R</w:t>
      </w:r>
      <w:r>
        <w:rPr>
          <w:rFonts w:cs="Aptos"/>
          <w:lang w:val="fr-FR"/>
        </w:rPr>
        <w:t>è</w:t>
      </w:r>
      <w:r>
        <w:rPr>
          <w:lang w:val="fr-FR"/>
        </w:rPr>
        <w:t>glement g</w:t>
      </w:r>
      <w:r>
        <w:rPr>
          <w:rFonts w:cs="Aptos"/>
          <w:lang w:val="fr-FR"/>
        </w:rPr>
        <w:t>é</w:t>
      </w:r>
      <w:r>
        <w:rPr>
          <w:lang w:val="fr-FR"/>
        </w:rPr>
        <w:t>n</w:t>
      </w:r>
      <w:r>
        <w:rPr>
          <w:rFonts w:cs="Aptos"/>
          <w:lang w:val="fr-FR"/>
        </w:rPr>
        <w:t>é</w:t>
      </w:r>
      <w:r>
        <w:rPr>
          <w:lang w:val="fr-FR"/>
        </w:rPr>
        <w:t>ral sur la protection des donn</w:t>
      </w:r>
      <w:r>
        <w:rPr>
          <w:rFonts w:cs="Aptos"/>
          <w:lang w:val="fr-FR"/>
        </w:rPr>
        <w:t>é</w:t>
      </w:r>
      <w:r>
        <w:rPr>
          <w:lang w:val="fr-FR"/>
        </w:rPr>
        <w:t>es. L'inventaire des dossiers est bas</w:t>
      </w:r>
      <w:r>
        <w:rPr>
          <w:rFonts w:cs="Aptos"/>
          <w:lang w:val="fr-FR"/>
        </w:rPr>
        <w:t>é</w:t>
      </w:r>
      <w:r>
        <w:rPr>
          <w:lang w:val="fr-FR"/>
        </w:rPr>
        <w:t xml:space="preserve"> sur le document B, qui consigne les demandes, les statuts et les refus effectifs par organisation.</w:t>
      </w:r>
    </w:p>
    <w:p w14:paraId="3A8B26C0" w14:textId="77777777" w:rsidR="0020702A" w:rsidRDefault="0020702A">
      <w:pPr>
        <w:pStyle w:val="marker"/>
        <w:ind w:left="800" w:right="800"/>
        <w:divId w:val="1419013937"/>
        <w:rPr>
          <w:lang w:val="fr-FR"/>
        </w:rPr>
      </w:pPr>
      <w:r>
        <w:br w:type="page"/>
      </w:r>
    </w:p>
    <w:p w14:paraId="50B67CBC" w14:textId="77777777" w:rsidR="0020702A" w:rsidRDefault="0020702A">
      <w:pPr>
        <w:pStyle w:val="Kop2"/>
        <w:divId w:val="1419013937"/>
        <w:rPr>
          <w:rFonts w:eastAsia="Times New Roman"/>
          <w:lang w:val="fr-FR"/>
        </w:rPr>
      </w:pPr>
      <w:bookmarkStart w:id="30" w:name="_Toc242103270"/>
      <w:r>
        <w:rPr>
          <w:rFonts w:eastAsia="Times New Roman"/>
          <w:lang w:val="fr-FR"/>
        </w:rPr>
        <w:t>Constatation et décision</w:t>
      </w:r>
      <w:bookmarkEnd w:id="30"/>
    </w:p>
    <w:p w14:paraId="03DC136A" w14:textId="77777777" w:rsidR="0020702A" w:rsidRDefault="0020702A">
      <w:pPr>
        <w:pStyle w:val="lead"/>
        <w:divId w:val="1419013937"/>
        <w:rPr>
          <w:lang w:val="fr-FR"/>
        </w:rPr>
      </w:pPr>
      <w:r>
        <w:rPr>
          <w:lang w:val="fr-FR"/>
        </w:rPr>
        <w:t>Cinq professionnels de santé ont examiné le dossier. Deux médecins administratifs ont statué. Ce chapitre montre que les deux instances — la mutuelle belge et le service public fédéral belge — appliquent le même mécanisme, chacune avec sa propre variante.</w:t>
      </w:r>
    </w:p>
    <w:p w14:paraId="2CE17831" w14:textId="77777777" w:rsidR="0020702A" w:rsidRDefault="0020702A">
      <w:pPr>
        <w:pStyle w:val="Kop3"/>
        <w:divId w:val="1419013937"/>
        <w:rPr>
          <w:rFonts w:eastAsia="Times New Roman"/>
          <w:lang w:val="fr-FR"/>
        </w:rPr>
      </w:pPr>
      <w:bookmarkStart w:id="31" w:name="_Toc242103271"/>
      <w:r>
        <w:rPr>
          <w:rFonts w:eastAsia="Times New Roman"/>
          <w:lang w:val="fr-FR"/>
        </w:rPr>
        <w:t>Les cinq avis</w:t>
      </w:r>
      <w:bookmarkEnd w:id="3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68F41B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0CCA97E" w14:textId="77777777" w:rsidR="0020702A" w:rsidRDefault="0020702A">
            <w:pPr>
              <w:pStyle w:val="Normaalweb"/>
              <w:spacing w:before="120"/>
              <w:jc w:val="center"/>
              <w:rPr>
                <w:sz w:val="21"/>
                <w:szCs w:val="21"/>
              </w:rPr>
            </w:pPr>
            <w:r>
              <w:rPr>
                <w:noProof/>
                <w:sz w:val="21"/>
                <w:szCs w:val="21"/>
              </w:rPr>
              <w:drawing>
                <wp:inline distT="0" distB="0" distL="0" distR="0" wp14:anchorId="51192C0E" wp14:editId="16B41B9F">
                  <wp:extent cx="3810000" cy="15240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tc>
      </w:tr>
    </w:tbl>
    <w:p w14:paraId="60D97F8B" w14:textId="77777777" w:rsidR="0020702A" w:rsidRDefault="0020702A">
      <w:pPr>
        <w:pStyle w:val="Normaalweb"/>
        <w:divId w:val="1419013937"/>
        <w:rPr>
          <w:sz w:val="24"/>
          <w:lang w:val="fr-FR"/>
        </w:rPr>
      </w:pPr>
      <w:r>
        <w:rPr>
          <w:lang w:val="fr-FR"/>
        </w:rPr>
        <w:t>Cinq professionnels de santé, exerçant dans deux pays, ont examiné le corps. Tous les cinq ont constaté la même limitation permanente.</w:t>
      </w:r>
    </w:p>
    <w:p w14:paraId="12FEE4D2" w14:textId="77777777" w:rsidR="0020702A" w:rsidRDefault="0020702A">
      <w:pPr>
        <w:pStyle w:val="Kop3"/>
        <w:divId w:val="1419013937"/>
        <w:rPr>
          <w:rFonts w:eastAsia="Times New Roman"/>
          <w:lang w:val="fr-FR"/>
        </w:rPr>
      </w:pPr>
      <w:bookmarkStart w:id="32" w:name="_Toc242103272"/>
      <w:r>
        <w:rPr>
          <w:rFonts w:eastAsia="Times New Roman"/>
          <w:lang w:val="fr-FR"/>
        </w:rPr>
        <w:t>Deux décideurs, un seul mécanisme</w:t>
      </w:r>
      <w:bookmarkEnd w:id="3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415F700"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79D004A" w14:textId="77777777" w:rsidR="0020702A" w:rsidRDefault="0020702A">
            <w:pPr>
              <w:pStyle w:val="Normaalweb"/>
              <w:spacing w:before="120"/>
              <w:jc w:val="center"/>
              <w:rPr>
                <w:sz w:val="21"/>
                <w:szCs w:val="21"/>
              </w:rPr>
            </w:pPr>
            <w:r>
              <w:rPr>
                <w:noProof/>
                <w:sz w:val="21"/>
                <w:szCs w:val="21"/>
              </w:rPr>
              <w:drawing>
                <wp:inline distT="0" distB="0" distL="0" distR="0" wp14:anchorId="3F50BA2E" wp14:editId="7D509013">
                  <wp:extent cx="3810000" cy="190500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14:paraId="3D20F2F8" w14:textId="77777777" w:rsidR="0020702A" w:rsidRDefault="0020702A">
            <w:pPr>
              <w:pStyle w:val="caption"/>
              <w:spacing w:after="120" w:afterAutospacing="0"/>
            </w:pPr>
            <w:r>
              <w:rPr>
                <w:rStyle w:val="Zwaar"/>
              </w:rPr>
              <w:t>Figure III.1 — Deux variantes, un seul mécanisme.</w:t>
            </w:r>
            <w:r>
              <w:t xml:space="preserve"> La mutuelle (variante A) laisse son propre médecin prendre la décision sans examiner le corps. Le service public fédéral (variante B) laisse son propre médecin décider sur la base d’une mesure se situant un point en dessous du seuil fiscal. Dans les deux cas, le seuil administratif l’emporte sur le constat médical.</w:t>
            </w:r>
          </w:p>
        </w:tc>
      </w:tr>
    </w:tbl>
    <w:p w14:paraId="49B18BD9" w14:textId="77777777" w:rsidR="0020702A" w:rsidRDefault="0020702A">
      <w:pPr>
        <w:pStyle w:val="Kop3"/>
        <w:divId w:val="1419013937"/>
        <w:rPr>
          <w:rFonts w:eastAsia="Times New Roman"/>
          <w:lang w:val="fr-FR"/>
        </w:rPr>
      </w:pPr>
      <w:bookmarkStart w:id="33" w:name="_Toc242103273"/>
      <w:r>
        <w:rPr>
          <w:rFonts w:eastAsia="Times New Roman"/>
          <w:lang w:val="fr-FR"/>
        </w:rPr>
        <w:t>Le schéma commun</w:t>
      </w:r>
      <w:bookmarkEnd w:id="33"/>
    </w:p>
    <w:p w14:paraId="3B4EDD4C" w14:textId="77777777" w:rsidR="0020702A" w:rsidRDefault="0020702A">
      <w:pPr>
        <w:pStyle w:val="Normaalweb"/>
        <w:divId w:val="1419013937"/>
        <w:rPr>
          <w:lang w:val="fr-FR"/>
        </w:rPr>
      </w:pPr>
      <w:r>
        <w:rPr>
          <w:lang w:val="fr-FR"/>
        </w:rPr>
        <w:t xml:space="preserve">Dans les deux cas, le médecin qui prend la décision est </w:t>
      </w:r>
      <w:r>
        <w:rPr>
          <w:rStyle w:val="Zwaar"/>
          <w:lang w:val="fr-FR"/>
        </w:rPr>
        <w:t>salarié de l’organisme</w:t>
      </w:r>
      <w:r>
        <w:rPr>
          <w:lang w:val="fr-FR"/>
        </w:rPr>
        <w:t>. Dans les deux cas, on applique un seuil administratif qui n’existe pas dans le monde clinique. Dans les deux cas, cinq constatations médicales indépendantes ont moins de poids qu’une seule décision administrative.</w:t>
      </w:r>
    </w:p>
    <w:p w14:paraId="5B8C81CD" w14:textId="77777777" w:rsidR="0020702A" w:rsidRDefault="0020702A">
      <w:pPr>
        <w:pStyle w:val="Normaalweb"/>
        <w:divId w:val="1419013937"/>
        <w:rPr>
          <w:lang w:val="fr-FR"/>
        </w:rPr>
      </w:pPr>
      <w:r>
        <w:rPr>
          <w:lang w:val="fr-FR"/>
        </w:rPr>
        <w:t xml:space="preserve">Ce n’est pas une faute personnelle d’un médecin en particulier. C’est l’architecture du système : le médecin chargé du contrôle n’est pas un meilleur médecin, il n’a pas suivi une formation plus longue, ni acquis des connaissances plus approfondies. Il est le </w:t>
      </w:r>
      <w:r>
        <w:rPr>
          <w:rStyle w:val="Nadruk"/>
          <w:lang w:val="fr-FR"/>
        </w:rPr>
        <w:t>gardien</w:t>
      </w:r>
      <w:r>
        <w:rPr>
          <w:lang w:val="fr-FR"/>
        </w:rPr>
        <w:t xml:space="preserve"> d’un seuil administratif. La porte est fermée, non pas parce que le corps n’est pas en mauvaise santé — cela a été prouvé à cinq reprises —, mais parce que l’algorithme derrière la porte dit : </w:t>
      </w:r>
      <w:r>
        <w:rPr>
          <w:rStyle w:val="Nadruk"/>
          <w:lang w:val="fr-FR"/>
        </w:rPr>
        <w:t>l’allocation n’est pas versée, donc la reconnaissance n’est pas accordée, donc la procédure fiscale n’est pas engagée.</w:t>
      </w:r>
    </w:p>
    <w:p w14:paraId="385C8378"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exclusivement par leur fonction. Les faits sont tirés du document B.</w:t>
      </w:r>
    </w:p>
    <w:p w14:paraId="32D7AF47" w14:textId="77777777" w:rsidR="0020702A" w:rsidRDefault="0020702A">
      <w:pPr>
        <w:pStyle w:val="marker"/>
        <w:ind w:left="800" w:right="800"/>
        <w:divId w:val="1419013937"/>
        <w:rPr>
          <w:lang w:val="fr-FR"/>
        </w:rPr>
      </w:pPr>
      <w:r>
        <w:br w:type="page"/>
      </w:r>
    </w:p>
    <w:p w14:paraId="51434746" w14:textId="77777777" w:rsidR="0020702A" w:rsidRDefault="0020702A">
      <w:pPr>
        <w:pStyle w:val="Kop2"/>
        <w:divId w:val="1419013937"/>
        <w:rPr>
          <w:rFonts w:eastAsia="Times New Roman"/>
          <w:lang w:val="fr-FR"/>
        </w:rPr>
      </w:pPr>
      <w:bookmarkStart w:id="34" w:name="_Toc242103274"/>
      <w:r>
        <w:rPr>
          <w:rFonts w:eastAsia="Times New Roman"/>
          <w:lang w:val="fr-FR"/>
        </w:rPr>
        <w:t>L’escalier Parentia</w:t>
      </w:r>
      <w:bookmarkEnd w:id="34"/>
    </w:p>
    <w:p w14:paraId="1D122EB6" w14:textId="77777777" w:rsidR="0020702A" w:rsidRDefault="0020702A">
      <w:pPr>
        <w:pStyle w:val="lead"/>
        <w:divId w:val="1419013937"/>
        <w:rPr>
          <w:lang w:val="fr-FR"/>
        </w:rPr>
      </w:pPr>
      <w:r>
        <w:rPr>
          <w:lang w:val="fr-FR"/>
        </w:rPr>
        <w:t>Une instance qui accepte la réalité médicale, mais qui trébuche ensuite sur son propre modèle de revenus. Trois niveaux, un seul résultat. Et le schéma se répète chez une autre instance.</w:t>
      </w:r>
    </w:p>
    <w:p w14:paraId="5D96AD45" w14:textId="77777777" w:rsidR="0020702A" w:rsidRDefault="0020702A">
      <w:pPr>
        <w:pStyle w:val="Kop3"/>
        <w:divId w:val="1419013937"/>
        <w:rPr>
          <w:rFonts w:eastAsia="Times New Roman"/>
          <w:lang w:val="fr-FR"/>
        </w:rPr>
      </w:pPr>
      <w:bookmarkStart w:id="35" w:name="_Toc242103275"/>
      <w:r>
        <w:rPr>
          <w:rFonts w:eastAsia="Times New Roman"/>
          <w:lang w:val="fr-FR"/>
        </w:rPr>
        <w:t>Niveau 1 — Le blocage de la BCSS</w:t>
      </w:r>
      <w:bookmarkEnd w:id="35"/>
    </w:p>
    <w:p w14:paraId="78820FE6" w14:textId="77777777" w:rsidR="0020702A" w:rsidRDefault="0020702A">
      <w:pPr>
        <w:pStyle w:val="tijd"/>
        <w:divId w:val="1419013937"/>
        <w:rPr>
          <w:lang w:val="fr-FR"/>
        </w:rPr>
      </w:pPr>
      <w:r>
        <w:rPr>
          <w:lang w:val="fr-FR"/>
        </w:rPr>
        <w:t>septembre 2025 — avril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757B36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0A8D09C" w14:textId="77777777" w:rsidR="0020702A" w:rsidRDefault="0020702A">
            <w:pPr>
              <w:pStyle w:val="Normaalweb"/>
              <w:spacing w:before="120"/>
              <w:jc w:val="center"/>
              <w:rPr>
                <w:sz w:val="21"/>
                <w:szCs w:val="21"/>
              </w:rPr>
            </w:pPr>
            <w:r>
              <w:rPr>
                <w:noProof/>
                <w:sz w:val="21"/>
                <w:szCs w:val="21"/>
              </w:rPr>
              <w:drawing>
                <wp:inline distT="0" distB="0" distL="0" distR="0" wp14:anchorId="7763A9CD" wp14:editId="6AC75D3B">
                  <wp:extent cx="3810000" cy="9906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tc>
      </w:tr>
    </w:tbl>
    <w:p w14:paraId="5A8B7D18" w14:textId="77777777" w:rsidR="0020702A" w:rsidRDefault="0020702A">
      <w:pPr>
        <w:pStyle w:val="Kop3"/>
        <w:divId w:val="1419013937"/>
        <w:rPr>
          <w:rFonts w:eastAsia="Times New Roman"/>
          <w:lang w:val="fr-FR"/>
        </w:rPr>
      </w:pPr>
      <w:bookmarkStart w:id="36" w:name="_Toc242103276"/>
      <w:r>
        <w:rPr>
          <w:rFonts w:eastAsia="Times New Roman"/>
          <w:lang w:val="fr-FR"/>
        </w:rPr>
        <w:t>Niveau 2 — Le contournement est accepté</w:t>
      </w:r>
      <w:bookmarkEnd w:id="36"/>
    </w:p>
    <w:p w14:paraId="344ADE68" w14:textId="77777777" w:rsidR="0020702A" w:rsidRDefault="0020702A">
      <w:pPr>
        <w:pStyle w:val="tijd"/>
        <w:divId w:val="1419013937"/>
        <w:rPr>
          <w:lang w:val="fr-FR"/>
        </w:rPr>
      </w:pPr>
      <w:r>
        <w:rPr>
          <w:lang w:val="fr-FR"/>
        </w:rPr>
        <w:t>avril — septembre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1D83B00"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74309B5" w14:textId="77777777" w:rsidR="0020702A" w:rsidRDefault="0020702A">
            <w:pPr>
              <w:pStyle w:val="Normaalweb"/>
              <w:spacing w:before="120"/>
              <w:jc w:val="center"/>
              <w:rPr>
                <w:sz w:val="21"/>
                <w:szCs w:val="21"/>
              </w:rPr>
            </w:pPr>
            <w:r>
              <w:rPr>
                <w:noProof/>
                <w:sz w:val="21"/>
                <w:szCs w:val="21"/>
              </w:rPr>
              <w:drawing>
                <wp:inline distT="0" distB="0" distL="0" distR="0" wp14:anchorId="6037BDC4" wp14:editId="2959881C">
                  <wp:extent cx="3810000" cy="10668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0000" cy="1066800"/>
                          </a:xfrm>
                          <a:prstGeom prst="rect">
                            <a:avLst/>
                          </a:prstGeom>
                          <a:noFill/>
                          <a:ln>
                            <a:noFill/>
                          </a:ln>
                        </pic:spPr>
                      </pic:pic>
                    </a:graphicData>
                  </a:graphic>
                </wp:inline>
              </w:drawing>
            </w:r>
          </w:p>
        </w:tc>
      </w:tr>
    </w:tbl>
    <w:p w14:paraId="7F5C2518" w14:textId="77777777" w:rsidR="0020702A" w:rsidRDefault="0020702A">
      <w:pPr>
        <w:pStyle w:val="Kop3"/>
        <w:divId w:val="1419013937"/>
        <w:rPr>
          <w:rFonts w:eastAsia="Times New Roman"/>
          <w:lang w:val="fr-FR"/>
        </w:rPr>
      </w:pPr>
      <w:bookmarkStart w:id="37" w:name="_Toc242103277"/>
      <w:r>
        <w:rPr>
          <w:rFonts w:eastAsia="Times New Roman"/>
          <w:lang w:val="fr-FR"/>
        </w:rPr>
        <w:t>Niveau 3 — Le refus de prise en charge</w:t>
      </w:r>
      <w:bookmarkEnd w:id="37"/>
    </w:p>
    <w:p w14:paraId="0D080F78" w14:textId="77777777" w:rsidR="0020702A" w:rsidRDefault="0020702A">
      <w:pPr>
        <w:pStyle w:val="tijd"/>
        <w:divId w:val="1419013937"/>
        <w:rPr>
          <w:lang w:val="fr-FR"/>
        </w:rPr>
      </w:pPr>
      <w:r>
        <w:rPr>
          <w:lang w:val="fr-FR"/>
        </w:rPr>
        <w:t>septembre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EEF661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9462AEA" w14:textId="77777777" w:rsidR="0020702A" w:rsidRDefault="0020702A">
            <w:pPr>
              <w:pStyle w:val="Normaalweb"/>
              <w:spacing w:before="120"/>
              <w:jc w:val="center"/>
              <w:rPr>
                <w:sz w:val="21"/>
                <w:szCs w:val="21"/>
              </w:rPr>
            </w:pPr>
            <w:r>
              <w:rPr>
                <w:noProof/>
                <w:sz w:val="21"/>
                <w:szCs w:val="21"/>
              </w:rPr>
              <w:drawing>
                <wp:inline distT="0" distB="0" distL="0" distR="0" wp14:anchorId="73303147" wp14:editId="7F5CE210">
                  <wp:extent cx="3810000" cy="129540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10000" cy="1295400"/>
                          </a:xfrm>
                          <a:prstGeom prst="rect">
                            <a:avLst/>
                          </a:prstGeom>
                          <a:noFill/>
                          <a:ln>
                            <a:noFill/>
                          </a:ln>
                        </pic:spPr>
                      </pic:pic>
                    </a:graphicData>
                  </a:graphic>
                </wp:inline>
              </w:drawing>
            </w:r>
          </w:p>
          <w:p w14:paraId="63E90EF3" w14:textId="77777777" w:rsidR="0020702A" w:rsidRDefault="0020702A">
            <w:pPr>
              <w:pStyle w:val="caption"/>
              <w:spacing w:after="120" w:afterAutospacing="0"/>
            </w:pPr>
            <w:r>
              <w:t>La voie médicale est dégagée. Les justificatifs sont acceptés. Il s'avère alors que le modèle de calcul des revenus ne reflète pas la situation réelle. Le calcul est correct, mais la famille n'est pas prise en compte.</w:t>
            </w:r>
          </w:p>
        </w:tc>
      </w:tr>
    </w:tbl>
    <w:p w14:paraId="412CEDE1" w14:textId="77777777" w:rsidR="0020702A" w:rsidRDefault="0020702A">
      <w:pPr>
        <w:pStyle w:val="Kop3"/>
        <w:divId w:val="1419013937"/>
        <w:rPr>
          <w:rFonts w:eastAsia="Times New Roman"/>
          <w:lang w:val="fr-FR"/>
        </w:rPr>
      </w:pPr>
      <w:bookmarkStart w:id="38" w:name="_Toc242103278"/>
      <w:r>
        <w:rPr>
          <w:rFonts w:eastAsia="Times New Roman"/>
          <w:lang w:val="fr-FR"/>
        </w:rPr>
        <w:t>Le schéma se répète</w:t>
      </w:r>
      <w:bookmarkEnd w:id="38"/>
    </w:p>
    <w:p w14:paraId="73AEA315" w14:textId="77777777" w:rsidR="0020702A" w:rsidRDefault="0020702A">
      <w:pPr>
        <w:pStyle w:val="tijd"/>
        <w:divId w:val="1419013937"/>
        <w:rPr>
          <w:lang w:val="fr-FR"/>
        </w:rPr>
      </w:pPr>
      <w:r>
        <w:rPr>
          <w:lang w:val="fr-FR"/>
        </w:rPr>
        <w:t>Commune de Hulst ·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C0C9BF4"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DB34E60" w14:textId="77777777" w:rsidR="0020702A" w:rsidRDefault="0020702A">
            <w:pPr>
              <w:pStyle w:val="Normaalweb"/>
              <w:spacing w:before="120"/>
              <w:jc w:val="center"/>
              <w:rPr>
                <w:sz w:val="21"/>
                <w:szCs w:val="21"/>
              </w:rPr>
            </w:pPr>
            <w:r>
              <w:rPr>
                <w:noProof/>
                <w:sz w:val="21"/>
                <w:szCs w:val="21"/>
              </w:rPr>
              <w:drawing>
                <wp:inline distT="0" distB="0" distL="0" distR="0" wp14:anchorId="07132E6D" wp14:editId="6F392C14">
                  <wp:extent cx="3810000" cy="106680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10000" cy="1066800"/>
                          </a:xfrm>
                          <a:prstGeom prst="rect">
                            <a:avLst/>
                          </a:prstGeom>
                          <a:noFill/>
                          <a:ln>
                            <a:noFill/>
                          </a:ln>
                        </pic:spPr>
                      </pic:pic>
                    </a:graphicData>
                  </a:graphic>
                </wp:inline>
              </w:drawing>
            </w:r>
          </w:p>
          <w:p w14:paraId="32D26229" w14:textId="77777777" w:rsidR="0020702A" w:rsidRDefault="0020702A">
            <w:pPr>
              <w:pStyle w:val="caption"/>
              <w:spacing w:after="120" w:afterAutospacing="0"/>
            </w:pPr>
            <w:r>
              <w:t>Ce qui s’est passé chez Parentia se répète à la commune. Chaque organisme dispose de son propre portail médical et de son propre deuxième seuil. Le citoyen doit refaire le même parcours.</w:t>
            </w:r>
          </w:p>
        </w:tc>
      </w:tr>
    </w:tbl>
    <w:p w14:paraId="1AC7D069" w14:textId="77777777" w:rsidR="0020702A" w:rsidRDefault="0020702A">
      <w:pPr>
        <w:divId w:val="1419013937"/>
        <w:rPr>
          <w:rFonts w:eastAsia="Times New Roman"/>
          <w:vanish/>
          <w:lang w:val="fr-FR"/>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A848FFD"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7E930DC7" w14:textId="77777777" w:rsidR="0020702A" w:rsidRDefault="0020702A">
            <w:pPr>
              <w:spacing w:before="240" w:after="240"/>
              <w:rPr>
                <w:rFonts w:eastAsia="Times New Roman"/>
                <w:szCs w:val="22"/>
              </w:rPr>
            </w:pPr>
            <w:r>
              <w:rPr>
                <w:rFonts w:eastAsia="Times New Roman"/>
                <w:szCs w:val="22"/>
              </w:rPr>
              <w:t xml:space="preserve">L'escalier Parentia comporte trois niveaux. Tout d’abord, la voie médicale est bloquée par un problème de données au sein d’une autre instance. Le citoyen est alors contraint d’utiliser une solution de contournement — la même preuve manuelle qui avait fonctionné auprès du fisc. Une fois la preuve médicale acceptée, il s'avère que le modèle de calcul des revenus ne reflète pas la situation réelle. Et lorsque le citoyen se présente à l'instance suivante, l'escalier recommence. </w:t>
            </w:r>
          </w:p>
        </w:tc>
      </w:tr>
    </w:tbl>
    <w:p w14:paraId="7A94D11F" w14:textId="77777777" w:rsidR="0020702A" w:rsidRDefault="0020702A">
      <w:pPr>
        <w:pStyle w:val="noot"/>
        <w:spacing w:after="120" w:afterAutospacing="0"/>
        <w:divId w:val="1419013937"/>
        <w:rPr>
          <w:lang w:val="fr-FR"/>
        </w:rPr>
      </w:pPr>
      <w:r>
        <w:rPr>
          <w:lang w:val="fr-FR"/>
        </w:rPr>
        <w:t>Faits basés sur le document B. Les personnes physiques sont désignées par des symboles ; les organisations par leur nom public.</w:t>
      </w:r>
    </w:p>
    <w:p w14:paraId="285F41AC" w14:textId="77777777" w:rsidR="0020702A" w:rsidRDefault="0020702A">
      <w:pPr>
        <w:pStyle w:val="marker"/>
        <w:ind w:left="800" w:right="800"/>
        <w:divId w:val="1419013937"/>
        <w:rPr>
          <w:lang w:val="fr-FR"/>
        </w:rPr>
      </w:pPr>
      <w:r>
        <w:br w:type="page"/>
      </w:r>
    </w:p>
    <w:p w14:paraId="1995634A" w14:textId="77777777" w:rsidR="0020702A" w:rsidRDefault="0020702A">
      <w:pPr>
        <w:pStyle w:val="Kop2"/>
        <w:divId w:val="1419013937"/>
        <w:rPr>
          <w:rFonts w:eastAsia="Times New Roman"/>
          <w:lang w:val="fr-FR"/>
        </w:rPr>
      </w:pPr>
      <w:bookmarkStart w:id="39" w:name="_Toc242103279"/>
      <w:r>
        <w:rPr>
          <w:rFonts w:eastAsia="Times New Roman"/>
          <w:lang w:val="fr-FR"/>
        </w:rPr>
        <w:t>Le parcours fiscal belge</w:t>
      </w:r>
      <w:bookmarkEnd w:id="39"/>
    </w:p>
    <w:p w14:paraId="130ED478" w14:textId="77777777" w:rsidR="0020702A" w:rsidRDefault="0020702A">
      <w:pPr>
        <w:pStyle w:val="lead"/>
        <w:divId w:val="1419013937"/>
        <w:rPr>
          <w:lang w:val="fr-FR"/>
        </w:rPr>
      </w:pPr>
      <w:r>
        <w:rPr>
          <w:lang w:val="fr-FR"/>
        </w:rPr>
        <w:t>Jusqu’à présent, ce dossier a surtout mis en évidence ce qui ne fonctionne pas. Ce chapitre montre le contraire : le parcours fiscal belge fonctionne et procure chaque année un avantage substantiel à la famille. Quatre déductions et abattements, dont l’un a été obtenu grâce à une « voie de contournement ». Cette voie de contournement a entre-temps été confirmée à deux reprises : une fois par le dépôt de la déclaration elle-même, et une fois par une confirmation écrite indépendante de l’administration fiscal</w:t>
      </w:r>
      <w:r>
        <w:rPr>
          <w:lang w:val="fr-FR"/>
        </w:rPr>
        <w:t>e attestant que la voie choisie est juridiquement valable.</w:t>
      </w:r>
    </w:p>
    <w:p w14:paraId="3AF9B71E" w14:textId="77777777" w:rsidR="0020702A" w:rsidRDefault="0020702A">
      <w:pPr>
        <w:pStyle w:val="Kop3"/>
        <w:divId w:val="1419013937"/>
        <w:rPr>
          <w:rFonts w:eastAsia="Times New Roman"/>
          <w:lang w:val="fr-FR"/>
        </w:rPr>
      </w:pPr>
      <w:bookmarkStart w:id="40" w:name="_Toc242103280"/>
      <w:r>
        <w:rPr>
          <w:rFonts w:eastAsia="Times New Roman"/>
          <w:lang w:val="fr-FR"/>
        </w:rPr>
        <w:t>Partie A — Ce qui fonctionne</w:t>
      </w:r>
      <w:bookmarkEnd w:id="40"/>
    </w:p>
    <w:tbl>
      <w:tblPr>
        <w:tblW w:w="5000" w:type="pct"/>
        <w:tblCellMar>
          <w:top w:w="15" w:type="dxa"/>
          <w:left w:w="15" w:type="dxa"/>
          <w:bottom w:w="15" w:type="dxa"/>
          <w:right w:w="15" w:type="dxa"/>
        </w:tblCellMar>
        <w:tblLook w:val="04A0" w:firstRow="1" w:lastRow="0" w:firstColumn="1" w:lastColumn="0" w:noHBand="0" w:noVBand="1"/>
      </w:tblPr>
      <w:tblGrid>
        <w:gridCol w:w="2898"/>
        <w:gridCol w:w="3260"/>
        <w:gridCol w:w="2898"/>
      </w:tblGrid>
      <w:tr w:rsidR="00000000" w14:paraId="3E692C52" w14:textId="77777777">
        <w:trPr>
          <w:divId w:val="1419013937"/>
          <w:tblHeader/>
        </w:trPr>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8F2C43B"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Avantage fiscal</w:t>
            </w:r>
          </w:p>
        </w:tc>
        <w:tc>
          <w:tcPr>
            <w:tcW w:w="18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45EC61A"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Base</w:t>
            </w:r>
          </w:p>
        </w:tc>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2E2B5E7"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Statut dans ce dossier</w:t>
            </w:r>
          </w:p>
        </w:tc>
      </w:tr>
      <w:tr w:rsidR="00000000" w14:paraId="47060BD4"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3D6119D" w14:textId="77777777" w:rsidR="0020702A" w:rsidRDefault="0020702A">
            <w:pPr>
              <w:spacing w:before="200" w:after="360"/>
              <w:rPr>
                <w:rFonts w:eastAsia="Times New Roman"/>
                <w:sz w:val="21"/>
                <w:szCs w:val="21"/>
              </w:rPr>
            </w:pPr>
            <w:r>
              <w:rPr>
                <w:rStyle w:val="Zwaar"/>
                <w:rFonts w:eastAsia="Times New Roman"/>
                <w:sz w:val="21"/>
                <w:szCs w:val="21"/>
              </w:rPr>
              <w:t>Abattement fiscal majoré</w:t>
            </w:r>
            <w:r>
              <w:rPr>
                <w:rFonts w:eastAsia="Times New Roman"/>
                <w:sz w:val="21"/>
                <w:szCs w:val="21"/>
              </w:rPr>
              <w:t xml:space="preserve"> (code d'invalidité)</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6EAD59" w14:textId="77777777" w:rsidR="0020702A" w:rsidRDefault="0020702A">
            <w:pPr>
              <w:spacing w:before="200" w:after="360"/>
              <w:rPr>
                <w:rFonts w:eastAsia="Times New Roman"/>
                <w:sz w:val="21"/>
                <w:szCs w:val="21"/>
              </w:rPr>
            </w:pPr>
            <w:r>
              <w:rPr>
                <w:rFonts w:eastAsia="Times New Roman"/>
                <w:sz w:val="21"/>
                <w:szCs w:val="21"/>
              </w:rPr>
              <w:t>Art. 131 et 135 du Code des impôts sur les revenus de 1992 (WIB 92) · invalidité permanente ≥ 66 % · capacité de gain inférieure à un tiers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FCE5BA" w14:textId="77777777" w:rsidR="0020702A" w:rsidRDefault="0020702A">
            <w:pPr>
              <w:spacing w:before="200" w:after="360"/>
              <w:rPr>
                <w:rFonts w:eastAsia="Times New Roman"/>
                <w:sz w:val="21"/>
                <w:szCs w:val="21"/>
              </w:rPr>
            </w:pPr>
            <w:r>
              <w:rPr>
                <w:rFonts w:eastAsia="Times New Roman"/>
                <w:sz w:val="21"/>
                <w:szCs w:val="21"/>
              </w:rPr>
              <w:t>Activé via un contournement, confirmé à deux reprises. Avantage : 2 669,97 € dans la déclaration commune de 2026.</w:t>
            </w:r>
          </w:p>
        </w:tc>
      </w:tr>
      <w:tr w:rsidR="00000000" w14:paraId="669C7431"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009636" w14:textId="77777777" w:rsidR="0020702A" w:rsidRDefault="0020702A">
            <w:pPr>
              <w:spacing w:before="200" w:after="360"/>
              <w:rPr>
                <w:rFonts w:eastAsia="Times New Roman"/>
                <w:sz w:val="21"/>
                <w:szCs w:val="21"/>
              </w:rPr>
            </w:pPr>
            <w:r>
              <w:rPr>
                <w:rStyle w:val="Zwaar"/>
                <w:rFonts w:eastAsia="Times New Roman"/>
                <w:sz w:val="21"/>
                <w:szCs w:val="21"/>
              </w:rPr>
              <w:t>Quotient matrimonial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78F796D" w14:textId="77777777" w:rsidR="0020702A" w:rsidRDefault="0020702A">
            <w:pPr>
              <w:spacing w:before="200" w:after="360"/>
              <w:rPr>
                <w:rFonts w:eastAsia="Times New Roman"/>
                <w:sz w:val="21"/>
                <w:szCs w:val="21"/>
              </w:rPr>
            </w:pPr>
            <w:r>
              <w:rPr>
                <w:rFonts w:eastAsia="Times New Roman"/>
                <w:sz w:val="21"/>
                <w:szCs w:val="21"/>
              </w:rPr>
              <w:t>Art. 87 du Code des impôts sur les revenus (WIB) 92 · imputation d’une partie du revenu professionnel au conjoint dont le revenu est le plus faible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31FBFA" w14:textId="77777777" w:rsidR="0020702A" w:rsidRDefault="0020702A">
            <w:pPr>
              <w:spacing w:before="200" w:after="360"/>
              <w:rPr>
                <w:rFonts w:eastAsia="Times New Roman"/>
                <w:sz w:val="21"/>
                <w:szCs w:val="21"/>
              </w:rPr>
            </w:pPr>
            <w:r>
              <w:rPr>
                <w:rFonts w:eastAsia="Times New Roman"/>
                <w:sz w:val="21"/>
                <w:szCs w:val="21"/>
              </w:rPr>
              <w:t>Appliqué automatiquement lors de la déclaration commune. Réduit la charge fiscale pesant sur le revenu familial.</w:t>
            </w:r>
          </w:p>
        </w:tc>
      </w:tr>
      <w:tr w:rsidR="00000000" w14:paraId="08F4CF38"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B227BDB" w14:textId="77777777" w:rsidR="0020702A" w:rsidRDefault="0020702A">
            <w:pPr>
              <w:spacing w:before="200" w:after="360"/>
              <w:rPr>
                <w:rFonts w:eastAsia="Times New Roman"/>
                <w:sz w:val="21"/>
                <w:szCs w:val="21"/>
              </w:rPr>
            </w:pPr>
            <w:r>
              <w:rPr>
                <w:rStyle w:val="Zwaar"/>
                <w:rFonts w:eastAsia="Times New Roman"/>
                <w:sz w:val="21"/>
                <w:szCs w:val="21"/>
              </w:rPr>
              <w:t>Réduction d'impôt pour la garde d'enfants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F6444C" w14:textId="77777777" w:rsidR="0020702A" w:rsidRDefault="0020702A">
            <w:pPr>
              <w:spacing w:before="200" w:after="360"/>
              <w:rPr>
                <w:rFonts w:eastAsia="Times New Roman"/>
                <w:sz w:val="21"/>
                <w:szCs w:val="21"/>
              </w:rPr>
            </w:pPr>
            <w:r>
              <w:rPr>
                <w:rFonts w:eastAsia="Times New Roman"/>
                <w:sz w:val="21"/>
                <w:szCs w:val="21"/>
              </w:rPr>
              <w:t>Art. 14535 du Code des impôts sur les revenus (WIB) 92 · frais de garde des enfants de moins de 14 ans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A6D2E1" w14:textId="77777777" w:rsidR="0020702A" w:rsidRDefault="0020702A">
            <w:pPr>
              <w:spacing w:before="200" w:after="360"/>
              <w:rPr>
                <w:rFonts w:eastAsia="Times New Roman"/>
                <w:sz w:val="21"/>
                <w:szCs w:val="21"/>
              </w:rPr>
            </w:pPr>
            <w:r>
              <w:rPr>
                <w:rFonts w:eastAsia="Times New Roman"/>
                <w:sz w:val="21"/>
                <w:szCs w:val="21"/>
              </w:rPr>
              <w:t>Attestation de garde pendant les vacances ajoutée manuellement à la déclaration 2026.</w:t>
            </w:r>
          </w:p>
        </w:tc>
      </w:tr>
      <w:tr w:rsidR="00000000" w14:paraId="4B694EA4"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BE43C7" w14:textId="77777777" w:rsidR="0020702A" w:rsidRDefault="0020702A">
            <w:pPr>
              <w:spacing w:before="200" w:after="360"/>
              <w:rPr>
                <w:rFonts w:eastAsia="Times New Roman"/>
                <w:sz w:val="21"/>
                <w:szCs w:val="21"/>
              </w:rPr>
            </w:pPr>
            <w:r>
              <w:rPr>
                <w:rStyle w:val="Zwaar"/>
                <w:rFonts w:eastAsia="Times New Roman"/>
                <w:sz w:val="21"/>
                <w:szCs w:val="21"/>
              </w:rPr>
              <w:t>Déduction fiscale des frais médicaux</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3AF81E" w14:textId="77777777" w:rsidR="0020702A" w:rsidRDefault="0020702A">
            <w:pPr>
              <w:spacing w:before="200" w:after="360"/>
              <w:rPr>
                <w:rFonts w:eastAsia="Times New Roman"/>
                <w:sz w:val="21"/>
                <w:szCs w:val="21"/>
              </w:rPr>
            </w:pPr>
            <w:r>
              <w:rPr>
                <w:rFonts w:eastAsia="Times New Roman"/>
                <w:sz w:val="21"/>
                <w:szCs w:val="21"/>
              </w:rPr>
              <w:t>Art. 140-145 du Code des impôts sur les revenus (CIR) de 1992 · frais médicaux dépassant un certain pourcentage du revenu</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4D7409" w14:textId="77777777" w:rsidR="0020702A" w:rsidRDefault="0020702A">
            <w:pPr>
              <w:spacing w:before="200" w:after="360"/>
              <w:rPr>
                <w:rFonts w:eastAsia="Times New Roman"/>
                <w:sz w:val="21"/>
                <w:szCs w:val="21"/>
              </w:rPr>
            </w:pPr>
            <w:r>
              <w:rPr>
                <w:rFonts w:eastAsia="Times New Roman"/>
                <w:sz w:val="21"/>
                <w:szCs w:val="21"/>
              </w:rPr>
              <w:t>Partiellement déductibles. Impact limité tant que les revenus restent faibles.</w:t>
            </w:r>
          </w:p>
        </w:tc>
      </w:tr>
    </w:tbl>
    <w:p w14:paraId="21FACD76" w14:textId="77777777" w:rsidR="0020702A" w:rsidRDefault="0020702A">
      <w:pPr>
        <w:divId w:val="1419013937"/>
        <w:rPr>
          <w:rFonts w:eastAsia="Times New Roman"/>
          <w:vanish/>
          <w:lang w:val="fr-FR"/>
        </w:rPr>
      </w:pP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7E19FDD"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DA8E037" w14:textId="77777777" w:rsidR="0020702A" w:rsidRDefault="0020702A">
            <w:pPr>
              <w:pStyle w:val="Normaalweb"/>
              <w:spacing w:before="120"/>
              <w:jc w:val="center"/>
              <w:rPr>
                <w:sz w:val="21"/>
                <w:szCs w:val="21"/>
              </w:rPr>
            </w:pPr>
            <w:r>
              <w:rPr>
                <w:noProof/>
                <w:sz w:val="21"/>
                <w:szCs w:val="21"/>
              </w:rPr>
              <w:drawing>
                <wp:inline distT="0" distB="0" distL="0" distR="0" wp14:anchorId="4F0515E8" wp14:editId="1C39C4A2">
                  <wp:extent cx="3810000" cy="1460500"/>
                  <wp:effectExtent l="0" t="0" r="0" b="635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42AE683C" w14:textId="77777777" w:rsidR="0020702A" w:rsidRDefault="0020702A">
            <w:pPr>
              <w:pStyle w:val="caption"/>
              <w:spacing w:after="120" w:afterAutospacing="0"/>
            </w:pPr>
            <w:r>
              <w:rPr>
                <w:rStyle w:val="Zwaar"/>
              </w:rPr>
              <w:t>Figure VI.1 — Les quatre flux fiscaux à l'œuvre.</w:t>
            </w:r>
            <w:r>
              <w:t xml:space="preserve"> Trois flux verts : abattement fiscal majoré, quotient conjugal et garde d'enfants. Un flux orange : les frais médicaux (seuil). Ensemble, ils déterminent l'avantage fiscal dans la déclaration annuelle belge.</w:t>
            </w:r>
          </w:p>
        </w:tc>
      </w:tr>
    </w:tbl>
    <w:p w14:paraId="65BEA17F" w14:textId="77777777" w:rsidR="0020702A" w:rsidRDefault="0020702A">
      <w:pPr>
        <w:pStyle w:val="Kop3"/>
        <w:divId w:val="1419013937"/>
        <w:rPr>
          <w:rFonts w:eastAsia="Times New Roman"/>
          <w:lang w:val="fr-FR"/>
        </w:rPr>
      </w:pPr>
      <w:bookmarkStart w:id="41" w:name="_Toc242103281"/>
      <w:r>
        <w:rPr>
          <w:rFonts w:eastAsia="Times New Roman"/>
          <w:lang w:val="fr-FR"/>
        </w:rPr>
        <w:t>Partie B — Le contournement de l’abattement fiscal majoré</w:t>
      </w:r>
      <w:bookmarkEnd w:id="41"/>
    </w:p>
    <w:p w14:paraId="5D467886" w14:textId="77777777" w:rsidR="0020702A" w:rsidRDefault="0020702A">
      <w:pPr>
        <w:pStyle w:val="Kop4"/>
        <w:divId w:val="1419013937"/>
        <w:rPr>
          <w:rFonts w:eastAsia="Times New Roman"/>
          <w:lang w:val="fr-FR"/>
        </w:rPr>
      </w:pPr>
      <w:r>
        <w:rPr>
          <w:rFonts w:eastAsia="Times New Roman"/>
          <w:lang w:val="fr-FR"/>
        </w:rPr>
        <w:t>Le problème</w:t>
      </w:r>
    </w:p>
    <w:p w14:paraId="738AA264" w14:textId="77777777" w:rsidR="0020702A" w:rsidRDefault="0020702A">
      <w:pPr>
        <w:pStyle w:val="Normaalweb"/>
        <w:divId w:val="1419013937"/>
        <w:rPr>
          <w:lang w:val="fr-FR"/>
        </w:rPr>
      </w:pPr>
      <w:r>
        <w:rPr>
          <w:lang w:val="fr-FR"/>
        </w:rPr>
        <w:t>Trois obstacles sur la voie normale :</w:t>
      </w:r>
    </w:p>
    <w:p w14:paraId="2884BDE1" w14:textId="77777777" w:rsidR="0020702A" w:rsidRDefault="0020702A">
      <w:pPr>
        <w:numPr>
          <w:ilvl w:val="0"/>
          <w:numId w:val="7"/>
        </w:numPr>
        <w:spacing w:before="100" w:beforeAutospacing="1" w:after="100" w:afterAutospacing="1"/>
        <w:divId w:val="1419013937"/>
        <w:rPr>
          <w:rFonts w:eastAsia="Times New Roman"/>
          <w:lang w:val="fr-FR"/>
        </w:rPr>
      </w:pPr>
      <w:r>
        <w:rPr>
          <w:rFonts w:eastAsia="Times New Roman"/>
          <w:lang w:val="fr-FR"/>
        </w:rPr>
        <w:t>L’indemnité de maladie est refusée, ce qui signifie qu’il n’y a pas de reconnaissance d’incapacité de travail.</w:t>
      </w:r>
    </w:p>
    <w:p w14:paraId="07753BC8" w14:textId="77777777" w:rsidR="0020702A" w:rsidRDefault="0020702A">
      <w:pPr>
        <w:numPr>
          <w:ilvl w:val="0"/>
          <w:numId w:val="7"/>
        </w:numPr>
        <w:spacing w:before="100" w:beforeAutospacing="1" w:after="100" w:afterAutospacing="1"/>
        <w:divId w:val="1419013937"/>
        <w:rPr>
          <w:rFonts w:eastAsia="Times New Roman"/>
          <w:lang w:val="fr-FR"/>
        </w:rPr>
      </w:pPr>
      <w:r>
        <w:rPr>
          <w:rFonts w:eastAsia="Times New Roman"/>
          <w:lang w:val="fr-FR"/>
        </w:rPr>
        <w:t>La Banque-Carrefour n’est pas mise à jour, ce qui empêche les autres instances de voir le statut de maladie.</w:t>
      </w:r>
    </w:p>
    <w:p w14:paraId="37830F5E" w14:textId="77777777" w:rsidR="0020702A" w:rsidRDefault="0020702A">
      <w:pPr>
        <w:numPr>
          <w:ilvl w:val="0"/>
          <w:numId w:val="7"/>
        </w:numPr>
        <w:spacing w:before="100" w:beforeAutospacing="1" w:after="100" w:afterAutospacing="1"/>
        <w:divId w:val="1419013937"/>
        <w:rPr>
          <w:rFonts w:eastAsia="Times New Roman"/>
          <w:lang w:val="fr-FR"/>
        </w:rPr>
      </w:pPr>
      <w:r>
        <w:rPr>
          <w:rFonts w:eastAsia="Times New Roman"/>
          <w:lang w:val="fr-FR"/>
        </w:rPr>
        <w:t>Le Service fédéral des personnes handicapées attribue 8 points. Le seuil fiscal est fixé à 9.</w:t>
      </w:r>
    </w:p>
    <w:p w14:paraId="39F16D54" w14:textId="77777777" w:rsidR="0020702A" w:rsidRDefault="0020702A">
      <w:pPr>
        <w:pStyle w:val="Kop4"/>
        <w:divId w:val="1419013937"/>
        <w:rPr>
          <w:rFonts w:eastAsia="Times New Roman"/>
          <w:lang w:val="fr-FR"/>
        </w:rPr>
      </w:pPr>
      <w:r>
        <w:rPr>
          <w:rFonts w:eastAsia="Times New Roman"/>
          <w:lang w:val="fr-FR"/>
        </w:rPr>
        <w:t>La solution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6E40E9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DFC03BB" w14:textId="77777777" w:rsidR="0020702A" w:rsidRDefault="0020702A">
            <w:pPr>
              <w:pStyle w:val="Normaalweb"/>
              <w:spacing w:before="120"/>
              <w:jc w:val="center"/>
              <w:rPr>
                <w:sz w:val="21"/>
                <w:szCs w:val="21"/>
              </w:rPr>
            </w:pPr>
            <w:r>
              <w:rPr>
                <w:noProof/>
                <w:sz w:val="21"/>
                <w:szCs w:val="21"/>
              </w:rPr>
              <w:drawing>
                <wp:inline distT="0" distB="0" distL="0" distR="0" wp14:anchorId="05362415" wp14:editId="1A286F12">
                  <wp:extent cx="3810000" cy="21399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828236E" w14:textId="77777777" w:rsidR="0020702A" w:rsidRDefault="0020702A">
            <w:pPr>
              <w:pStyle w:val="caption"/>
              <w:spacing w:after="120" w:afterAutospacing="0"/>
            </w:pPr>
            <w:r>
              <w:rPr>
                <w:rStyle w:val="Zwaar"/>
              </w:rPr>
              <w:t>Figure VI.2 — La voie de contournement fiscale.</w:t>
            </w:r>
            <w:r>
              <w:t xml:space="preserve"> Trois obstacles sur la voie classique. L’administration fiscale est juridiquement dissociée du circuit des prestations et peut accepter son propre certificat médical. Un seul document du médecin généraliste, rédigé dans le langage de l’administration fiscale, active le montant majoré de l’abattement fiscal sans modifier la base de données centrale.</w:t>
            </w:r>
          </w:p>
        </w:tc>
      </w:tr>
    </w:tbl>
    <w:p w14:paraId="3610E30B" w14:textId="77777777" w:rsidR="0020702A" w:rsidRDefault="0020702A">
      <w:pPr>
        <w:pStyle w:val="Kop3"/>
        <w:divId w:val="1419013937"/>
        <w:rPr>
          <w:rFonts w:eastAsia="Times New Roman"/>
          <w:lang w:val="fr-FR"/>
        </w:rPr>
      </w:pPr>
      <w:bookmarkStart w:id="42" w:name="_Toc242103282"/>
      <w:r>
        <w:rPr>
          <w:rFonts w:eastAsia="Times New Roman"/>
          <w:lang w:val="fr-FR"/>
        </w:rPr>
        <w:t>Partie C — La double confirmation</w:t>
      </w:r>
      <w:bookmarkEnd w:id="42"/>
    </w:p>
    <w:p w14:paraId="40E2E035" w14:textId="77777777" w:rsidR="0020702A" w:rsidRDefault="0020702A">
      <w:pPr>
        <w:pStyle w:val="Normaalweb"/>
        <w:divId w:val="1419013937"/>
        <w:rPr>
          <w:lang w:val="fr-FR"/>
        </w:rPr>
      </w:pPr>
      <w:r>
        <w:rPr>
          <w:lang w:val="fr-FR"/>
        </w:rPr>
        <w:t>Le contournement repose sur une seule hypothèse : que l’administration fiscale accepte un certificat médical du médecin généraliste sans l’intervention du SPF Sécurité sociale. Cette hypothèse a été confirmée de deux manières indépendantes dans ce dossier.</w:t>
      </w:r>
    </w:p>
    <w:p w14:paraId="5AC02878" w14:textId="77777777" w:rsidR="0020702A" w:rsidRDefault="0020702A">
      <w:pPr>
        <w:pStyle w:val="Kop4"/>
        <w:divId w:val="1419013937"/>
        <w:rPr>
          <w:rFonts w:eastAsia="Times New Roman"/>
          <w:lang w:val="fr-FR"/>
        </w:rPr>
      </w:pPr>
      <w:r>
        <w:rPr>
          <w:rFonts w:eastAsia="Times New Roman"/>
          <w:lang w:val="fr-FR"/>
        </w:rPr>
        <w:t>Première confirmation — le dépôt lui-même</w:t>
      </w:r>
    </w:p>
    <w:p w14:paraId="18DD6DEB" w14:textId="77777777" w:rsidR="0020702A" w:rsidRDefault="0020702A">
      <w:pPr>
        <w:pStyle w:val="Normaalweb"/>
        <w:divId w:val="1419013937"/>
        <w:rPr>
          <w:lang w:val="fr-FR"/>
        </w:rPr>
      </w:pPr>
      <w:r>
        <w:rPr>
          <w:lang w:val="fr-FR"/>
        </w:rPr>
        <w:t>Le 25 septembre 2026, la déclaration définitive d’impôt des non-résidents (année d’imposition 2026, année de revenus 2025) a été déposée par le service fiscal du CSC. La déclaration comprend :</w:t>
      </w:r>
    </w:p>
    <w:p w14:paraId="01CEA08C" w14:textId="77777777" w:rsidR="0020702A" w:rsidRDefault="0020702A">
      <w:pPr>
        <w:numPr>
          <w:ilvl w:val="0"/>
          <w:numId w:val="8"/>
        </w:numPr>
        <w:spacing w:before="100" w:beforeAutospacing="1" w:after="100" w:afterAutospacing="1"/>
        <w:divId w:val="1419013937"/>
        <w:rPr>
          <w:rFonts w:eastAsia="Times New Roman"/>
          <w:lang w:val="fr-FR"/>
        </w:rPr>
      </w:pPr>
      <w:r>
        <w:rPr>
          <w:rFonts w:eastAsia="Times New Roman"/>
          <w:lang w:val="fr-FR"/>
        </w:rPr>
        <w:t>Le code d’invalidité pour le conjoint à charge, sur la base du certificat médical joint établi par le médecin généraliste.</w:t>
      </w:r>
    </w:p>
    <w:p w14:paraId="6EF1DBF8" w14:textId="77777777" w:rsidR="0020702A" w:rsidRDefault="0020702A">
      <w:pPr>
        <w:numPr>
          <w:ilvl w:val="0"/>
          <w:numId w:val="8"/>
        </w:numPr>
        <w:spacing w:before="100" w:beforeAutospacing="1" w:after="100" w:afterAutospacing="1"/>
        <w:divId w:val="1419013937"/>
        <w:rPr>
          <w:rFonts w:eastAsia="Times New Roman"/>
          <w:lang w:val="fr-FR"/>
        </w:rPr>
      </w:pPr>
      <w:r>
        <w:rPr>
          <w:rFonts w:eastAsia="Times New Roman"/>
          <w:lang w:val="fr-FR"/>
        </w:rPr>
        <w:t>1 enfant à charge.</w:t>
      </w:r>
    </w:p>
    <w:p w14:paraId="4F90B361" w14:textId="77777777" w:rsidR="0020702A" w:rsidRDefault="0020702A">
      <w:pPr>
        <w:numPr>
          <w:ilvl w:val="0"/>
          <w:numId w:val="8"/>
        </w:numPr>
        <w:spacing w:before="100" w:beforeAutospacing="1" w:after="100" w:afterAutospacing="1"/>
        <w:divId w:val="1419013937"/>
        <w:rPr>
          <w:rFonts w:eastAsia="Times New Roman"/>
          <w:lang w:val="fr-FR"/>
        </w:rPr>
      </w:pPr>
      <w:r>
        <w:rPr>
          <w:rFonts w:eastAsia="Times New Roman"/>
          <w:lang w:val="fr-FR"/>
        </w:rPr>
        <w:t>2 attestations de frais de garde, ajoutées manuellement.</w:t>
      </w:r>
    </w:p>
    <w:p w14:paraId="7D3E6B93" w14:textId="77777777" w:rsidR="0020702A" w:rsidRDefault="0020702A">
      <w:pPr>
        <w:numPr>
          <w:ilvl w:val="0"/>
          <w:numId w:val="8"/>
        </w:numPr>
        <w:spacing w:before="100" w:beforeAutospacing="1" w:after="100" w:afterAutospacing="1"/>
        <w:divId w:val="1419013937"/>
        <w:rPr>
          <w:rFonts w:eastAsia="Times New Roman"/>
          <w:lang w:val="fr-FR"/>
        </w:rPr>
      </w:pPr>
      <w:r>
        <w:rPr>
          <w:rFonts w:eastAsia="Times New Roman"/>
          <w:lang w:val="fr-FR"/>
        </w:rPr>
        <w:t>La confirmation d’un montant de 0,00 € de revenus ou de prestations néerlandais.</w:t>
      </w:r>
    </w:p>
    <w:p w14:paraId="5EB1D059" w14:textId="77777777" w:rsidR="0020702A" w:rsidRDefault="0020702A">
      <w:pPr>
        <w:pStyle w:val="Normaalweb"/>
        <w:divId w:val="1419013937"/>
        <w:rPr>
          <w:lang w:val="fr-FR"/>
        </w:rPr>
      </w:pPr>
      <w:r>
        <w:rPr>
          <w:lang w:val="fr-FR"/>
        </w:rPr>
        <w:t xml:space="preserve">Résultat : </w:t>
      </w:r>
      <w:r>
        <w:rPr>
          <w:rStyle w:val="Zwaar"/>
          <w:lang w:val="fr-FR"/>
        </w:rPr>
        <w:t>2 669,97 € en faveur de la famille</w:t>
      </w:r>
      <w:r>
        <w:rPr>
          <w:lang w:val="fr-FR"/>
        </w:rPr>
        <w:t>. La déclaration a été déposée le 25 septembre 2026 avec un solde calculé ; le traitement définitif et l'avis d'imposition du SPF Finances sont en attente.</w:t>
      </w:r>
    </w:p>
    <w:p w14:paraId="6692E08A" w14:textId="77777777" w:rsidR="0020702A" w:rsidRDefault="0020702A">
      <w:pPr>
        <w:pStyle w:val="Kop4"/>
        <w:divId w:val="1419013937"/>
        <w:rPr>
          <w:rFonts w:eastAsia="Times New Roman"/>
          <w:lang w:val="fr-FR"/>
        </w:rPr>
      </w:pPr>
      <w:r>
        <w:rPr>
          <w:rFonts w:eastAsia="Times New Roman"/>
          <w:lang w:val="fr-FR"/>
        </w:rPr>
        <w:t>Deuxième confirmation — le contrôle indépendant</w:t>
      </w:r>
    </w:p>
    <w:p w14:paraId="2BBCF1CA" w14:textId="77777777" w:rsidR="0020702A" w:rsidRDefault="0020702A">
      <w:pPr>
        <w:pStyle w:val="Normaalweb"/>
        <w:divId w:val="1419013937"/>
        <w:rPr>
          <w:lang w:val="fr-FR"/>
        </w:rPr>
      </w:pPr>
      <w:r>
        <w:rPr>
          <w:lang w:val="fr-FR"/>
        </w:rPr>
        <w:t>Parallèlement au dépôt de la déclaration, un chercheur indépendant spécialisé dans le travail frontalier — employé par un établissement universitaire et n’étant pas impliqué dans le dossier — a adressé une demande anonyme au SPF Finances. La question portait sur le fait de savoir si l’ajout spontané de certificats médicaux à la déclaration constituait une voie valable pour prouver le statut de handicap fiscal en vertu du droit belge.</w:t>
      </w:r>
    </w:p>
    <w:p w14:paraId="0A949C31" w14:textId="77777777" w:rsidR="0020702A" w:rsidRDefault="0020702A">
      <w:pPr>
        <w:pStyle w:val="Normaalweb"/>
        <w:divId w:val="1419013937"/>
        <w:rPr>
          <w:lang w:val="fr-FR"/>
        </w:rPr>
      </w:pPr>
      <w:r>
        <w:rPr>
          <w:lang w:val="fr-FR"/>
        </w:rPr>
        <w:t>Le SPF Finances, Équipe Gestion et Services fiscaux des non-résidents (PG15 Ledeberg), l’a confirmé par écrit. Dans deux réponses successives, l’administration fiscale indique que :</w:t>
      </w:r>
    </w:p>
    <w:p w14:paraId="0238B40F" w14:textId="77777777" w:rsidR="0020702A" w:rsidRDefault="0020702A">
      <w:pPr>
        <w:numPr>
          <w:ilvl w:val="0"/>
          <w:numId w:val="9"/>
        </w:numPr>
        <w:spacing w:before="100" w:beforeAutospacing="1" w:after="100" w:afterAutospacing="1"/>
        <w:divId w:val="1419013937"/>
        <w:rPr>
          <w:rFonts w:eastAsia="Times New Roman"/>
          <w:lang w:val="fr-FR"/>
        </w:rPr>
      </w:pPr>
      <w:r>
        <w:rPr>
          <w:rFonts w:eastAsia="Times New Roman"/>
          <w:lang w:val="fr-FR"/>
        </w:rPr>
        <w:t>En l’absence d’un revenu de remplacement supérieur à 13 460 €, il en résulte une différence fiscale.</w:t>
      </w:r>
    </w:p>
    <w:p w14:paraId="54605606" w14:textId="77777777" w:rsidR="0020702A" w:rsidRDefault="0020702A">
      <w:pPr>
        <w:numPr>
          <w:ilvl w:val="0"/>
          <w:numId w:val="9"/>
        </w:numPr>
        <w:spacing w:before="100" w:beforeAutospacing="1" w:after="100" w:afterAutospacing="1"/>
        <w:divId w:val="1419013937"/>
        <w:rPr>
          <w:rFonts w:eastAsia="Times New Roman"/>
          <w:lang w:val="fr-FR"/>
        </w:rPr>
      </w:pPr>
      <w:r>
        <w:rPr>
          <w:rFonts w:eastAsia="Times New Roman"/>
          <w:lang w:val="fr-FR"/>
        </w:rPr>
        <w:t>Il est utile de joindre spontanément les attestations médicales à la déclaration.</w:t>
      </w:r>
    </w:p>
    <w:p w14:paraId="0ED11554" w14:textId="77777777" w:rsidR="0020702A" w:rsidRDefault="0020702A">
      <w:pPr>
        <w:numPr>
          <w:ilvl w:val="0"/>
          <w:numId w:val="9"/>
        </w:numPr>
        <w:spacing w:before="100" w:beforeAutospacing="1" w:after="100" w:afterAutospacing="1"/>
        <w:divId w:val="1419013937"/>
        <w:rPr>
          <w:rFonts w:eastAsia="Times New Roman"/>
          <w:lang w:val="fr-FR"/>
        </w:rPr>
      </w:pPr>
      <w:r>
        <w:rPr>
          <w:rFonts w:eastAsia="Times New Roman"/>
          <w:lang w:val="fr-FR"/>
        </w:rPr>
        <w:t>L’administration peut en déduire que la personne concernée doit être considérée comme handicapée sur le plan fiscal en vertu du droit belge.</w:t>
      </w:r>
    </w:p>
    <w:p w14:paraId="062BE646" w14:textId="77777777" w:rsidR="0020702A" w:rsidRDefault="0020702A">
      <w:pPr>
        <w:pStyle w:val="Normaalweb"/>
        <w:divId w:val="1419013937"/>
        <w:rPr>
          <w:lang w:val="fr-FR"/>
        </w:rPr>
      </w:pPr>
      <w:r>
        <w:rPr>
          <w:lang w:val="fr-FR"/>
        </w:rPr>
        <w:t>Il en résulte que la « voie de contournement » fonctionne non seulement dans la pratique, mais que l’administration fiscale confirme elle-même que la voie choisie est juridiquement valable. Il ne s’agit plus d’un pari ni d’une faveur. C’est une confirmation formelle que la voie trouvée par la famille est la bonne.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C3185C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D2DCC17" w14:textId="77777777" w:rsidR="0020702A" w:rsidRDefault="0020702A">
            <w:pPr>
              <w:pStyle w:val="Normaalweb"/>
              <w:spacing w:before="120"/>
              <w:jc w:val="center"/>
              <w:rPr>
                <w:sz w:val="21"/>
                <w:szCs w:val="21"/>
              </w:rPr>
            </w:pPr>
            <w:r>
              <w:rPr>
                <w:noProof/>
                <w:sz w:val="21"/>
                <w:szCs w:val="21"/>
              </w:rPr>
              <w:drawing>
                <wp:inline distT="0" distB="0" distL="0" distR="0" wp14:anchorId="352AA179" wp14:editId="2E7358F5">
                  <wp:extent cx="3810000" cy="1079500"/>
                  <wp:effectExtent l="0" t="0" r="0" b="635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10000" cy="1079500"/>
                          </a:xfrm>
                          <a:prstGeom prst="rect">
                            <a:avLst/>
                          </a:prstGeom>
                          <a:noFill/>
                          <a:ln>
                            <a:noFill/>
                          </a:ln>
                        </pic:spPr>
                      </pic:pic>
                    </a:graphicData>
                  </a:graphic>
                </wp:inline>
              </w:drawing>
            </w:r>
          </w:p>
          <w:p w14:paraId="40FB8531" w14:textId="77777777" w:rsidR="0020702A" w:rsidRDefault="0020702A">
            <w:pPr>
              <w:pStyle w:val="caption"/>
              <w:spacing w:after="120" w:afterAutospacing="0"/>
            </w:pPr>
            <w:r>
              <w:rPr>
                <w:rStyle w:val="Zwaar"/>
              </w:rPr>
              <w:t>Figure VI.3 — La double confirmation.</w:t>
            </w:r>
            <w:r>
              <w:t xml:space="preserve"> La même solution de contournement a été confirmée à deux reprises : une fois dans la pratique (la déclaration définitivement déposée avec l’avantage calculé), une fois en théorie (la confirmation écrite de l’administration fiscale adressée à un chercheur indépendant).</w:t>
            </w:r>
          </w:p>
        </w:tc>
      </w:tr>
    </w:tbl>
    <w:p w14:paraId="62E659D1" w14:textId="77777777" w:rsidR="0020702A" w:rsidRDefault="0020702A">
      <w:pPr>
        <w:pStyle w:val="Kop3"/>
        <w:divId w:val="1419013937"/>
        <w:rPr>
          <w:rFonts w:eastAsia="Times New Roman"/>
          <w:lang w:val="fr-FR"/>
        </w:rPr>
      </w:pPr>
      <w:bookmarkStart w:id="43" w:name="_Toc242103283"/>
      <w:r>
        <w:rPr>
          <w:rFonts w:eastAsia="Times New Roman"/>
          <w:lang w:val="fr-FR"/>
        </w:rPr>
        <w:t>Partie D — AGODI : la cible mouvante et la conclusion finale</w:t>
      </w:r>
      <w:bookmarkEnd w:id="43"/>
    </w:p>
    <w:p w14:paraId="3A10930C" w14:textId="77777777" w:rsidR="0020702A" w:rsidRDefault="0020702A">
      <w:pPr>
        <w:pStyle w:val="Normaalweb"/>
        <w:divId w:val="1419013937"/>
        <w:rPr>
          <w:lang w:val="fr-FR"/>
        </w:rPr>
      </w:pPr>
      <w:r>
        <w:rPr>
          <w:lang w:val="fr-FR"/>
        </w:rPr>
        <w:t>L’Agence des services éducatifs (AGODI) est l’agence flamande chargée de la gestion des salaires du personnel éducatif. Dans ce dossier, AGODI est l’intermédiaire employeur de la mère. Lorsque les avantages fiscaux fédéraux sont activés, AGODI doit les répercuter dans la gestion des salaires. Et c’est là que les choses tournent mal au départ.</w:t>
      </w:r>
    </w:p>
    <w:p w14:paraId="28E61152" w14:textId="77777777" w:rsidR="0020702A" w:rsidRDefault="0020702A">
      <w:pPr>
        <w:pStyle w:val="Kop4"/>
        <w:divId w:val="1419013937"/>
        <w:rPr>
          <w:rFonts w:eastAsia="Times New Roman"/>
          <w:lang w:val="fr-FR"/>
        </w:rPr>
      </w:pPr>
      <w:r>
        <w:rPr>
          <w:rFonts w:eastAsia="Times New Roman"/>
          <w:lang w:val="fr-FR"/>
        </w:rPr>
        <w:t>Premier refus — 25 mars 2026</w:t>
      </w:r>
    </w:p>
    <w:p w14:paraId="1D334817" w14:textId="77777777" w:rsidR="0020702A" w:rsidRDefault="0020702A">
      <w:pPr>
        <w:pStyle w:val="Normaalweb"/>
        <w:divId w:val="1419013937"/>
        <w:rPr>
          <w:lang w:val="fr-FR"/>
        </w:rPr>
      </w:pPr>
      <w:r>
        <w:rPr>
          <w:lang w:val="fr-FR"/>
        </w:rPr>
        <w:t>AGODI refuse la modification rétroactive du précompte professionnel concernant l’exonération des enseignants prévue par la convention de double imposition. Motif : les fiches fiscales antérieures ont déjà été délivrées.</w:t>
      </w:r>
    </w:p>
    <w:p w14:paraId="536150E7" w14:textId="77777777" w:rsidR="0020702A" w:rsidRDefault="0020702A">
      <w:pPr>
        <w:pStyle w:val="Kop4"/>
        <w:divId w:val="1419013937"/>
        <w:rPr>
          <w:rFonts w:eastAsia="Times New Roman"/>
          <w:lang w:val="fr-FR"/>
        </w:rPr>
      </w:pPr>
      <w:r>
        <w:rPr>
          <w:rFonts w:eastAsia="Times New Roman"/>
          <w:lang w:val="fr-FR"/>
        </w:rPr>
        <w:t>L'interprétation médicale — 24 août 2026</w:t>
      </w:r>
    </w:p>
    <w:p w14:paraId="576990BF" w14:textId="77777777" w:rsidR="0020702A" w:rsidRDefault="0020702A">
      <w:pPr>
        <w:pStyle w:val="Normaalweb"/>
        <w:divId w:val="1419013937"/>
        <w:rPr>
          <w:lang w:val="fr-FR"/>
        </w:rPr>
      </w:pPr>
      <w:r>
        <w:rPr>
          <w:lang w:val="fr-FR"/>
        </w:rPr>
        <w:t>AGODI refuse l’ajustement sur la base de l’attestation fédérale de 8 points. Le service de la paie se permet de procéder à une évaluation médico-fiscale : l'attestation ne serait valable que pour une carte de stationnement, et 9 points sont normalement requis pour bénéficier d'un précompte professionnel réduit.</w:t>
      </w:r>
    </w:p>
    <w:p w14:paraId="07E2DFA2" w14:textId="77777777" w:rsidR="0020702A" w:rsidRDefault="0020702A">
      <w:pPr>
        <w:pStyle w:val="Kop4"/>
        <w:divId w:val="1419013937"/>
        <w:rPr>
          <w:rFonts w:eastAsia="Times New Roman"/>
          <w:lang w:val="fr-FR"/>
        </w:rPr>
      </w:pPr>
      <w:r>
        <w:rPr>
          <w:rFonts w:eastAsia="Times New Roman"/>
          <w:lang w:val="fr-FR"/>
        </w:rPr>
        <w:t>Le revirement complet — 8 septembre 2026</w:t>
      </w:r>
    </w:p>
    <w:p w14:paraId="25AA0113" w14:textId="77777777" w:rsidR="0020702A" w:rsidRDefault="0020702A">
      <w:pPr>
        <w:pStyle w:val="Normaalweb"/>
        <w:divId w:val="1419013937"/>
        <w:rPr>
          <w:lang w:val="fr-FR"/>
        </w:rPr>
      </w:pPr>
      <w:r>
        <w:rPr>
          <w:lang w:val="fr-FR"/>
        </w:rPr>
        <w:t>Lorsque le certificat médical définitif (invalidité permanente ≥ 66 %, capacité de gain réduite à un tiers) est présenté, AGODI change complètement d'avis. L'instance affirme soudainement qu'elle n'a pas besoin de recevoir de pièces justificatives, que l'école doit uniquement envoyer une mise à jour électronique et que ce sont finalement les services fiscaux qui procèdent au décompte.</w:t>
      </w:r>
    </w:p>
    <w:p w14:paraId="05F80ABA" w14:textId="77777777" w:rsidR="0020702A" w:rsidRDefault="0020702A">
      <w:pPr>
        <w:pStyle w:val="Kop4"/>
        <w:divId w:val="1419013937"/>
        <w:rPr>
          <w:rFonts w:eastAsia="Times New Roman"/>
          <w:lang w:val="fr-FR"/>
        </w:rPr>
      </w:pPr>
      <w:r>
        <w:rPr>
          <w:rFonts w:eastAsia="Times New Roman"/>
          <w:lang w:val="fr-FR"/>
        </w:rPr>
        <w:t>Clôture définitive — 25 septembre 2026</w:t>
      </w:r>
    </w:p>
    <w:p w14:paraId="17C0265D" w14:textId="77777777" w:rsidR="0020702A" w:rsidRDefault="0020702A">
      <w:pPr>
        <w:pStyle w:val="Normaalweb"/>
        <w:divId w:val="1419013937"/>
        <w:rPr>
          <w:lang w:val="fr-FR"/>
        </w:rPr>
      </w:pPr>
      <w:r>
        <w:rPr>
          <w:lang w:val="fr-FR"/>
        </w:rPr>
        <w:t>Le 23 septembre 2026, le secrétariat de l’établissement a enregistré dans le système de gestion du personnel Informat la notification officielle « modification de la situation fiscale du partenaire en situation de handicap » (numéro de notification 4, [numéro de matricule du partenaire]). Ce signal électronique établit, avec effet rétroactif à compter du 1er janvier 2026, que le partenaire à charge ne perçoit aucun revenu professionnel et est officiellement enregistré comme personne en situation de handicap</w:t>
      </w:r>
      <w:r>
        <w:rPr>
          <w:lang w:val="fr-FR"/>
        </w:rPr>
        <w:t>. La procédure administrative est ainsi entièrement achevée.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8D63D18"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18C7861" w14:textId="77777777" w:rsidR="0020702A" w:rsidRDefault="0020702A">
            <w:pPr>
              <w:pStyle w:val="Normaalweb"/>
              <w:spacing w:before="120"/>
              <w:jc w:val="center"/>
              <w:rPr>
                <w:sz w:val="21"/>
                <w:szCs w:val="21"/>
              </w:rPr>
            </w:pPr>
            <w:r>
              <w:rPr>
                <w:noProof/>
                <w:sz w:val="21"/>
                <w:szCs w:val="21"/>
              </w:rPr>
              <w:drawing>
                <wp:inline distT="0" distB="0" distL="0" distR="0" wp14:anchorId="65B353E4" wp14:editId="725E8077">
                  <wp:extent cx="3810000" cy="164465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44F2FCBA" w14:textId="77777777" w:rsidR="0020702A" w:rsidRDefault="0020702A">
            <w:pPr>
              <w:pStyle w:val="caption"/>
              <w:spacing w:after="120" w:afterAutospacing="0"/>
            </w:pPr>
            <w:r>
              <w:rPr>
                <w:rStyle w:val="Zwaar"/>
              </w:rPr>
              <w:t>Figure VI.4 — D’une cible mouvante à la finalisation définitive.</w:t>
            </w:r>
            <w:r>
              <w:t xml:space="preserve"> Trois cycles de refus, suivis de l’enregistrement définitif du signal électronique. Ce qui semblait initialement impossible est désormais finalisé sur le plan administratif.</w:t>
            </w:r>
          </w:p>
        </w:tc>
      </w:tr>
    </w:tbl>
    <w:p w14:paraId="0DF28D2D" w14:textId="77777777" w:rsidR="0020702A" w:rsidRDefault="0020702A">
      <w:pPr>
        <w:pStyle w:val="Kop3"/>
        <w:divId w:val="1419013937"/>
        <w:rPr>
          <w:rFonts w:eastAsia="Times New Roman"/>
          <w:lang w:val="fr-FR"/>
        </w:rPr>
      </w:pPr>
      <w:bookmarkStart w:id="44" w:name="_Toc242103284"/>
      <w:r>
        <w:rPr>
          <w:rFonts w:eastAsia="Times New Roman"/>
          <w:lang w:val="fr-FR"/>
        </w:rPr>
        <w:t>Partie E — Ce que ce chapitre établit</w:t>
      </w:r>
      <w:bookmarkEnd w:id="44"/>
    </w:p>
    <w:p w14:paraId="2D1EA774" w14:textId="77777777" w:rsidR="0020702A" w:rsidRDefault="0020702A">
      <w:pPr>
        <w:pStyle w:val="Normaalweb"/>
        <w:divId w:val="1419013937"/>
        <w:rPr>
          <w:lang w:val="fr-FR"/>
        </w:rPr>
      </w:pPr>
      <w:r>
        <w:rPr>
          <w:lang w:val="fr-FR"/>
        </w:rPr>
        <w:t>La procédure fiscale belge fonctionne — parfaitement. Quatre déductions, un contournement, une déclaration commune offrant un avantage substantiel. La dérogation a été confirmée à deux reprises : une fois dans la pratique, une fois par l’administration fiscale elle-même. Et la dernière instance de la chaîne (AGODI) a finalement émis le signal électronique permettant l’enregistrement rétroactif du statut fiscal.</w:t>
      </w:r>
    </w:p>
    <w:p w14:paraId="0C0AD826" w14:textId="77777777" w:rsidR="0020702A" w:rsidRDefault="0020702A">
      <w:pPr>
        <w:pStyle w:val="Normaalweb"/>
        <w:divId w:val="1419013937"/>
        <w:rPr>
          <w:lang w:val="fr-FR"/>
        </w:rPr>
      </w:pPr>
      <w:r>
        <w:rPr>
          <w:lang w:val="fr-FR"/>
        </w:rPr>
        <w:t>Ce que ce chapitre montre, c’est qu’au sein du même système qui exclut structurellement le travailleur frontalier dans d’autres domaines, il existe bel et bien des voies qui fonctionnent. La voie fiscale en est une. Elle ne dépend ni de l’inscription à la caisse d’assurance maladie, ni du service chargé des personnes handicapées, ni de la coordination européenne. Elle va directement du médecin généraliste à l’administration fiscale.</w:t>
      </w:r>
    </w:p>
    <w:p w14:paraId="1712D677" w14:textId="77777777" w:rsidR="0020702A" w:rsidRDefault="0020702A">
      <w:pPr>
        <w:pStyle w:val="Normaalweb"/>
        <w:divId w:val="1419013937"/>
        <w:rPr>
          <w:lang w:val="fr-FR"/>
        </w:rPr>
      </w:pPr>
      <w:r>
        <w:rPr>
          <w:lang w:val="fr-FR"/>
        </w:rPr>
        <w:t>Et ce qui est tout aussi important : cette voie a été confirmée par l’administration fiscale elle-même et vérifiée par un chercheur indépendant. Le résultat n’est pas le fruit d’une faveur. C’est le résultat d’une application correcte de la loi, par un citoyen qui a trouvé le moyen de contourner les canaux bloqués.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EB2CE5B"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8BA5099"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demandez à votre médecin généraliste de rédiger une attestation rédigée dans le langage fiscal (articles 131 et 135 du Code des impôts sur les revenus). Le service fédéral des personnes handicapées n’est pas nécessaire pour la procédure fiscale. L'affiliation à une mutuelle n'est pas requise. L'attestation est jointe directement à la déclaration d'impôts. </w:t>
            </w:r>
            <w:r>
              <w:rPr>
                <w:rFonts w:eastAsia="Times New Roman"/>
                <w:szCs w:val="22"/>
              </w:rPr>
              <w:br/>
            </w:r>
            <w:r>
              <w:rPr>
                <w:rFonts w:eastAsia="Times New Roman"/>
                <w:szCs w:val="22"/>
              </w:rPr>
              <w:br/>
              <w:t>Un conseiller fiscal (en Belgique, par l'intermédiaire d'un syndicat ou d'un comptable) peut ajouter cette attestation à la déclaration. Le code d’inva</w:t>
            </w:r>
            <w:r>
              <w:rPr>
                <w:rFonts w:eastAsia="Times New Roman"/>
                <w:szCs w:val="22"/>
              </w:rPr>
              <w:t xml:space="preserve">lidité est indiqué dans la déclaration et l’abattement fiscal majoré est automatiquement appliqué. </w:t>
            </w:r>
            <w:r>
              <w:rPr>
                <w:rFonts w:eastAsia="Times New Roman"/>
                <w:szCs w:val="22"/>
              </w:rPr>
              <w:br/>
            </w:r>
            <w:r>
              <w:rPr>
                <w:rFonts w:eastAsia="Times New Roman"/>
                <w:szCs w:val="22"/>
              </w:rPr>
              <w:br/>
            </w:r>
            <w:r>
              <w:rPr>
                <w:rStyle w:val="Nadruk"/>
                <w:rFonts w:eastAsia="Times New Roman"/>
                <w:szCs w:val="22"/>
              </w:rPr>
              <w:t>N’oubliez pas de vérifier également les autres déductions :</w:t>
            </w:r>
            <w:r>
              <w:rPr>
                <w:rFonts w:eastAsia="Times New Roman"/>
                <w:szCs w:val="22"/>
              </w:rPr>
              <w:t xml:space="preserve"> quotient conjugal, frais de garde d’enfants. Celles-ci ne sont pas toujours appliquées automatiquement. </w:t>
            </w:r>
          </w:p>
        </w:tc>
      </w:tr>
    </w:tbl>
    <w:p w14:paraId="1CA34B8F" w14:textId="77777777" w:rsidR="0020702A" w:rsidRDefault="0020702A">
      <w:pPr>
        <w:pStyle w:val="noot"/>
        <w:spacing w:after="120" w:afterAutospacing="0"/>
        <w:divId w:val="1419013937"/>
        <w:rPr>
          <w:lang w:val="fr-FR"/>
        </w:rPr>
      </w:pPr>
      <w:r>
        <w:rPr>
          <w:lang w:val="fr-FR"/>
        </w:rPr>
        <w:t>Les montants sont basés sur la déclaration d’impôts 2026 et peuvent varier selon les dossiers. Les textes légaux concernés sont les articles 87, 131, 135, 140 à 145 et 14535 du Code des impôts sur les revenus de 1992. Toutes les organisations mentionnées dans ce chapitre sont des personnes morales. Les personnes physiques sont désignées par leur fonction ou leur symbole. Ce chapitre ne constitue pas un conseil fiscal.</w:t>
      </w:r>
    </w:p>
    <w:p w14:paraId="349AB983" w14:textId="77777777" w:rsidR="0020702A" w:rsidRDefault="0020702A">
      <w:pPr>
        <w:pStyle w:val="marker"/>
        <w:ind w:left="800" w:right="800"/>
        <w:divId w:val="1419013937"/>
        <w:rPr>
          <w:lang w:val="fr-FR"/>
        </w:rPr>
      </w:pPr>
      <w:r>
        <w:br w:type="page"/>
      </w:r>
    </w:p>
    <w:p w14:paraId="06E9E82E" w14:textId="77777777" w:rsidR="0020702A" w:rsidRDefault="0020702A">
      <w:pPr>
        <w:pStyle w:val="Kop2"/>
        <w:divId w:val="1419013937"/>
        <w:rPr>
          <w:rFonts w:eastAsia="Times New Roman"/>
          <w:lang w:val="fr-FR"/>
        </w:rPr>
      </w:pPr>
      <w:bookmarkStart w:id="45" w:name="_Toc242103285"/>
      <w:r>
        <w:rPr>
          <w:rFonts w:eastAsia="Times New Roman"/>
          <w:lang w:val="fr-FR"/>
        </w:rPr>
        <w:t>La réouverture</w:t>
      </w:r>
      <w:bookmarkEnd w:id="45"/>
    </w:p>
    <w:p w14:paraId="567CD638" w14:textId="77777777" w:rsidR="0020702A" w:rsidRDefault="0020702A">
      <w:pPr>
        <w:pStyle w:val="lead"/>
        <w:divId w:val="1419013937"/>
        <w:rPr>
          <w:lang w:val="fr-FR"/>
        </w:rPr>
      </w:pPr>
      <w:r>
        <w:rPr>
          <w:lang w:val="fr-FR"/>
        </w:rPr>
        <w:t>Toute personne qui reçoit une décision du Service fédéral des personnes handicapées et qui n’est pas d’accord avec celle-ci peut lire dans la lettre qu’elle peut saisir le tribunal du travail. Ce que la lettre ne mentionne pas, c’est qu’il existe quatre autres voies, moins coûteuses et plus rapides, que le citoyen peut emprunter lui-même.</w:t>
      </w:r>
    </w:p>
    <w:p w14:paraId="0E331450" w14:textId="77777777" w:rsidR="0020702A" w:rsidRDefault="0020702A">
      <w:pPr>
        <w:pStyle w:val="Kop3"/>
        <w:divId w:val="1419013937"/>
        <w:rPr>
          <w:rFonts w:eastAsia="Times New Roman"/>
          <w:lang w:val="fr-FR"/>
        </w:rPr>
      </w:pPr>
      <w:bookmarkStart w:id="46" w:name="_Toc242103286"/>
      <w:r>
        <w:rPr>
          <w:rFonts w:eastAsia="Times New Roman"/>
          <w:lang w:val="fr-FR"/>
        </w:rPr>
        <w:t>Ce que dit la lettre</w:t>
      </w:r>
      <w:bookmarkEnd w:id="46"/>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6AD7191"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89EFF1A" w14:textId="77777777" w:rsidR="0020702A" w:rsidRDefault="0020702A">
            <w:pPr>
              <w:pStyle w:val="Normaalweb"/>
              <w:spacing w:before="120"/>
              <w:jc w:val="center"/>
              <w:rPr>
                <w:sz w:val="21"/>
                <w:szCs w:val="21"/>
              </w:rPr>
            </w:pPr>
            <w:r>
              <w:rPr>
                <w:noProof/>
                <w:sz w:val="21"/>
                <w:szCs w:val="21"/>
              </w:rPr>
              <w:drawing>
                <wp:inline distT="0" distB="0" distL="0" distR="0" wp14:anchorId="236713F5" wp14:editId="220D46B6">
                  <wp:extent cx="3810000" cy="8382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inline>
              </w:drawing>
            </w:r>
          </w:p>
        </w:tc>
      </w:tr>
    </w:tbl>
    <w:p w14:paraId="26EAC1D0" w14:textId="77777777" w:rsidR="0020702A" w:rsidRDefault="0020702A">
      <w:pPr>
        <w:pStyle w:val="Kop3"/>
        <w:divId w:val="1419013937"/>
        <w:rPr>
          <w:rFonts w:eastAsia="Times New Roman"/>
          <w:lang w:val="fr-FR"/>
        </w:rPr>
      </w:pPr>
      <w:bookmarkStart w:id="47" w:name="_Toc242103287"/>
      <w:r>
        <w:rPr>
          <w:rFonts w:eastAsia="Times New Roman"/>
          <w:lang w:val="fr-FR"/>
        </w:rPr>
        <w:t>Ce que dit le site web</w:t>
      </w:r>
      <w:bookmarkEnd w:id="47"/>
    </w:p>
    <w:p w14:paraId="1719FEE3" w14:textId="77777777" w:rsidR="0020702A" w:rsidRDefault="0020702A">
      <w:pPr>
        <w:pStyle w:val="Normaalweb"/>
        <w:divId w:val="1419013937"/>
        <w:rPr>
          <w:lang w:val="fr-FR"/>
        </w:rPr>
      </w:pPr>
      <w:r>
        <w:rPr>
          <w:lang w:val="fr-FR"/>
        </w:rPr>
        <w:t xml:space="preserve">Le site web du Service fédéral des personnes handicapées présente quatre voies que le citoyen peut emprunter lui-même — sans avocat, sans passer par le tribunal. Elles sont appelées « </w:t>
      </w:r>
      <w:r>
        <w:rPr>
          <w:rStyle w:val="Zwaar"/>
          <w:lang w:val="fr-FR"/>
        </w:rPr>
        <w:t>réouverture</w:t>
      </w:r>
      <w:r>
        <w:rPr>
          <w:lang w:val="fr-FR"/>
        </w:rPr>
        <w:t xml:space="preserve"> ». Elles peuvent faire l'objet d'une demande écrite via le formulaire de contact ou par courrier.</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4388A92"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B541864" w14:textId="77777777" w:rsidR="0020702A" w:rsidRDefault="0020702A">
            <w:pPr>
              <w:pStyle w:val="Normaalweb"/>
              <w:spacing w:before="120"/>
              <w:jc w:val="center"/>
              <w:rPr>
                <w:sz w:val="21"/>
                <w:szCs w:val="21"/>
              </w:rPr>
            </w:pPr>
            <w:r>
              <w:rPr>
                <w:noProof/>
                <w:sz w:val="21"/>
                <w:szCs w:val="21"/>
              </w:rPr>
              <w:drawing>
                <wp:inline distT="0" distB="0" distL="0" distR="0" wp14:anchorId="63F48B28" wp14:editId="4DC1E223">
                  <wp:extent cx="3810000" cy="17335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10000" cy="1733550"/>
                          </a:xfrm>
                          <a:prstGeom prst="rect">
                            <a:avLst/>
                          </a:prstGeom>
                          <a:noFill/>
                          <a:ln>
                            <a:noFill/>
                          </a:ln>
                        </pic:spPr>
                      </pic:pic>
                    </a:graphicData>
                  </a:graphic>
                </wp:inline>
              </w:drawing>
            </w:r>
          </w:p>
        </w:tc>
      </w:tr>
    </w:tbl>
    <w:p w14:paraId="4828DF80" w14:textId="77777777" w:rsidR="0020702A" w:rsidRDefault="0020702A">
      <w:pPr>
        <w:pStyle w:val="caption"/>
        <w:spacing w:after="120" w:afterAutospacing="0"/>
        <w:divId w:val="1419013937"/>
        <w:rPr>
          <w:lang w:val="fr-FR"/>
        </w:rPr>
      </w:pPr>
      <w:r>
        <w:rPr>
          <w:rStyle w:val="Zwaar"/>
          <w:lang w:val="fr-FR"/>
        </w:rPr>
        <w:t>Figure VII.1 — Les quatre voies de réouverture.</w:t>
      </w:r>
      <w:r>
        <w:rPr>
          <w:lang w:val="fr-FR"/>
        </w:rPr>
        <w:t xml:space="preserve"> Elles figurent sur le site web du Service fédéral des personnes handicapées, et non dans la lettre. Elles peuvent faire l’objet d’une demande écrite, sans avocat, sans passer par le tribunal.</w:t>
      </w:r>
    </w:p>
    <w:p w14:paraId="631310E2" w14:textId="77777777" w:rsidR="0020702A" w:rsidRDefault="0020702A">
      <w:pPr>
        <w:pStyle w:val="Kop3"/>
        <w:divId w:val="1419013937"/>
        <w:rPr>
          <w:rFonts w:eastAsia="Times New Roman"/>
          <w:lang w:val="fr-FR"/>
        </w:rPr>
      </w:pPr>
      <w:bookmarkStart w:id="48" w:name="_Toc242103288"/>
      <w:r>
        <w:rPr>
          <w:rFonts w:eastAsia="Times New Roman"/>
          <w:lang w:val="fr-FR"/>
        </w:rPr>
        <w:t>Ce que cela apporte</w:t>
      </w:r>
      <w:bookmarkEnd w:id="48"/>
    </w:p>
    <w:p w14:paraId="6D7B90B4" w14:textId="77777777" w:rsidR="0020702A" w:rsidRDefault="0020702A">
      <w:pPr>
        <w:pStyle w:val="Normaalweb"/>
        <w:divId w:val="1419013937"/>
        <w:rPr>
          <w:lang w:val="fr-FR"/>
        </w:rPr>
      </w:pPr>
      <w:r>
        <w:rPr>
          <w:lang w:val="fr-FR"/>
        </w:rPr>
        <w:t>Une réouverture n’est pas un recours devant le juge. Il s’agit d’une demande adressée à la même instance afin qu’elle réexamine la décision — en présentant de nouveaux arguments, de nouvelles preuves ou une explication précisant pourquoi la décision antérieure est erronée. Le médecin traitant peut vous aider dans cette démarche : il ou elle peut expliquer par écrit pourquoi la décision du service fédéral des personnes handicapées n’est pas correcte.</w:t>
      </w:r>
    </w:p>
    <w:p w14:paraId="386B4B18" w14:textId="77777777" w:rsidR="0020702A" w:rsidRDefault="0020702A">
      <w:pPr>
        <w:pStyle w:val="Normaalweb"/>
        <w:divId w:val="1419013937"/>
        <w:rPr>
          <w:lang w:val="fr-FR"/>
        </w:rPr>
      </w:pPr>
      <w:r>
        <w:rPr>
          <w:lang w:val="fr-FR"/>
        </w:rPr>
        <w:t>Contrairement à une action en justice, une réouverture ne nécessite ni avocat ni frais de greffe. Il suffit d’une lettre ou d’un formulaire en ligne. Et la décision est à nouveau rendue par la même instance, mais cette fois-ci en tenant compte des arguments du médecin traitant.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551B2E7"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72C9B62" w14:textId="77777777" w:rsidR="0020702A" w:rsidRDefault="0020702A">
            <w:pPr>
              <w:spacing w:before="240" w:after="240"/>
              <w:rPr>
                <w:rFonts w:eastAsia="Times New Roman"/>
                <w:szCs w:val="22"/>
              </w:rPr>
            </w:pPr>
            <w:r>
              <w:rPr>
                <w:rStyle w:val="Zwaar"/>
                <w:rFonts w:eastAsia="Times New Roman"/>
                <w:szCs w:val="22"/>
              </w:rPr>
              <w:t>Si vous vous trouvez dans la même situation :</w:t>
            </w:r>
            <w:r>
              <w:rPr>
                <w:rFonts w:eastAsia="Times New Roman"/>
                <w:szCs w:val="22"/>
              </w:rPr>
              <w:t xml:space="preserve"> avez-vous reçu une décision du service fédéral des personnes handicapées avec laquelle vous n’êtes pas d’accord ? Consultez le site web </w:t>
            </w:r>
            <w:r>
              <w:rPr>
                <w:rStyle w:val="Nadruk"/>
                <w:rFonts w:eastAsia="Times New Roman"/>
                <w:szCs w:val="22"/>
              </w:rPr>
              <w:t>handicap.belgium.be</w:t>
            </w:r>
            <w:r>
              <w:rPr>
                <w:rFonts w:eastAsia="Times New Roman"/>
                <w:szCs w:val="22"/>
              </w:rPr>
              <w:t xml:space="preserve"> sous la rubrique « Demander une réouverture ». Quatre situations sont décrites. Choisissez celle qui vous correspond, introduisez votre demande par écrit dans un délai de trois mois et demandez à votre médecin traitant de rédiger une lettre d’accompagnement. Il ne s’agit pas d’une procédure judiciaire, mais d’une demande de réexamen.</w:t>
            </w:r>
            <w:r>
              <w:rPr>
                <w:rFonts w:eastAsia="Times New Roman"/>
                <w:szCs w:val="22"/>
              </w:rPr>
              <w:br/>
            </w:r>
            <w:r>
              <w:rPr>
                <w:rFonts w:eastAsia="Times New Roman"/>
                <w:szCs w:val="22"/>
              </w:rPr>
              <w:br/>
              <w:t>Attention : le dél</w:t>
            </w:r>
            <w:r>
              <w:rPr>
                <w:rFonts w:eastAsia="Times New Roman"/>
                <w:szCs w:val="22"/>
              </w:rPr>
              <w:t xml:space="preserve">ai légal pour saisir le tribunal du travail reste de trois mois. En cas de doute, demandez un avis juridique avant que ce délai n'expire. </w:t>
            </w:r>
          </w:p>
        </w:tc>
      </w:tr>
    </w:tbl>
    <w:p w14:paraId="3A491984" w14:textId="77777777" w:rsidR="0020702A" w:rsidRDefault="0020702A">
      <w:pPr>
        <w:pStyle w:val="noot"/>
        <w:spacing w:after="120" w:afterAutospacing="0"/>
        <w:divId w:val="1419013937"/>
        <w:rPr>
          <w:lang w:val="fr-FR"/>
        </w:rPr>
      </w:pPr>
      <w:r>
        <w:rPr>
          <w:lang w:val="fr-FR"/>
        </w:rPr>
        <w:t>Les informations contenues dans ce chapitre sont basées sur la page officielle « Demander une réouverture » du SPF Sécurité sociale (DG Personnes handicapées), mise à jour pour la dernière fois le 15 septembre 2025. La base légale et la procédure sont disponibles sur handicap.belgium.be. Ce chapitre ne constitue pas un avis juridique ; en cas de doute, consultez un service spécialisé ou un avocat.</w:t>
      </w:r>
    </w:p>
    <w:p w14:paraId="55E62D06" w14:textId="77777777" w:rsidR="0020702A" w:rsidRDefault="0020702A">
      <w:pPr>
        <w:pStyle w:val="marker"/>
        <w:ind w:left="800" w:right="800"/>
        <w:divId w:val="1419013937"/>
        <w:rPr>
          <w:lang w:val="fr-FR"/>
        </w:rPr>
      </w:pPr>
      <w:r>
        <w:br w:type="page"/>
      </w:r>
    </w:p>
    <w:p w14:paraId="2EA8C839" w14:textId="77777777" w:rsidR="0020702A" w:rsidRDefault="0020702A">
      <w:pPr>
        <w:pStyle w:val="Kop2"/>
        <w:divId w:val="1419013937"/>
        <w:rPr>
          <w:rFonts w:eastAsia="Times New Roman"/>
          <w:lang w:val="fr-FR"/>
        </w:rPr>
      </w:pPr>
      <w:bookmarkStart w:id="49" w:name="_Toc242103289"/>
      <w:r>
        <w:rPr>
          <w:rFonts w:eastAsia="Times New Roman"/>
          <w:lang w:val="fr-FR"/>
        </w:rPr>
        <w:t>Le MC et les flux financiers</w:t>
      </w:r>
      <w:bookmarkEnd w:id="49"/>
    </w:p>
    <w:p w14:paraId="1C15FE16" w14:textId="77777777" w:rsidR="0020702A" w:rsidRDefault="0020702A">
      <w:pPr>
        <w:pStyle w:val="lead"/>
        <w:divId w:val="1419013937"/>
        <w:rPr>
          <w:lang w:val="fr-FR"/>
        </w:rPr>
      </w:pPr>
      <w:r>
        <w:rPr>
          <w:lang w:val="fr-FR"/>
        </w:rPr>
        <w:t xml:space="preserve">La mutuelle n’est pas une banque disposant d’un seul compte. Il s’agit d’un organisme comportant trois flux financiers distincts : l’assurance maladie obligatoire, l’ensemble des services et avantages MC, et les assurances facultatives. Le premier flux provient des pouvoirs publics via l’ONSS. Le deuxième, des cotisations des affiliés. Le troisième provient de primes distinctes. Et chacun de ces flux alimente un guichet différent. Ce chapitre explique d’où vient l’argent, pourquoi une branche fonctionne et </w:t>
      </w:r>
      <w:r>
        <w:rPr>
          <w:lang w:val="fr-FR"/>
        </w:rPr>
        <w:t>une autre non, et qui peut finalement intervenir lorsque la MC refuse une demande.</w:t>
      </w:r>
    </w:p>
    <w:p w14:paraId="12C1617F" w14:textId="77777777" w:rsidR="0020702A" w:rsidRDefault="0020702A">
      <w:pPr>
        <w:pStyle w:val="Kop3"/>
        <w:divId w:val="1419013937"/>
        <w:rPr>
          <w:rFonts w:eastAsia="Times New Roman"/>
          <w:lang w:val="fr-FR"/>
        </w:rPr>
      </w:pPr>
      <w:bookmarkStart w:id="50" w:name="_Toc242103290"/>
      <w:r>
        <w:rPr>
          <w:rFonts w:eastAsia="Times New Roman"/>
          <w:lang w:val="fr-FR"/>
        </w:rPr>
        <w:t>Partie A — Les trois flux financiers</w:t>
      </w:r>
      <w:bookmarkEnd w:id="5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59E82C7"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FC5EDE6" w14:textId="77777777" w:rsidR="0020702A" w:rsidRDefault="0020702A">
            <w:pPr>
              <w:pStyle w:val="Normaalweb"/>
              <w:spacing w:before="120"/>
              <w:jc w:val="center"/>
              <w:rPr>
                <w:sz w:val="21"/>
                <w:szCs w:val="21"/>
              </w:rPr>
            </w:pPr>
            <w:r>
              <w:rPr>
                <w:noProof/>
                <w:sz w:val="21"/>
                <w:szCs w:val="21"/>
              </w:rPr>
              <w:drawing>
                <wp:inline distT="0" distB="0" distL="0" distR="0" wp14:anchorId="78923E72" wp14:editId="2A244D9A">
                  <wp:extent cx="3810000" cy="1784350"/>
                  <wp:effectExtent l="0" t="0" r="0" b="635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07446334" w14:textId="77777777" w:rsidR="0020702A" w:rsidRDefault="0020702A">
            <w:pPr>
              <w:pStyle w:val="caption"/>
              <w:spacing w:after="120" w:afterAutospacing="0"/>
            </w:pPr>
            <w:r>
              <w:rPr>
                <w:rStyle w:val="Zwaar"/>
              </w:rPr>
              <w:t>Figure XIV.1 — Les trois flux financiers.</w:t>
            </w:r>
            <w:r>
              <w:t xml:space="preserve"> L’assurance maladie obligatoire est financée par les cotisations ONSS et les impôts, gérée par l’INAMI et mise en œuvre par les mutuelles. Les services et prestations MC sont financés par les cotisations des membres. Les assurances facultatives sont financées par des primes distinctes. Chacun des trois flux alimente un guichet différent.</w:t>
            </w:r>
          </w:p>
        </w:tc>
      </w:tr>
    </w:tbl>
    <w:p w14:paraId="0D0BF1AD" w14:textId="77777777" w:rsidR="0020702A" w:rsidRDefault="0020702A">
      <w:pPr>
        <w:pStyle w:val="Kop3"/>
        <w:divId w:val="1419013937"/>
        <w:rPr>
          <w:rFonts w:eastAsia="Times New Roman"/>
          <w:lang w:val="fr-FR"/>
        </w:rPr>
      </w:pPr>
      <w:bookmarkStart w:id="51" w:name="_Toc242103291"/>
      <w:r>
        <w:rPr>
          <w:rFonts w:eastAsia="Times New Roman"/>
          <w:lang w:val="fr-FR"/>
        </w:rPr>
        <w:t>Partie B — La cotisation ONSS et son affectation</w:t>
      </w:r>
      <w:bookmarkEnd w:id="51"/>
    </w:p>
    <w:p w14:paraId="1E43241C" w14:textId="77777777" w:rsidR="0020702A" w:rsidRDefault="0020702A">
      <w:pPr>
        <w:pStyle w:val="Normaalweb"/>
        <w:divId w:val="1419013937"/>
        <w:rPr>
          <w:lang w:val="fr-FR"/>
        </w:rPr>
      </w:pPr>
      <w:r>
        <w:rPr>
          <w:lang w:val="fr-FR"/>
        </w:rPr>
        <w:t>L’assurance maladie obligatoire n’est pas payée directement par la MC. L’employeur retient une partie du salaire et la verse à l’Office national de sécurité sociale (ONSS). L'ONSS répartit ces fonds entre les différentes branches de la sécurité sociale. Pour l’assurance maladie, il existe deux branches distinctes :</w:t>
      </w:r>
    </w:p>
    <w:p w14:paraId="10CD0ABC" w14:textId="77777777" w:rsidR="0020702A" w:rsidRDefault="0020702A">
      <w:pPr>
        <w:numPr>
          <w:ilvl w:val="0"/>
          <w:numId w:val="10"/>
        </w:numPr>
        <w:spacing w:before="100" w:beforeAutospacing="1" w:after="100" w:afterAutospacing="1"/>
        <w:divId w:val="1419013937"/>
        <w:rPr>
          <w:rFonts w:eastAsia="Times New Roman"/>
          <w:lang w:val="fr-FR"/>
        </w:rPr>
      </w:pPr>
      <w:r>
        <w:rPr>
          <w:rStyle w:val="Zwaar"/>
          <w:rFonts w:eastAsia="Times New Roman"/>
          <w:lang w:val="fr-FR"/>
        </w:rPr>
        <w:t>Soins médicaux</w:t>
      </w:r>
      <w:r>
        <w:rPr>
          <w:rFonts w:eastAsia="Times New Roman"/>
          <w:lang w:val="fr-FR"/>
        </w:rPr>
        <w:t xml:space="preserve"> </w:t>
      </w:r>
      <w:r>
        <w:rPr>
          <w:rFonts w:eastAsia="Times New Roman"/>
          <w:lang w:val="fr-FR"/>
        </w:rPr>
        <w:t>— le remboursement des prestations médicales, des médicaments, des aides techniques et des conventions. Taux de cotisation du salarié : environ 3,55 % du salaire brut.</w:t>
      </w:r>
    </w:p>
    <w:p w14:paraId="2521897E" w14:textId="77777777" w:rsidR="0020702A" w:rsidRDefault="0020702A">
      <w:pPr>
        <w:numPr>
          <w:ilvl w:val="0"/>
          <w:numId w:val="10"/>
        </w:numPr>
        <w:spacing w:before="100" w:beforeAutospacing="1" w:after="100" w:afterAutospacing="1"/>
        <w:divId w:val="1419013937"/>
        <w:rPr>
          <w:rFonts w:eastAsia="Times New Roman"/>
          <w:lang w:val="fr-FR"/>
        </w:rPr>
      </w:pPr>
      <w:r>
        <w:rPr>
          <w:rStyle w:val="Zwaar"/>
          <w:rFonts w:eastAsia="Times New Roman"/>
          <w:lang w:val="fr-FR"/>
        </w:rPr>
        <w:t>Prestations</w:t>
      </w:r>
      <w:r>
        <w:rPr>
          <w:rFonts w:eastAsia="Times New Roman"/>
          <w:lang w:val="fr-FR"/>
        </w:rPr>
        <w:t xml:space="preserve"> — les indemnités de maladie et d’invalidité en cas d’incapacité de travail. Taux de cotisation du salarié : environ 1,15 % du salaire brut.</w:t>
      </w:r>
    </w:p>
    <w:p w14:paraId="12A46D49" w14:textId="77777777" w:rsidR="0020702A" w:rsidRDefault="0020702A">
      <w:pPr>
        <w:pStyle w:val="Normaalweb"/>
        <w:divId w:val="1419013937"/>
        <w:rPr>
          <w:lang w:val="fr-FR"/>
        </w:rPr>
      </w:pPr>
      <w:r>
        <w:rPr>
          <w:lang w:val="fr-FR"/>
        </w:rPr>
        <w:t>L’INAMI reçoit le budget total et le répartit entre les mutuelles. Chaque mutuelle se voit attribuer un budget en fonction du nombre de ses affiliés et de leur profil. La mutuelle finance les prestations versées à ses affiliés à partir de ce budget. Elle perçoit une indemnité distincte pour couvrir ses frais administratifs.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25C925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9013A13" w14:textId="77777777" w:rsidR="0020702A" w:rsidRDefault="0020702A">
            <w:pPr>
              <w:pStyle w:val="Normaalweb"/>
              <w:spacing w:before="120"/>
              <w:jc w:val="center"/>
              <w:rPr>
                <w:sz w:val="21"/>
                <w:szCs w:val="21"/>
              </w:rPr>
            </w:pPr>
            <w:r>
              <w:rPr>
                <w:noProof/>
                <w:sz w:val="21"/>
                <w:szCs w:val="21"/>
              </w:rPr>
              <w:drawing>
                <wp:inline distT="0" distB="0" distL="0" distR="0" wp14:anchorId="51332949" wp14:editId="1C775C80">
                  <wp:extent cx="3810000" cy="131445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0000" cy="1314450"/>
                          </a:xfrm>
                          <a:prstGeom prst="rect">
                            <a:avLst/>
                          </a:prstGeom>
                          <a:noFill/>
                          <a:ln>
                            <a:noFill/>
                          </a:ln>
                        </pic:spPr>
                      </pic:pic>
                    </a:graphicData>
                  </a:graphic>
                </wp:inline>
              </w:drawing>
            </w:r>
          </w:p>
          <w:p w14:paraId="4F1DB95A" w14:textId="77777777" w:rsidR="0020702A" w:rsidRDefault="0020702A">
            <w:pPr>
              <w:pStyle w:val="caption"/>
              <w:spacing w:after="120" w:afterAutospacing="0"/>
            </w:pPr>
            <w:r>
              <w:rPr>
                <w:rStyle w:val="Zwaar"/>
              </w:rPr>
              <w:t>Figure XIV.2 — Le parcours du salaire vers les soins.</w:t>
            </w:r>
            <w:r>
              <w:t xml:space="preserve"> L’employeur retient la cotisation ONSS sur le salaire. La SSC verse ces cotisations à l’INAMI. L’INAMI les répartit entre les mutuelles. La mutuelle effectue des paiements au titre des deux branches : les soins de santé et les indemnités.</w:t>
            </w:r>
          </w:p>
        </w:tc>
      </w:tr>
    </w:tbl>
    <w:p w14:paraId="74676CAB" w14:textId="77777777" w:rsidR="0020702A" w:rsidRDefault="0020702A">
      <w:pPr>
        <w:pStyle w:val="Kop3"/>
        <w:divId w:val="1419013937"/>
        <w:rPr>
          <w:rFonts w:eastAsia="Times New Roman"/>
          <w:lang w:val="fr-FR"/>
        </w:rPr>
      </w:pPr>
      <w:bookmarkStart w:id="52" w:name="_Toc242103292"/>
      <w:r>
        <w:rPr>
          <w:rFonts w:eastAsia="Times New Roman"/>
          <w:lang w:val="fr-FR"/>
        </w:rPr>
        <w:t>Partie C — Pourquoi les moyens auxiliaires oui et les prestations non</w:t>
      </w:r>
      <w:bookmarkEnd w:id="5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2D2E71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EC0E47E" w14:textId="77777777" w:rsidR="0020702A" w:rsidRDefault="0020702A">
            <w:pPr>
              <w:pStyle w:val="Normaalweb"/>
              <w:spacing w:before="120"/>
              <w:jc w:val="center"/>
              <w:rPr>
                <w:sz w:val="21"/>
                <w:szCs w:val="21"/>
              </w:rPr>
            </w:pPr>
            <w:r>
              <w:rPr>
                <w:noProof/>
                <w:sz w:val="21"/>
                <w:szCs w:val="21"/>
              </w:rPr>
              <w:drawing>
                <wp:inline distT="0" distB="0" distL="0" distR="0" wp14:anchorId="183F4D31" wp14:editId="646BF3DD">
                  <wp:extent cx="3810000" cy="1974850"/>
                  <wp:effectExtent l="0" t="0" r="0" b="635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090A7FBB" w14:textId="77777777" w:rsidR="0020702A" w:rsidRDefault="0020702A">
            <w:pPr>
              <w:pStyle w:val="caption"/>
              <w:spacing w:after="120" w:afterAutospacing="0"/>
            </w:pPr>
            <w:r>
              <w:rPr>
                <w:rStyle w:val="Zwaar"/>
              </w:rPr>
              <w:t>Figure XIV.3 — Deux branches, deux logiques.</w:t>
            </w:r>
            <w:r>
              <w:t xml:space="preserve"> </w:t>
            </w:r>
            <w:r>
              <w:t>La branche « soins de santé » fonctionne sur la base de prestations objectives et mesurables. La branche « prestations » fonctionne sur la base d’évaluations subjectives et de conditions nationales. Même institution, même cotisation ONSS, mais une logique fondamentalement différente — et donc un résultat fondamentalement différent.</w:t>
            </w:r>
          </w:p>
        </w:tc>
      </w:tr>
    </w:tbl>
    <w:p w14:paraId="1FF98753" w14:textId="77777777" w:rsidR="0020702A" w:rsidRDefault="0020702A">
      <w:pPr>
        <w:pStyle w:val="Kop3"/>
        <w:divId w:val="1419013937"/>
        <w:rPr>
          <w:rFonts w:eastAsia="Times New Roman"/>
          <w:lang w:val="fr-FR"/>
        </w:rPr>
      </w:pPr>
      <w:bookmarkStart w:id="53" w:name="_Toc242103293"/>
      <w:r>
        <w:rPr>
          <w:rFonts w:eastAsia="Times New Roman"/>
          <w:lang w:val="fr-FR"/>
        </w:rPr>
        <w:t>Partie D — Le OCM en tant qu’autorité de contrôle</w:t>
      </w:r>
      <w:bookmarkEnd w:id="53"/>
    </w:p>
    <w:p w14:paraId="42C946C1" w14:textId="77777777" w:rsidR="0020702A" w:rsidRDefault="0020702A">
      <w:pPr>
        <w:pStyle w:val="Normaalweb"/>
        <w:divId w:val="1419013937"/>
        <w:rPr>
          <w:lang w:val="fr-FR"/>
        </w:rPr>
      </w:pPr>
      <w:r>
        <w:rPr>
          <w:lang w:val="fr-FR"/>
        </w:rPr>
        <w:t>L’ensemble de la MC — tant l’assurance obligatoire que les services complémentaires et les assurances facultatives — est soumis à la surveillance du Office de Contrôle des Mutualités (OCM). Le OCM contrôle la comptabilité, les règles financières et la bonne application des dispositions légales. Il peut formuler des avis à l’intention du ministre et approuver des modifications statutaires.</w:t>
      </w:r>
    </w:p>
    <w:p w14:paraId="3EAC3E85" w14:textId="77777777" w:rsidR="0020702A" w:rsidRDefault="0020702A">
      <w:pPr>
        <w:pStyle w:val="Normaalweb"/>
        <w:divId w:val="1419013937"/>
        <w:rPr>
          <w:lang w:val="fr-FR"/>
        </w:rPr>
      </w:pPr>
      <w:r>
        <w:rPr>
          <w:lang w:val="fr-FR"/>
        </w:rPr>
        <w:t>Ce que le OCM ne fait pas : trancher des litiges individuels. Le OCM est une autorité de contrôle administrative, et non un organe de règlement des litiges. Il peut examiner le fonctionnement structurel de la mutuelle, mais ne peut pas réviser une décision prise dans un dossier individuel. Il ne s’agit pas d’une instance d’appel.</w:t>
      </w:r>
    </w:p>
    <w:p w14:paraId="70E73713" w14:textId="77777777" w:rsidR="0020702A" w:rsidRDefault="0020702A">
      <w:pPr>
        <w:pStyle w:val="Kop3"/>
        <w:divId w:val="1419013937"/>
        <w:rPr>
          <w:rFonts w:eastAsia="Times New Roman"/>
          <w:lang w:val="fr-FR"/>
        </w:rPr>
      </w:pPr>
      <w:bookmarkStart w:id="54" w:name="_Toc242103294"/>
      <w:r>
        <w:rPr>
          <w:rFonts w:eastAsia="Times New Roman"/>
          <w:lang w:val="fr-FR"/>
        </w:rPr>
        <w:t>Partie E — L’Auditorat du travail : qui contrôle le contrôleur ?</w:t>
      </w:r>
      <w:bookmarkEnd w:id="54"/>
    </w:p>
    <w:p w14:paraId="7138CE08" w14:textId="77777777" w:rsidR="0020702A" w:rsidRDefault="0020702A">
      <w:pPr>
        <w:pStyle w:val="Normaalweb"/>
        <w:divId w:val="1419013937"/>
        <w:rPr>
          <w:lang w:val="fr-FR"/>
        </w:rPr>
      </w:pPr>
      <w:r>
        <w:rPr>
          <w:lang w:val="fr-FR"/>
        </w:rPr>
        <w:t>Lorsqu’un organisme d’exécution enfreint systématiquement la loi, il existe en Belgique une instance judiciaire qui peut, en théorie, intervenir : l’Auditorat du travail, le ministère public auprès des tribunaux du travail. Il est compétent pour faire respecter la législation en matière de sécurité sociale et peut intervenir lorsqu’un organisme ne respecte pas la loi.</w:t>
      </w:r>
    </w:p>
    <w:p w14:paraId="2B450C1B" w14:textId="77777777" w:rsidR="0020702A" w:rsidRDefault="0020702A">
      <w:pPr>
        <w:pStyle w:val="Normaalweb"/>
        <w:divId w:val="1419013937"/>
        <w:rPr>
          <w:lang w:val="fr-FR"/>
        </w:rPr>
      </w:pPr>
      <w:r>
        <w:rPr>
          <w:lang w:val="fr-FR"/>
        </w:rPr>
        <w:t>Dans cette affaire, une plainte officielle a été déposée le 10 septembre 2026 auprès de l’Auditorat du travail de Gand. La plainte portait sur des vices de procédure structurels au sein de la MC, une violation du règlement européen de coordination et le non-respect des instructions de l’INAMI. La chronologie complète et le certificat médico-fiscal ont été joints à titre de pièces justificatives.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1EB3B2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2EE43C0" w14:textId="77777777" w:rsidR="0020702A" w:rsidRDefault="0020702A">
            <w:pPr>
              <w:pStyle w:val="Normaalweb"/>
              <w:spacing w:before="120"/>
              <w:jc w:val="center"/>
              <w:rPr>
                <w:sz w:val="21"/>
                <w:szCs w:val="21"/>
              </w:rPr>
            </w:pPr>
            <w:r>
              <w:rPr>
                <w:noProof/>
                <w:sz w:val="21"/>
                <w:szCs w:val="21"/>
              </w:rPr>
              <w:drawing>
                <wp:inline distT="0" distB="0" distL="0" distR="0" wp14:anchorId="24E9B9D1" wp14:editId="73D5996E">
                  <wp:extent cx="3810000" cy="118110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59A9CB5B" w14:textId="77777777" w:rsidR="0020702A" w:rsidRDefault="0020702A">
            <w:pPr>
              <w:pStyle w:val="caption"/>
              <w:spacing w:after="120" w:afterAutospacing="0"/>
            </w:pPr>
            <w:r>
              <w:rPr>
                <w:rStyle w:val="Zwaar"/>
              </w:rPr>
              <w:t>Figure XIV.4 — L'Auditorat du travail.</w:t>
            </w:r>
            <w:r>
              <w:t xml:space="preserve"> La plainte parvient à l'Auditorat du travail le 10 septembre 2026. La réponse arrive un jour plus tard : l'instance se déclare incompétente et qualifie le blocage structurel de litige civil. Le citoyen est renvoyé devant le tribunal du travail, la voie la plus longue.</w:t>
            </w:r>
          </w:p>
        </w:tc>
      </w:tr>
    </w:tbl>
    <w:p w14:paraId="1848F986" w14:textId="77777777" w:rsidR="0020702A" w:rsidRDefault="0020702A">
      <w:pPr>
        <w:pStyle w:val="Normaalweb"/>
        <w:divId w:val="1419013937"/>
        <w:rPr>
          <w:lang w:val="fr-FR"/>
        </w:rPr>
      </w:pPr>
      <w:r>
        <w:rPr>
          <w:lang w:val="fr-FR"/>
        </w:rPr>
        <w:t>Ce que fait ainsi l’Auditorat du travail revient à faire exactement la même chose que ce que fait le OCM : se décharger de la question de la responsabilité. L'instance qui devrait intervenir en cas de violation de la législation sociale qualifie le litige d'affaire privée. Et le citoyen se retrouve avec une instance de moins à laquelle s'adresser.</w:t>
      </w:r>
    </w:p>
    <w:p w14:paraId="42993F8E" w14:textId="77777777" w:rsidR="0020702A" w:rsidRDefault="0020702A">
      <w:pPr>
        <w:pStyle w:val="Kop3"/>
        <w:divId w:val="1419013937"/>
        <w:rPr>
          <w:rFonts w:eastAsia="Times New Roman"/>
          <w:lang w:val="fr-FR"/>
        </w:rPr>
      </w:pPr>
      <w:bookmarkStart w:id="55" w:name="_Toc242103295"/>
      <w:r>
        <w:rPr>
          <w:rFonts w:eastAsia="Times New Roman"/>
          <w:lang w:val="fr-FR"/>
        </w:rPr>
        <w:t>Partie F — L’Ordre des médecins : le droit disciplinaire à l’encontre du médecin-conseil</w:t>
      </w:r>
      <w:bookmarkEnd w:id="55"/>
    </w:p>
    <w:p w14:paraId="0C27F511" w14:textId="77777777" w:rsidR="0020702A" w:rsidRDefault="0020702A">
      <w:pPr>
        <w:pStyle w:val="Normaalweb"/>
        <w:divId w:val="1419013937"/>
        <w:rPr>
          <w:lang w:val="fr-FR"/>
        </w:rPr>
      </w:pPr>
      <w:r>
        <w:rPr>
          <w:lang w:val="fr-FR"/>
        </w:rPr>
        <w:t>L’Ordre des médecins est l’instance légale chargée de veiller au respect de la déontologie médicale et d’exercer le droit disciplinaire à l’égard des médecins à titre individuel. Elle peut enquêter sur des plaintes, infliger des sanctions disciplinaires — allant de l’avertissement à la radiation du registre des médecins — mais n’a aucune compétence sur les décisions administratives des établissements ni sur les processus algorithmiques au sein d’une caisse d’assurance maladie.</w:t>
      </w:r>
    </w:p>
    <w:p w14:paraId="73F155C7" w14:textId="77777777" w:rsidR="0020702A" w:rsidRDefault="0020702A">
      <w:pPr>
        <w:pStyle w:val="Normaalweb"/>
        <w:divId w:val="1419013937"/>
        <w:rPr>
          <w:lang w:val="fr-FR"/>
        </w:rPr>
      </w:pPr>
      <w:r>
        <w:rPr>
          <w:lang w:val="fr-FR"/>
        </w:rPr>
        <w:t>Dans cette affaire, une plainte a été déposée le 19 septembre 2026 auprès du Conseil provincial d’Anvers contre la manière d’agir du médecin-conseil de la MC. La plainte porte sur la production de décisions contradictoires sous une signature visuellement identique, sans accès traçable au dossier médical à jour. La question est de savoir si cette pratique est compatible, sur le plan déontologique, avec l’exercice indépendant de la médecine.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41B500B"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C74B3E0" w14:textId="77777777" w:rsidR="0020702A" w:rsidRDefault="0020702A">
            <w:pPr>
              <w:pStyle w:val="Normaalweb"/>
              <w:spacing w:before="120"/>
              <w:jc w:val="center"/>
              <w:rPr>
                <w:sz w:val="21"/>
                <w:szCs w:val="21"/>
              </w:rPr>
            </w:pPr>
            <w:r>
              <w:rPr>
                <w:noProof/>
                <w:sz w:val="21"/>
                <w:szCs w:val="21"/>
              </w:rPr>
              <w:drawing>
                <wp:inline distT="0" distB="0" distL="0" distR="0" wp14:anchorId="18A0B186" wp14:editId="35EA2D38">
                  <wp:extent cx="3810000" cy="1454150"/>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74254029" w14:textId="77777777" w:rsidR="0020702A" w:rsidRDefault="0020702A">
            <w:pPr>
              <w:pStyle w:val="caption"/>
              <w:spacing w:after="120" w:afterAutospacing="0"/>
            </w:pPr>
            <w:r>
              <w:rPr>
                <w:rStyle w:val="Zwaar"/>
              </w:rPr>
              <w:t>Figure XIV.5 — L’Ordre des médecins.</w:t>
            </w:r>
            <w:r>
              <w:t xml:space="preserve"> </w:t>
            </w:r>
            <w:r>
              <w:t>La procédure disciplinaire peut viser le médecin à titre individuel, mais pas l’architecture qui génère la décision. Même une plainte fondée ne change rien à l’issue pour le patient, car la caisse d’assurance maladie remplace le médecin et l’algorithme reste inchangé.</w:t>
            </w:r>
          </w:p>
        </w:tc>
      </w:tr>
    </w:tbl>
    <w:p w14:paraId="36DA863F" w14:textId="77777777" w:rsidR="0020702A" w:rsidRDefault="0020702A">
      <w:pPr>
        <w:pStyle w:val="Kop3"/>
        <w:divId w:val="1419013937"/>
        <w:rPr>
          <w:rFonts w:eastAsia="Times New Roman"/>
          <w:lang w:val="fr-FR"/>
        </w:rPr>
      </w:pPr>
      <w:bookmarkStart w:id="56" w:name="_Toc242103296"/>
      <w:r>
        <w:rPr>
          <w:rFonts w:eastAsia="Times New Roman"/>
          <w:lang w:val="fr-FR"/>
        </w:rPr>
        <w:t>Partie G — Ce que ce chapitre établit</w:t>
      </w:r>
      <w:bookmarkEnd w:id="56"/>
    </w:p>
    <w:p w14:paraId="785CE6F7" w14:textId="77777777" w:rsidR="0020702A" w:rsidRDefault="0020702A">
      <w:pPr>
        <w:pStyle w:val="Normaalweb"/>
        <w:divId w:val="1419013937"/>
        <w:rPr>
          <w:lang w:val="fr-FR"/>
        </w:rPr>
      </w:pPr>
      <w:r>
        <w:rPr>
          <w:lang w:val="fr-FR"/>
        </w:rPr>
        <w:t>La question de savoir pourquoi les dispositifs médicaux sont remboursés alors que les prestations ne le sont pas trouve une réponse structurelle. La MC exerce deux missions juridiquement distinctes au sein de l’assurance maladie obligatoire. L’une repose sur des prestations mesurables et des tarifs fixes. L’autre repose sur des évaluations subjectives et des conditions nationales.</w:t>
      </w:r>
    </w:p>
    <w:p w14:paraId="1F1587E5" w14:textId="77777777" w:rsidR="0020702A" w:rsidRDefault="0020702A">
      <w:pPr>
        <w:pStyle w:val="Normaalweb"/>
        <w:divId w:val="1419013937"/>
        <w:rPr>
          <w:lang w:val="fr-FR"/>
        </w:rPr>
      </w:pPr>
      <w:r>
        <w:rPr>
          <w:lang w:val="fr-FR"/>
        </w:rPr>
        <w:t>Il existe donc deux régimes distincts au sein d’une même institution. En matière de soins médicaux, la MC n’a pas à évaluer une personne : elle paie une facture. En revanche, pour les prestations, elle doit évaluer si une personne est en incapacité de travail, et cette évaluation est soumise à des conditions imposées par la loi. Pour un travailleur frontalier, ces conditions posent problème, car elles reposent sur des périodes de référence nationales et des conditions de séjour.</w:t>
      </w:r>
    </w:p>
    <w:p w14:paraId="180B20E7" w14:textId="77777777" w:rsidR="0020702A" w:rsidRDefault="0020702A">
      <w:pPr>
        <w:pStyle w:val="Normaalweb"/>
        <w:divId w:val="1419013937"/>
        <w:rPr>
          <w:lang w:val="fr-FR"/>
        </w:rPr>
      </w:pPr>
      <w:r>
        <w:rPr>
          <w:lang w:val="fr-FR"/>
        </w:rPr>
        <w:t>Et lorsque la MC refuse, les deux instances de contrôle — l’OCM et l’Auditorat du travail — se déclarent incompétentes pour traiter les dossiers individuels. L’Ordre des médecins ne peut sanctionner que le médecin concerné, et non le système qui guide la décision. Cette conclusion ne constitue pas une accusation de mauvaise foi. Il s’agit simplement de constater que le système n’attribue nulle part la responsabilité de l’ensemble. Chaque instance s'occupe de sa partie. Et aucune instance n'assume la respons</w:t>
      </w:r>
      <w:r>
        <w:rPr>
          <w:lang w:val="fr-FR"/>
        </w:rPr>
        <w:t>abilité de l'ensemble.</w:t>
      </w:r>
    </w:p>
    <w:p w14:paraId="7DFA070B"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Les informations relatives au financement sont bas</w:t>
      </w:r>
      <w:r>
        <w:rPr>
          <w:rFonts w:cs="Aptos"/>
          <w:lang w:val="fr-FR"/>
        </w:rPr>
        <w:t>é</w:t>
      </w:r>
      <w:r>
        <w:rPr>
          <w:lang w:val="fr-FR"/>
        </w:rPr>
        <w:t>es sur les communications officielles de la MC, de l</w:t>
      </w:r>
      <w:r>
        <w:rPr>
          <w:rFonts w:cs="Aptos"/>
          <w:lang w:val="fr-FR"/>
        </w:rPr>
        <w:t>’</w:t>
      </w:r>
      <w:r>
        <w:rPr>
          <w:lang w:val="fr-FR"/>
        </w:rPr>
        <w:t>INAMI et de l</w:t>
      </w:r>
      <w:r>
        <w:rPr>
          <w:rFonts w:cs="Aptos"/>
          <w:lang w:val="fr-FR"/>
        </w:rPr>
        <w:t>’</w:t>
      </w:r>
      <w:r>
        <w:rPr>
          <w:lang w:val="fr-FR"/>
        </w:rPr>
        <w:t>OCM. Les informations proc</w:t>
      </w:r>
      <w:r>
        <w:rPr>
          <w:rFonts w:cs="Aptos"/>
          <w:lang w:val="fr-FR"/>
        </w:rPr>
        <w:t>é</w:t>
      </w:r>
      <w:r>
        <w:rPr>
          <w:lang w:val="fr-FR"/>
        </w:rPr>
        <w:t>durales concernant l</w:t>
      </w:r>
      <w:r>
        <w:rPr>
          <w:rFonts w:cs="Aptos"/>
          <w:lang w:val="fr-FR"/>
        </w:rPr>
        <w:t>’</w:t>
      </w:r>
      <w:r>
        <w:rPr>
          <w:lang w:val="fr-FR"/>
        </w:rPr>
        <w:t>Auditorat du travail et l</w:t>
      </w:r>
      <w:r>
        <w:rPr>
          <w:rFonts w:cs="Aptos"/>
          <w:lang w:val="fr-FR"/>
        </w:rPr>
        <w:t>’</w:t>
      </w:r>
      <w:r>
        <w:rPr>
          <w:lang w:val="fr-FR"/>
        </w:rPr>
        <w:t>Ordre des m</w:t>
      </w:r>
      <w:r>
        <w:rPr>
          <w:rFonts w:cs="Aptos"/>
          <w:lang w:val="fr-FR"/>
        </w:rPr>
        <w:t>é</w:t>
      </w:r>
      <w:r>
        <w:rPr>
          <w:lang w:val="fr-FR"/>
        </w:rPr>
        <w:t>decins sont bas</w:t>
      </w:r>
      <w:r>
        <w:rPr>
          <w:rFonts w:cs="Aptos"/>
          <w:lang w:val="fr-FR"/>
        </w:rPr>
        <w:t>é</w:t>
      </w:r>
      <w:r>
        <w:rPr>
          <w:lang w:val="fr-FR"/>
        </w:rPr>
        <w:t>es sur le document B et sur des sources publiques. Ce chapitre ne constitue pas un avis juridique ou financier.</w:t>
      </w:r>
    </w:p>
    <w:p w14:paraId="6C2E559E" w14:textId="77777777" w:rsidR="0020702A" w:rsidRDefault="0020702A">
      <w:pPr>
        <w:pStyle w:val="marker"/>
        <w:ind w:left="800" w:right="800"/>
        <w:divId w:val="1419013937"/>
        <w:rPr>
          <w:lang w:val="fr-FR"/>
        </w:rPr>
      </w:pPr>
      <w:r>
        <w:br w:type="page"/>
      </w:r>
    </w:p>
    <w:p w14:paraId="572330A6" w14:textId="77777777" w:rsidR="0020702A" w:rsidRDefault="0020702A">
      <w:pPr>
        <w:pStyle w:val="Kop1"/>
        <w:divId w:val="1419013937"/>
        <w:rPr>
          <w:rFonts w:eastAsia="Times New Roman"/>
          <w:lang w:val="fr-FR"/>
        </w:rPr>
      </w:pPr>
      <w:bookmarkStart w:id="57" w:name="_Toc242103297"/>
      <w:r>
        <w:rPr>
          <w:rFonts w:eastAsia="Times New Roman"/>
          <w:lang w:val="fr-FR"/>
        </w:rPr>
        <w:t>III. Pays-Bas</w:t>
      </w:r>
      <w:bookmarkEnd w:id="57"/>
    </w:p>
    <w:p w14:paraId="7C0E451D" w14:textId="77777777" w:rsidR="0020702A" w:rsidRDefault="0020702A">
      <w:pPr>
        <w:pStyle w:val="Kop2"/>
        <w:divId w:val="1419013937"/>
        <w:rPr>
          <w:rFonts w:eastAsia="Times New Roman"/>
          <w:lang w:val="fr-FR"/>
        </w:rPr>
      </w:pPr>
      <w:bookmarkStart w:id="58" w:name="_Toc242103298"/>
      <w:r>
        <w:rPr>
          <w:rFonts w:eastAsia="Times New Roman"/>
          <w:lang w:val="fr-FR"/>
        </w:rPr>
        <w:t>Le UWV et la machine administrative des recours</w:t>
      </w:r>
      <w:bookmarkEnd w:id="58"/>
    </w:p>
    <w:p w14:paraId="4A7E708E" w14:textId="77777777" w:rsidR="0020702A" w:rsidRDefault="0020702A">
      <w:pPr>
        <w:pStyle w:val="lead"/>
        <w:divId w:val="1419013937"/>
        <w:rPr>
          <w:lang w:val="fr-FR"/>
        </w:rPr>
      </w:pPr>
      <w:r>
        <w:rPr>
          <w:lang w:val="fr-FR"/>
        </w:rPr>
        <w:t>Le UWV évalue si une personne est en incapacité de travail et si elle a droit à une prestation. Ce qui suit n’est pas un refus. Il s’agit d’une série de refus. Chaque refus a sa propre raison, sa propre procédure et son propre résultat. Aucun refus n’est examiné sur le fond. Et l’ONEM, son homologue belge, applique à son tour la même tactique, mais dans le sens inverse.</w:t>
      </w:r>
    </w:p>
    <w:p w14:paraId="6FB0DDB6" w14:textId="77777777" w:rsidR="0020702A" w:rsidRDefault="0020702A">
      <w:pPr>
        <w:pStyle w:val="Kop3"/>
        <w:divId w:val="1419013937"/>
        <w:rPr>
          <w:rFonts w:eastAsia="Times New Roman"/>
          <w:lang w:val="fr-FR"/>
        </w:rPr>
      </w:pPr>
      <w:bookmarkStart w:id="59" w:name="_Toc242103299"/>
      <w:r>
        <w:rPr>
          <w:rFonts w:eastAsia="Times New Roman"/>
          <w:lang w:val="fr-FR"/>
        </w:rPr>
        <w:t>Partie A — Six étapes auprès du UWV</w:t>
      </w:r>
      <w:bookmarkEnd w:id="59"/>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DFE9BC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F367F0F" w14:textId="77777777" w:rsidR="0020702A" w:rsidRDefault="0020702A">
            <w:pPr>
              <w:pStyle w:val="Normaalweb"/>
              <w:spacing w:before="120"/>
              <w:jc w:val="center"/>
              <w:rPr>
                <w:sz w:val="21"/>
                <w:szCs w:val="21"/>
              </w:rPr>
            </w:pPr>
            <w:r>
              <w:rPr>
                <w:noProof/>
                <w:sz w:val="21"/>
                <w:szCs w:val="21"/>
              </w:rPr>
              <w:drawing>
                <wp:inline distT="0" distB="0" distL="0" distR="0" wp14:anchorId="5E88AE6A" wp14:editId="19D25A98">
                  <wp:extent cx="3810000" cy="228600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18B54AAD" w14:textId="77777777" w:rsidR="0020702A" w:rsidRDefault="0020702A">
            <w:pPr>
              <w:pStyle w:val="caption"/>
              <w:spacing w:after="120" w:afterAutospacing="0"/>
            </w:pPr>
            <w:r>
              <w:rPr>
                <w:rStyle w:val="Zwaar"/>
              </w:rPr>
              <w:t>Figure IX.1 — Les six étapes.</w:t>
            </w:r>
            <w:r>
              <w:t xml:space="preserve"> Cinq demandes, deux recours, un réexamen. Chaque étape se termine par un rejet formel. Tout au long de la procédure, la situation médicale n’est à aucun moment examinée sur le fond, malgré cinq expertises médicales indépendantes et des centaines de pages de pièces justificatives.</w:t>
            </w:r>
          </w:p>
        </w:tc>
      </w:tr>
    </w:tbl>
    <w:p w14:paraId="2BABCFDB" w14:textId="77777777" w:rsidR="0020702A" w:rsidRDefault="0020702A">
      <w:pPr>
        <w:pStyle w:val="Kop3"/>
        <w:divId w:val="1419013937"/>
        <w:rPr>
          <w:rFonts w:eastAsia="Times New Roman"/>
          <w:lang w:val="fr-FR"/>
        </w:rPr>
      </w:pPr>
      <w:bookmarkStart w:id="60" w:name="_Toc242103300"/>
      <w:r>
        <w:rPr>
          <w:rFonts w:eastAsia="Times New Roman"/>
          <w:lang w:val="fr-FR"/>
        </w:rPr>
        <w:t>Partie B — L’ONEM et le formulaire C4</w:t>
      </w:r>
      <w:bookmarkEnd w:id="60"/>
    </w:p>
    <w:p w14:paraId="7951CA04" w14:textId="77777777" w:rsidR="0020702A" w:rsidRDefault="0020702A">
      <w:pPr>
        <w:pStyle w:val="Normaalweb"/>
        <w:divId w:val="1419013937"/>
        <w:rPr>
          <w:lang w:val="fr-FR"/>
        </w:rPr>
      </w:pPr>
      <w:r>
        <w:rPr>
          <w:lang w:val="fr-FR"/>
        </w:rPr>
        <w:t>Le UWV n’est pas la seule instance à bloquer une attestation de parcours professionnel. Du côté belge, l’Office national de l’emploi (ONEM) applique une tactique similaire, mais dans le domaine de l’enseignement.</w:t>
      </w:r>
    </w:p>
    <w:p w14:paraId="51BFE3E7" w14:textId="77777777" w:rsidR="0020702A" w:rsidRDefault="0020702A">
      <w:pPr>
        <w:pStyle w:val="Kop4"/>
        <w:divId w:val="1419013937"/>
        <w:rPr>
          <w:rFonts w:eastAsia="Times New Roman"/>
          <w:lang w:val="fr-FR"/>
        </w:rPr>
      </w:pPr>
      <w:r>
        <w:rPr>
          <w:rFonts w:eastAsia="Times New Roman"/>
          <w:lang w:val="fr-FR"/>
        </w:rPr>
        <w:t>Le problème lié à la carrière dans l’enseignement</w:t>
      </w:r>
    </w:p>
    <w:p w14:paraId="4996F6D9" w14:textId="77777777" w:rsidR="0020702A" w:rsidRDefault="0020702A">
      <w:pPr>
        <w:pStyle w:val="Normaalweb"/>
        <w:divId w:val="1419013937"/>
        <w:rPr>
          <w:lang w:val="fr-FR"/>
        </w:rPr>
      </w:pPr>
      <w:r>
        <w:rPr>
          <w:lang w:val="fr-FR"/>
        </w:rPr>
        <w:t xml:space="preserve">Le partenaire travaille en tant qu’enseignant titulaire dans l’enseignement flamand. Pour la demande de l’attestation européenne de carrière (PD U1), l’ONEM doit remplir un formulaire qui documente l’intégralité de la carrière dans l’enseignement. Mais l’ONEM bloque la demande en exigeant un </w:t>
      </w:r>
      <w:r>
        <w:rPr>
          <w:rStyle w:val="Zwaar"/>
          <w:lang w:val="fr-FR"/>
        </w:rPr>
        <w:t>formulaire C4</w:t>
      </w:r>
      <w:r>
        <w:rPr>
          <w:lang w:val="fr-FR"/>
        </w:rPr>
        <w:t>.</w:t>
      </w:r>
    </w:p>
    <w:p w14:paraId="3F88CC2E" w14:textId="77777777" w:rsidR="0020702A" w:rsidRDefault="0020702A">
      <w:pPr>
        <w:pStyle w:val="Normaalweb"/>
        <w:divId w:val="1419013937"/>
        <w:rPr>
          <w:lang w:val="fr-FR"/>
        </w:rPr>
      </w:pPr>
      <w:r>
        <w:rPr>
          <w:lang w:val="fr-FR"/>
        </w:rPr>
        <w:t>Qu’est-ce que le formulaire C4 ? Il s’agit d’un document de licenciement issu du secteur privé. Il est utilisé lorsqu’un salarié du secteur privé quitte son emploi. Pour les enseignants titulaires, ce formulaire n’existe pas juridiquement. Il n’y a pas de licenciement, pas d’employeur privé, pas de C4.</w:t>
      </w:r>
    </w:p>
    <w:p w14:paraId="7E0DE962" w14:textId="77777777" w:rsidR="0020702A" w:rsidRDefault="0020702A">
      <w:pPr>
        <w:pStyle w:val="Normaalweb"/>
        <w:divId w:val="1419013937"/>
        <w:rPr>
          <w:lang w:val="fr-FR"/>
        </w:rPr>
      </w:pPr>
      <w:r>
        <w:rPr>
          <w:lang w:val="fr-FR"/>
        </w:rPr>
        <w:t>L’ONEM applique donc la logique du secteur privé à une carrière qui s’inscrit entièrement en dehors de ce cadre. L’organisme tente de faire entrer de force une carrière publique dans un moule privé.</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A6DB093"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6BF4B49" w14:textId="77777777" w:rsidR="0020702A" w:rsidRDefault="0020702A">
            <w:pPr>
              <w:pStyle w:val="Normaalweb"/>
              <w:spacing w:before="120"/>
              <w:jc w:val="center"/>
              <w:rPr>
                <w:sz w:val="21"/>
                <w:szCs w:val="21"/>
              </w:rPr>
            </w:pPr>
            <w:r>
              <w:rPr>
                <w:noProof/>
                <w:sz w:val="21"/>
                <w:szCs w:val="21"/>
              </w:rPr>
              <w:drawing>
                <wp:inline distT="0" distB="0" distL="0" distR="0" wp14:anchorId="2CC02BED" wp14:editId="2AEB240A">
                  <wp:extent cx="3810000" cy="1041400"/>
                  <wp:effectExtent l="0" t="0" r="0" b="635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23B824EF" w14:textId="77777777" w:rsidR="0020702A" w:rsidRDefault="0020702A">
            <w:pPr>
              <w:pStyle w:val="caption"/>
              <w:spacing w:after="120" w:afterAutospacing="0"/>
            </w:pPr>
            <w:r>
              <w:t>L’ONEM exige un formulaire C4 pour une carrière qui, juridiquement, ne connaît pas de C4. La demande est bloquée. Le citoyen doit fournir lui-même une preuve alternative via l’Agence des services éducatifs (AGODI), qui délivre le calcul officiel de l’ancienneté pécuniaire.</w:t>
            </w:r>
          </w:p>
        </w:tc>
      </w:tr>
    </w:tbl>
    <w:p w14:paraId="0D1BE9BF" w14:textId="77777777" w:rsidR="0020702A" w:rsidRDefault="0020702A">
      <w:pPr>
        <w:pStyle w:val="Kop4"/>
        <w:divId w:val="1419013937"/>
        <w:rPr>
          <w:rFonts w:eastAsia="Times New Roman"/>
          <w:lang w:val="fr-FR"/>
        </w:rPr>
      </w:pPr>
      <w:r>
        <w:rPr>
          <w:rFonts w:eastAsia="Times New Roman"/>
          <w:lang w:val="fr-FR"/>
        </w:rPr>
        <w:t>La transmission manuelle</w:t>
      </w:r>
    </w:p>
    <w:p w14:paraId="02E2FEE9" w14:textId="77777777" w:rsidR="0020702A" w:rsidRDefault="0020702A">
      <w:pPr>
        <w:pStyle w:val="Normaalweb"/>
        <w:divId w:val="1419013937"/>
        <w:rPr>
          <w:lang w:val="fr-FR"/>
        </w:rPr>
      </w:pPr>
      <w:r>
        <w:rPr>
          <w:lang w:val="fr-FR"/>
        </w:rPr>
        <w:t>Le patient résout le problème en fournissant manuellement le justificatif AGODI. L’Agence des services éducatifs délivre un document officiel attestant l’intégralité du parcours scolaire. Ce document est transmis à l’ONEM, après quoi le deuxième certificat PD U1 est délivré.</w:t>
      </w:r>
    </w:p>
    <w:p w14:paraId="5959DECD" w14:textId="77777777" w:rsidR="0020702A" w:rsidRDefault="0020702A">
      <w:pPr>
        <w:pStyle w:val="Normaalweb"/>
        <w:divId w:val="1419013937"/>
        <w:rPr>
          <w:lang w:val="fr-FR"/>
        </w:rPr>
      </w:pPr>
      <w:r>
        <w:rPr>
          <w:lang w:val="fr-FR"/>
        </w:rPr>
        <w:t>Il en résulte un troisième niveau d’intervention manuelle. Le patient fait non seulement office de centre de données entre deux pays, mais aussi entre deux instances au sein d’un même pays : entre l’ONEM fédéral et le AGODI flamand. Ces deux niveaux administratifs, qui disposent des mêmes informations sur le parcours professionnel, n’échangent pas automatiquement ces données.</w:t>
      </w:r>
    </w:p>
    <w:p w14:paraId="67C5341E" w14:textId="77777777" w:rsidR="0020702A" w:rsidRDefault="0020702A">
      <w:pPr>
        <w:pStyle w:val="Kop3"/>
        <w:divId w:val="1419013937"/>
        <w:rPr>
          <w:rFonts w:eastAsia="Times New Roman"/>
          <w:lang w:val="fr-FR"/>
        </w:rPr>
      </w:pPr>
      <w:bookmarkStart w:id="61" w:name="_Toc242103301"/>
      <w:r>
        <w:rPr>
          <w:rFonts w:eastAsia="Times New Roman"/>
          <w:lang w:val="fr-FR"/>
        </w:rPr>
        <w:t>Partie C — Le refus de synchroniser les données étrangères</w:t>
      </w:r>
      <w:bookmarkEnd w:id="61"/>
    </w:p>
    <w:p w14:paraId="136D44FC" w14:textId="77777777" w:rsidR="0020702A" w:rsidRDefault="0020702A">
      <w:pPr>
        <w:pStyle w:val="Normaalweb"/>
        <w:divId w:val="1419013937"/>
        <w:rPr>
          <w:lang w:val="fr-FR"/>
        </w:rPr>
      </w:pPr>
      <w:r>
        <w:rPr>
          <w:lang w:val="fr-FR"/>
        </w:rPr>
        <w:t>Après la délivrance du deuxième certificat PD U1, le patient introduit une demande formelle visant à synchroniser les données de parcours professionnel néerlandaises avec l’environnement belge MyCareer. L’ONEM refuse.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5548998"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1FC221B" w14:textId="77777777" w:rsidR="0020702A" w:rsidRDefault="0020702A">
            <w:pPr>
              <w:pStyle w:val="Normaalweb"/>
              <w:spacing w:before="120"/>
              <w:jc w:val="center"/>
              <w:rPr>
                <w:sz w:val="21"/>
                <w:szCs w:val="21"/>
              </w:rPr>
            </w:pPr>
            <w:r>
              <w:rPr>
                <w:noProof/>
                <w:sz w:val="21"/>
                <w:szCs w:val="21"/>
              </w:rPr>
              <w:drawing>
                <wp:inline distT="0" distB="0" distL="0" distR="0" wp14:anchorId="40D838DE" wp14:editId="6ADC9273">
                  <wp:extent cx="3810000" cy="1104900"/>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20B5463E" w14:textId="77777777" w:rsidR="0020702A" w:rsidRDefault="0020702A">
            <w:pPr>
              <w:pStyle w:val="caption"/>
              <w:spacing w:after="120" w:afterAutospacing="0"/>
            </w:pPr>
            <w:r>
              <w:t>UWV fournit les données, l’ONEM refuse de les traiter. Le patient contourne l’ONEM en passant par une autre instance fédérale. Deux instances publiques au sein d’un même pays ne peuvent pas échanger leurs données sans que le citoyen ne fasse lui-même office de centre de données.</w:t>
            </w:r>
          </w:p>
        </w:tc>
      </w:tr>
    </w:tbl>
    <w:p w14:paraId="772F7A96" w14:textId="77777777" w:rsidR="0020702A" w:rsidRDefault="0020702A">
      <w:pPr>
        <w:pStyle w:val="Kop3"/>
        <w:divId w:val="1419013937"/>
        <w:rPr>
          <w:rFonts w:eastAsia="Times New Roman"/>
          <w:lang w:val="fr-FR"/>
        </w:rPr>
      </w:pPr>
      <w:bookmarkStart w:id="62" w:name="_Toc242103302"/>
      <w:r>
        <w:rPr>
          <w:rFonts w:eastAsia="Times New Roman"/>
          <w:lang w:val="fr-FR"/>
        </w:rPr>
        <w:t>Partie D — Le schéma : le rejet procédural</w:t>
      </w:r>
      <w:bookmarkEnd w:id="62"/>
    </w:p>
    <w:p w14:paraId="737EBBAF" w14:textId="77777777" w:rsidR="0020702A" w:rsidRDefault="0020702A">
      <w:pPr>
        <w:pStyle w:val="Normaalweb"/>
        <w:divId w:val="1419013937"/>
        <w:rPr>
          <w:lang w:val="fr-FR"/>
        </w:rPr>
      </w:pPr>
      <w:r>
        <w:rPr>
          <w:lang w:val="fr-FR"/>
        </w:rPr>
        <w:t xml:space="preserve">Ce que fait systématiquement le UWV, ce n’est pas refuser. Il s’agit </w:t>
      </w:r>
      <w:r>
        <w:rPr>
          <w:rStyle w:val="Zwaar"/>
          <w:lang w:val="fr-FR"/>
        </w:rPr>
        <w:t>d’un rejet pour vice de procédure</w:t>
      </w:r>
      <w:r>
        <w:rPr>
          <w:lang w:val="fr-FR"/>
        </w:rPr>
        <w:t>. C’est une différence fondamentale.</w:t>
      </w:r>
    </w:p>
    <w:p w14:paraId="5FF317B1" w14:textId="77777777" w:rsidR="0020702A" w:rsidRDefault="0020702A">
      <w:pPr>
        <w:pStyle w:val="Normaalweb"/>
        <w:divId w:val="1419013937"/>
        <w:rPr>
          <w:lang w:val="fr-FR"/>
        </w:rPr>
      </w:pPr>
      <w:r>
        <w:rPr>
          <w:lang w:val="fr-FR"/>
        </w:rPr>
        <w:t xml:space="preserve">En cas de refus sur le fond, le UWV devrait indiquer : </w:t>
      </w:r>
      <w:r>
        <w:rPr>
          <w:rStyle w:val="Nadruk"/>
          <w:lang w:val="fr-FR"/>
        </w:rPr>
        <w:t>la situation médicale n’est pas suffisamment grave</w:t>
      </w:r>
      <w:r>
        <w:rPr>
          <w:lang w:val="fr-FR"/>
        </w:rPr>
        <w:t>. Cela signifierait qu’un médecin a examiné le patient, constaté les amputations, testé l’acuité visuelle et, sur cette base, conclu à l’absence de droit.</w:t>
      </w:r>
    </w:p>
    <w:p w14:paraId="0BE0C988" w14:textId="77777777" w:rsidR="0020702A" w:rsidRDefault="0020702A">
      <w:pPr>
        <w:pStyle w:val="Normaalweb"/>
        <w:divId w:val="1419013937"/>
        <w:rPr>
          <w:lang w:val="fr-FR"/>
        </w:rPr>
      </w:pPr>
      <w:r>
        <w:rPr>
          <w:lang w:val="fr-FR"/>
        </w:rPr>
        <w:t xml:space="preserve">En cas de rejet pour vice de forme, le UWV indique : </w:t>
      </w:r>
      <w:r>
        <w:rPr>
          <w:rStyle w:val="Nadruk"/>
          <w:lang w:val="fr-FR"/>
        </w:rPr>
        <w:t>la demande ne remplit pas les conditions de forme</w:t>
      </w:r>
      <w:r>
        <w:rPr>
          <w:lang w:val="fr-FR"/>
        </w:rPr>
        <w:t>. Pas de case cochée. Pas de date de référence correcte. Pas de motif d’assurance. Pas de décision belge. Pas de formulaire C4.</w:t>
      </w:r>
    </w:p>
    <w:p w14:paraId="49A00CEB" w14:textId="77777777" w:rsidR="0020702A" w:rsidRDefault="0020702A">
      <w:pPr>
        <w:pStyle w:val="Normaalweb"/>
        <w:divId w:val="1419013937"/>
        <w:rPr>
          <w:lang w:val="fr-FR"/>
        </w:rPr>
      </w:pPr>
      <w:r>
        <w:rPr>
          <w:lang w:val="fr-FR"/>
        </w:rPr>
        <w:t>Le rejet pour vice de forme présente trois avantages pour l’instance :</w:t>
      </w:r>
    </w:p>
    <w:p w14:paraId="1C1C7B26" w14:textId="77777777" w:rsidR="0020702A" w:rsidRDefault="0020702A">
      <w:pPr>
        <w:numPr>
          <w:ilvl w:val="0"/>
          <w:numId w:val="11"/>
        </w:numPr>
        <w:spacing w:before="100" w:beforeAutospacing="1" w:after="100" w:afterAutospacing="1"/>
        <w:divId w:val="1419013937"/>
        <w:rPr>
          <w:rFonts w:eastAsia="Times New Roman"/>
          <w:lang w:val="fr-FR"/>
        </w:rPr>
      </w:pPr>
      <w:r>
        <w:rPr>
          <w:rStyle w:val="Zwaar"/>
          <w:rFonts w:eastAsia="Times New Roman"/>
          <w:lang w:val="fr-FR"/>
        </w:rPr>
        <w:t>Aucune évaluation médicale n’est nécessaire.</w:t>
      </w:r>
      <w:r>
        <w:rPr>
          <w:rFonts w:eastAsia="Times New Roman"/>
          <w:lang w:val="fr-FR"/>
        </w:rPr>
        <w:t xml:space="preserve"> L’évaluation est omise ou reportée.</w:t>
      </w:r>
    </w:p>
    <w:p w14:paraId="0BAD2A3D" w14:textId="77777777" w:rsidR="0020702A" w:rsidRDefault="0020702A">
      <w:pPr>
        <w:numPr>
          <w:ilvl w:val="0"/>
          <w:numId w:val="11"/>
        </w:numPr>
        <w:spacing w:before="100" w:beforeAutospacing="1" w:after="100" w:afterAutospacing="1"/>
        <w:divId w:val="1419013937"/>
        <w:rPr>
          <w:rFonts w:eastAsia="Times New Roman"/>
          <w:lang w:val="fr-FR"/>
        </w:rPr>
      </w:pPr>
      <w:r>
        <w:rPr>
          <w:rStyle w:val="Zwaar"/>
          <w:rFonts w:eastAsia="Times New Roman"/>
          <w:lang w:val="fr-FR"/>
        </w:rPr>
        <w:t>Pas de décision contestable.</w:t>
      </w:r>
      <w:r>
        <w:rPr>
          <w:rFonts w:eastAsia="Times New Roman"/>
          <w:lang w:val="fr-FR"/>
        </w:rPr>
        <w:t xml:space="preserve"> Les arguments formels sont difficiles à contester devant le juge.</w:t>
      </w:r>
    </w:p>
    <w:p w14:paraId="0D3A19F0" w14:textId="77777777" w:rsidR="0020702A" w:rsidRDefault="0020702A">
      <w:pPr>
        <w:numPr>
          <w:ilvl w:val="0"/>
          <w:numId w:val="11"/>
        </w:numPr>
        <w:spacing w:before="100" w:beforeAutospacing="1" w:after="100" w:afterAutospacing="1"/>
        <w:divId w:val="1419013937"/>
        <w:rPr>
          <w:rFonts w:eastAsia="Times New Roman"/>
          <w:lang w:val="fr-FR"/>
        </w:rPr>
      </w:pPr>
      <w:r>
        <w:rPr>
          <w:rStyle w:val="Zwaar"/>
          <w:rFonts w:eastAsia="Times New Roman"/>
          <w:lang w:val="fr-FR"/>
        </w:rPr>
        <w:t>Transfert automatique vers le citoyen.</w:t>
      </w:r>
      <w:r>
        <w:rPr>
          <w:rFonts w:eastAsia="Times New Roman"/>
          <w:lang w:val="fr-FR"/>
        </w:rPr>
        <w:t xml:space="preserve"> Le citoyen doit d’abord obtenir une autre décision avant que l’autorité ne prenne des mesures.</w:t>
      </w:r>
    </w:p>
    <w:p w14:paraId="0901D360" w14:textId="77777777" w:rsidR="0020702A" w:rsidRDefault="0020702A">
      <w:pPr>
        <w:pStyle w:val="Normaalweb"/>
        <w:divId w:val="1419013937"/>
        <w:rPr>
          <w:lang w:val="fr-FR"/>
        </w:rPr>
      </w:pPr>
      <w:r>
        <w:rPr>
          <w:lang w:val="fr-FR"/>
        </w:rPr>
        <w:t>Le UWV et l’ONEM suivent ici le même schéma, mais dans le sens inverse. Le UWV refuse de prendre en compte la décision belge. L'ONEM refuse de prendre en compte la décision néerlandaise. Les deux instances attendent l'autre, et aucune des deux n'assume la responsabilité.</w:t>
      </w:r>
    </w:p>
    <w:p w14:paraId="2616AC6B" w14:textId="77777777" w:rsidR="0020702A" w:rsidRDefault="0020702A">
      <w:pPr>
        <w:pStyle w:val="Kop3"/>
        <w:divId w:val="1419013937"/>
        <w:rPr>
          <w:rFonts w:eastAsia="Times New Roman"/>
          <w:lang w:val="fr-FR"/>
        </w:rPr>
      </w:pPr>
      <w:bookmarkStart w:id="63" w:name="_Toc242103303"/>
      <w:r>
        <w:rPr>
          <w:rFonts w:eastAsia="Times New Roman"/>
          <w:lang w:val="fr-FR"/>
        </w:rPr>
        <w:t>Partie E — Les motifs de rejet en bref</w:t>
      </w:r>
      <w:bookmarkEnd w:id="6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85C708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EE15498" w14:textId="77777777" w:rsidR="0020702A" w:rsidRDefault="0020702A">
            <w:pPr>
              <w:pStyle w:val="Normaalweb"/>
              <w:spacing w:before="120"/>
              <w:jc w:val="center"/>
              <w:rPr>
                <w:sz w:val="21"/>
                <w:szCs w:val="21"/>
              </w:rPr>
            </w:pPr>
            <w:r>
              <w:rPr>
                <w:noProof/>
                <w:sz w:val="21"/>
                <w:szCs w:val="21"/>
              </w:rPr>
              <w:drawing>
                <wp:inline distT="0" distB="0" distL="0" distR="0" wp14:anchorId="2844F601" wp14:editId="1CCC7621">
                  <wp:extent cx="3810000" cy="120650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10000" cy="1206500"/>
                          </a:xfrm>
                          <a:prstGeom prst="rect">
                            <a:avLst/>
                          </a:prstGeom>
                          <a:noFill/>
                          <a:ln>
                            <a:noFill/>
                          </a:ln>
                        </pic:spPr>
                      </pic:pic>
                    </a:graphicData>
                  </a:graphic>
                </wp:inline>
              </w:drawing>
            </w:r>
          </w:p>
          <w:p w14:paraId="35772F40" w14:textId="77777777" w:rsidR="0020702A" w:rsidRDefault="0020702A">
            <w:pPr>
              <w:pStyle w:val="caption"/>
              <w:spacing w:after="120" w:afterAutospacing="0"/>
            </w:pPr>
            <w:r>
              <w:rPr>
                <w:rStyle w:val="Zwaar"/>
              </w:rPr>
              <w:t>Figure IX.4 — Six rejets, six motifs.</w:t>
            </w:r>
            <w:r>
              <w:t xml:space="preserve"> Tous les motifs sont d’ordre procédural. Aucun n’est d’ordre médical. La situation médicale ne fait l’objet d’aucun examen de fond tout au long de la chaîne.</w:t>
            </w:r>
          </w:p>
        </w:tc>
      </w:tr>
    </w:tbl>
    <w:p w14:paraId="4D55F9C8" w14:textId="77777777" w:rsidR="0020702A" w:rsidRDefault="0020702A">
      <w:pPr>
        <w:pStyle w:val="Kop3"/>
        <w:divId w:val="1419013937"/>
        <w:rPr>
          <w:rFonts w:eastAsia="Times New Roman"/>
          <w:lang w:val="fr-FR"/>
        </w:rPr>
      </w:pPr>
      <w:bookmarkStart w:id="64" w:name="_Toc242103304"/>
      <w:r>
        <w:rPr>
          <w:rFonts w:eastAsia="Times New Roman"/>
          <w:lang w:val="fr-FR"/>
        </w:rPr>
        <w:t>Partie F — Les deux recours en détail</w:t>
      </w:r>
      <w:bookmarkEnd w:id="64"/>
    </w:p>
    <w:p w14:paraId="765C4877" w14:textId="77777777" w:rsidR="0020702A" w:rsidRDefault="0020702A">
      <w:pPr>
        <w:pStyle w:val="Kop4"/>
        <w:divId w:val="1419013937"/>
        <w:rPr>
          <w:rFonts w:eastAsia="Times New Roman"/>
          <w:lang w:val="fr-FR"/>
        </w:rPr>
      </w:pPr>
      <w:r>
        <w:rPr>
          <w:rFonts w:eastAsia="Times New Roman"/>
          <w:lang w:val="fr-FR"/>
        </w:rPr>
        <w:t>Recours n° 1 — Le complément Caren</w:t>
      </w:r>
    </w:p>
    <w:p w14:paraId="4D550320" w14:textId="77777777" w:rsidR="0020702A" w:rsidRDefault="0020702A">
      <w:pPr>
        <w:pStyle w:val="tijd"/>
        <w:divId w:val="1419013937"/>
        <w:rPr>
          <w:lang w:val="fr-FR"/>
        </w:rPr>
      </w:pPr>
      <w:r>
        <w:rPr>
          <w:lang w:val="fr-FR"/>
        </w:rPr>
        <w:t>04/06/2026</w:t>
      </w:r>
    </w:p>
    <w:p w14:paraId="5165D33E" w14:textId="77777777" w:rsidR="0020702A" w:rsidRDefault="0020702A">
      <w:pPr>
        <w:pStyle w:val="Normaalweb"/>
        <w:divId w:val="1419013937"/>
        <w:rPr>
          <w:lang w:val="fr-FR"/>
        </w:rPr>
      </w:pPr>
      <w:r>
        <w:rPr>
          <w:lang w:val="fr-FR"/>
        </w:rPr>
        <w:t>Le 1er juin 2026, le patient dépose trois pièces justificatives supplémentaires à l'appui de son premier recours : le rapport Caren des services néerlandais de soins à domicile (126 entrées cliniques confirmant la période d’hospitalisation du 11 avril au 9 mai 2025), un rapport ophtalmologique de l’hôpital universitaire et un rapport endocrinologique.</w:t>
      </w:r>
    </w:p>
    <w:p w14:paraId="4A65CB96" w14:textId="77777777" w:rsidR="0020702A" w:rsidRDefault="0020702A">
      <w:pPr>
        <w:pStyle w:val="Normaalweb"/>
        <w:divId w:val="1419013937"/>
        <w:rPr>
          <w:lang w:val="fr-FR"/>
        </w:rPr>
      </w:pPr>
      <w:r>
        <w:rPr>
          <w:lang w:val="fr-FR"/>
        </w:rPr>
        <w:t>Trois jours plus tard, le UWV déclare le recours non fondé. Six semaines avant la date limite du 15 juillet 2026 annoncée par le UWV lui-même. Le rapport Caren — la preuve néerlandaise confirmant la date de référence — n’est pas examiné sur le fond.</w:t>
      </w:r>
    </w:p>
    <w:p w14:paraId="3E402012" w14:textId="77777777" w:rsidR="0020702A" w:rsidRDefault="0020702A">
      <w:pPr>
        <w:pStyle w:val="Kop4"/>
        <w:divId w:val="1419013937"/>
        <w:rPr>
          <w:rFonts w:eastAsia="Times New Roman"/>
          <w:lang w:val="fr-FR"/>
        </w:rPr>
      </w:pPr>
      <w:r>
        <w:rPr>
          <w:rFonts w:eastAsia="Times New Roman"/>
          <w:lang w:val="fr-FR"/>
        </w:rPr>
        <w:t>Recours n° 2 — Le refus du Vester</w:t>
      </w:r>
    </w:p>
    <w:p w14:paraId="3D1B1F91" w14:textId="77777777" w:rsidR="0020702A" w:rsidRDefault="0020702A">
      <w:pPr>
        <w:pStyle w:val="tijd"/>
        <w:divId w:val="1419013937"/>
        <w:rPr>
          <w:lang w:val="fr-FR"/>
        </w:rPr>
      </w:pPr>
      <w:r>
        <w:rPr>
          <w:lang w:val="fr-FR"/>
        </w:rPr>
        <w:t>08/07/2026</w:t>
      </w:r>
    </w:p>
    <w:p w14:paraId="5496CD06" w14:textId="77777777" w:rsidR="0020702A" w:rsidRDefault="0020702A">
      <w:pPr>
        <w:pStyle w:val="Normaalweb"/>
        <w:divId w:val="1419013937"/>
        <w:rPr>
          <w:lang w:val="fr-FR"/>
        </w:rPr>
      </w:pPr>
      <w:r>
        <w:rPr>
          <w:lang w:val="fr-FR"/>
        </w:rPr>
        <w:t>Le deuxième recours concerne le rejet WIA du 14 avril 2026. Le patient invoque l’arrêt Vester : en cas d’assurances successives dans deux États membres, un État membre ne peut appliquer le délai d’attente de manière à créer une perte de revenus. Le UWV rejette explicitement cet argument en affirmant que la perte de revenus ne peut être établie sans une décision formelle de la Belgique.</w:t>
      </w:r>
    </w:p>
    <w:p w14:paraId="384446BB" w14:textId="77777777" w:rsidR="0020702A" w:rsidRDefault="0020702A">
      <w:pPr>
        <w:pStyle w:val="Normaalweb"/>
        <w:divId w:val="1419013937"/>
        <w:rPr>
          <w:lang w:val="fr-FR"/>
        </w:rPr>
      </w:pPr>
      <w:r>
        <w:rPr>
          <w:lang w:val="fr-FR"/>
        </w:rPr>
        <w:t>La Belgique refusant également, le UWV classe le dossier en indiquant que le citoyen doit d’abord obtenir la décision belge. La responsabilité de sortir de cette impasse est renvoyée au citoyen.</w:t>
      </w:r>
    </w:p>
    <w:p w14:paraId="2E5A4ED3" w14:textId="77777777" w:rsidR="0020702A" w:rsidRDefault="0020702A">
      <w:pPr>
        <w:pStyle w:val="Kop3"/>
        <w:divId w:val="1419013937"/>
        <w:rPr>
          <w:rFonts w:eastAsia="Times New Roman"/>
          <w:lang w:val="fr-FR"/>
        </w:rPr>
      </w:pPr>
      <w:bookmarkStart w:id="65" w:name="_Toc242103305"/>
      <w:r>
        <w:rPr>
          <w:rFonts w:eastAsia="Times New Roman"/>
          <w:lang w:val="fr-FR"/>
        </w:rPr>
        <w:t>Partie G — Conclusions de ce chapitre</w:t>
      </w:r>
      <w:bookmarkEnd w:id="65"/>
    </w:p>
    <w:p w14:paraId="598EB4CA" w14:textId="77777777" w:rsidR="0020702A" w:rsidRDefault="0020702A">
      <w:pPr>
        <w:pStyle w:val="Normaalweb"/>
        <w:divId w:val="1419013937"/>
        <w:rPr>
          <w:lang w:val="fr-FR"/>
        </w:rPr>
      </w:pPr>
      <w:r>
        <w:rPr>
          <w:lang w:val="fr-FR"/>
        </w:rPr>
        <w:t>Le UWV et l’ONEM suivent le même schéma, mais dans le sens inverse. Les deux instances rejettent la demande pour des raisons de procédure. Les deux instances refusent de prendre en compte les informations fournies par l’autre partie. Les deux instances renvoient la responsabilité au citoyen.</w:t>
      </w:r>
    </w:p>
    <w:p w14:paraId="52BA95CE" w14:textId="77777777" w:rsidR="0020702A" w:rsidRDefault="0020702A">
      <w:pPr>
        <w:pStyle w:val="Normaalweb"/>
        <w:divId w:val="1419013937"/>
        <w:rPr>
          <w:lang w:val="fr-FR"/>
        </w:rPr>
      </w:pPr>
      <w:r>
        <w:rPr>
          <w:lang w:val="fr-FR"/>
        </w:rPr>
        <w:t>Le citoyen se retrouve pris en étau entre deux instances qui posent chacune une condition que l’autre instance rend impossible à remplir. Et, tout au long de la chaîne, la situation médicale n’est à aucun moment examinée sur le fond.</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5E43E83"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5B11D34E"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en cas de rejet par le UWV ou l’ONEM, il est important de vérifier si le rejet est fondé sur le fond ou sur des motifs de procédure. Un rejet pour vice de forme peut souvent être contesté en remplissant la condition de forme — mais si cette condition est, dans la pratique, impossible à remplir (comme un formulaire C4 qui n’existe pas), une </w:t>
            </w:r>
            <w:r>
              <w:rPr>
                <w:rStyle w:val="Nadruk"/>
                <w:rFonts w:eastAsia="Times New Roman"/>
                <w:szCs w:val="22"/>
              </w:rPr>
              <w:t>demande</w:t>
            </w:r>
            <w:r>
              <w:rPr>
                <w:rFonts w:eastAsia="Times New Roman"/>
                <w:szCs w:val="22"/>
              </w:rPr>
              <w:t xml:space="preserve"> </w:t>
            </w:r>
            <w:r>
              <w:rPr>
                <w:rStyle w:val="Nadruk"/>
                <w:rFonts w:eastAsia="Times New Roman"/>
                <w:szCs w:val="22"/>
              </w:rPr>
              <w:t>de réexamen</w:t>
            </w:r>
            <w:r>
              <w:rPr>
                <w:rFonts w:eastAsia="Times New Roman"/>
                <w:szCs w:val="22"/>
              </w:rPr>
              <w:t xml:space="preserve"> en vertu de l’article 4:6 de la loi générale sur le droit administratif (NL) ou un recours formel (BE) peut constituer la bonne voie à suivre. </w:t>
            </w:r>
            <w:r>
              <w:rPr>
                <w:rFonts w:eastAsia="Times New Roman"/>
                <w:szCs w:val="22"/>
              </w:rPr>
              <w:br/>
            </w:r>
            <w:r>
              <w:rPr>
                <w:rFonts w:eastAsia="Times New Roman"/>
                <w:szCs w:val="22"/>
              </w:rPr>
              <w:br/>
              <w:t>Pour</w:t>
            </w:r>
            <w:r>
              <w:rPr>
                <w:rFonts w:eastAsia="Times New Roman"/>
                <w:szCs w:val="22"/>
              </w:rPr>
              <w:t xml:space="preserve"> les documents relatifs à la carrière : demandez auprès du AGODI un « Calcul officiel de l’ancienneté pécuniaire » comme preuve alternative à l’ONEM. Pour les données néerlandaises : saisissez manuellement le PD U1 via le portail MyCareer du SPF Sécurité sociale. </w:t>
            </w:r>
          </w:p>
        </w:tc>
      </w:tr>
    </w:tbl>
    <w:p w14:paraId="303F0600"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Les faits sont bas</w:t>
      </w:r>
      <w:r>
        <w:rPr>
          <w:rFonts w:cs="Aptos"/>
          <w:lang w:val="fr-FR"/>
        </w:rPr>
        <w:t>é</w:t>
      </w:r>
      <w:r>
        <w:rPr>
          <w:lang w:val="fr-FR"/>
        </w:rPr>
        <w:t>s sur le document B. Ce chapitre ne constitue pas un avis juridique.</w:t>
      </w:r>
    </w:p>
    <w:p w14:paraId="76BCD8EB" w14:textId="77777777" w:rsidR="0020702A" w:rsidRDefault="0020702A">
      <w:pPr>
        <w:pStyle w:val="marker"/>
        <w:ind w:left="800" w:right="800"/>
        <w:divId w:val="1419013937"/>
        <w:rPr>
          <w:lang w:val="fr-FR"/>
        </w:rPr>
      </w:pPr>
      <w:r>
        <w:br w:type="page"/>
      </w:r>
    </w:p>
    <w:p w14:paraId="39341D92" w14:textId="77777777" w:rsidR="0020702A" w:rsidRDefault="0020702A">
      <w:pPr>
        <w:pStyle w:val="Kop2"/>
        <w:divId w:val="1419013937"/>
        <w:rPr>
          <w:rFonts w:eastAsia="Times New Roman"/>
          <w:lang w:val="fr-FR"/>
        </w:rPr>
      </w:pPr>
      <w:bookmarkStart w:id="66" w:name="_Toc242103306"/>
      <w:r>
        <w:rPr>
          <w:rFonts w:eastAsia="Times New Roman"/>
          <w:lang w:val="fr-FR"/>
        </w:rPr>
        <w:t>CZ — les deux visages du « gardien »</w:t>
      </w:r>
      <w:bookmarkEnd w:id="66"/>
    </w:p>
    <w:p w14:paraId="1F5F4F45" w14:textId="77777777" w:rsidR="0020702A" w:rsidRDefault="0020702A">
      <w:pPr>
        <w:pStyle w:val="lead"/>
        <w:divId w:val="1419013937"/>
        <w:rPr>
          <w:lang w:val="fr-FR"/>
        </w:rPr>
      </w:pPr>
      <w:r>
        <w:rPr>
          <w:lang w:val="fr-FR"/>
        </w:rPr>
        <w:t>CZ applique la police conventionnelle pour un résident des Pays-Bas ayant un emploi en Belgique. CZ rembourse les soins, mais refuse l’enregistrement donnant droit à une aide aux soins. CZ refuse également le transport médical, en invoquant une exigence qui n’existe pas dans le pays de traitement. Dans les deux cas : le protocole de l’organisme prime sur la réalité médicale. Et dans les deux cas : les organismes qui devraient boucler la chaîne ne le font pas.</w:t>
      </w:r>
    </w:p>
    <w:p w14:paraId="2670CCC1" w14:textId="77777777" w:rsidR="0020702A" w:rsidRDefault="0020702A">
      <w:pPr>
        <w:pStyle w:val="Kop3"/>
        <w:divId w:val="1419013937"/>
        <w:rPr>
          <w:rFonts w:eastAsia="Times New Roman"/>
          <w:lang w:val="fr-FR"/>
        </w:rPr>
      </w:pPr>
      <w:bookmarkStart w:id="67" w:name="_Toc242103307"/>
      <w:r>
        <w:rPr>
          <w:rFonts w:eastAsia="Times New Roman"/>
          <w:lang w:val="fr-FR"/>
        </w:rPr>
        <w:t>Récit n° 1 — La police d’assurance conventionnelle et l’allocation de soins</w:t>
      </w:r>
      <w:bookmarkEnd w:id="67"/>
    </w:p>
    <w:p w14:paraId="506BD4EA" w14:textId="77777777" w:rsidR="0020702A" w:rsidRDefault="0020702A">
      <w:pPr>
        <w:pStyle w:val="Kop4"/>
        <w:divId w:val="1419013937"/>
        <w:rPr>
          <w:rFonts w:eastAsia="Times New Roman"/>
          <w:lang w:val="fr-FR"/>
        </w:rPr>
      </w:pPr>
      <w:r>
        <w:rPr>
          <w:rFonts w:eastAsia="Times New Roman"/>
          <w:lang w:val="fr-FR"/>
        </w:rPr>
        <w:t>Qu’est-ce qu’une police d’assurance conventionnelle ?</w:t>
      </w:r>
    </w:p>
    <w:p w14:paraId="53D3F5D0" w14:textId="77777777" w:rsidR="0020702A" w:rsidRDefault="0020702A">
      <w:pPr>
        <w:pStyle w:val="Normaalweb"/>
        <w:divId w:val="1419013937"/>
        <w:rPr>
          <w:lang w:val="fr-FR"/>
        </w:rPr>
      </w:pPr>
      <w:r>
        <w:rPr>
          <w:lang w:val="fr-FR"/>
        </w:rPr>
        <w:t>Une police conventionnelle est un instrument européen. Le salarié réside aux Pays-Bas et travaille en Belgique. Conformément aux règles européennes de coordination, c’est le pays d’emploi qui est compétent en matière de sécurité sociale. Le salarié paie ses cotisations sociales en Belgique, à la mutuelle belge.</w:t>
      </w:r>
    </w:p>
    <w:p w14:paraId="058A207B" w14:textId="77777777" w:rsidR="0020702A" w:rsidRDefault="0020702A">
      <w:pPr>
        <w:pStyle w:val="Normaalweb"/>
        <w:divId w:val="1419013937"/>
        <w:rPr>
          <w:lang w:val="fr-FR"/>
        </w:rPr>
      </w:pPr>
      <w:r>
        <w:rPr>
          <w:lang w:val="fr-FR"/>
        </w:rPr>
        <w:t>Mais il a également droit aux soins dans son pays de résidence. C’est là qu’intervient la police conventionnelle : CZ agit en tant qu’organisme néerlandais chargé de la gestion de la police, rembourse les frais de santé néerlandais et les compense avec la Belgique.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D81DA2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F0CC216" w14:textId="77777777" w:rsidR="0020702A" w:rsidRDefault="0020702A">
            <w:pPr>
              <w:pStyle w:val="Normaalweb"/>
              <w:spacing w:before="120"/>
              <w:jc w:val="center"/>
              <w:rPr>
                <w:sz w:val="21"/>
                <w:szCs w:val="21"/>
              </w:rPr>
            </w:pPr>
            <w:r>
              <w:rPr>
                <w:noProof/>
                <w:sz w:val="21"/>
                <w:szCs w:val="21"/>
              </w:rPr>
              <w:drawing>
                <wp:inline distT="0" distB="0" distL="0" distR="0" wp14:anchorId="6B914517" wp14:editId="0F146752">
                  <wp:extent cx="3810000" cy="1181100"/>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477E90B2" w14:textId="77777777" w:rsidR="0020702A" w:rsidRDefault="0020702A">
            <w:pPr>
              <w:pStyle w:val="caption"/>
              <w:spacing w:after="120" w:afterAutospacing="0"/>
            </w:pPr>
            <w:r>
              <w:t>La cotisation est versée au pays d'emploi (la Belgique, via MC). CZ rembourse les frais de soins néerlandais mais ne perçoit aucune cotisation. L'inscription au registre RIV représente une charge pour CZ sans qu'elle ne génère de revenus en contrepartie.</w:t>
            </w:r>
          </w:p>
        </w:tc>
      </w:tr>
    </w:tbl>
    <w:p w14:paraId="599BBE32" w14:textId="77777777" w:rsidR="0020702A" w:rsidRDefault="0020702A">
      <w:pPr>
        <w:pStyle w:val="Kop4"/>
        <w:divId w:val="1419013937"/>
        <w:rPr>
          <w:rFonts w:eastAsia="Times New Roman"/>
          <w:lang w:val="fr-FR"/>
        </w:rPr>
      </w:pPr>
      <w:r>
        <w:rPr>
          <w:rFonts w:eastAsia="Times New Roman"/>
          <w:lang w:val="fr-FR"/>
        </w:rPr>
        <w:t>Le raisonnement de CZ</w:t>
      </w:r>
    </w:p>
    <w:p w14:paraId="46DC79CD" w14:textId="77777777" w:rsidR="0020702A" w:rsidRDefault="0020702A">
      <w:pPr>
        <w:numPr>
          <w:ilvl w:val="0"/>
          <w:numId w:val="12"/>
        </w:numPr>
        <w:spacing w:before="100" w:beforeAutospacing="1" w:after="100" w:afterAutospacing="1"/>
        <w:divId w:val="1419013937"/>
        <w:rPr>
          <w:rFonts w:eastAsia="Times New Roman"/>
          <w:lang w:val="fr-FR"/>
        </w:rPr>
      </w:pPr>
      <w:r>
        <w:rPr>
          <w:rFonts w:eastAsia="Times New Roman"/>
          <w:lang w:val="fr-FR"/>
        </w:rPr>
        <w:t>La police d’assurance conventionnelle n’est pas une assurance maladie néerlandaise au sens de la loi sur l’allocation de soins.</w:t>
      </w:r>
    </w:p>
    <w:p w14:paraId="13398E0F" w14:textId="77777777" w:rsidR="0020702A" w:rsidRDefault="0020702A">
      <w:pPr>
        <w:numPr>
          <w:ilvl w:val="0"/>
          <w:numId w:val="12"/>
        </w:numPr>
        <w:spacing w:before="100" w:beforeAutospacing="1" w:after="100" w:afterAutospacing="1"/>
        <w:divId w:val="1419013937"/>
        <w:rPr>
          <w:rFonts w:eastAsia="Times New Roman"/>
          <w:lang w:val="fr-FR"/>
        </w:rPr>
      </w:pPr>
      <w:r>
        <w:rPr>
          <w:rFonts w:eastAsia="Times New Roman"/>
          <w:lang w:val="fr-FR"/>
        </w:rPr>
        <w:t>La prime de la police d’assurance conventionnelle est payée dans le pays de travail (la Belgique), et non aux Pays-Bas.</w:t>
      </w:r>
    </w:p>
    <w:p w14:paraId="220B8E19" w14:textId="77777777" w:rsidR="0020702A" w:rsidRDefault="0020702A">
      <w:pPr>
        <w:numPr>
          <w:ilvl w:val="0"/>
          <w:numId w:val="12"/>
        </w:numPr>
        <w:spacing w:before="100" w:beforeAutospacing="1" w:after="100" w:afterAutospacing="1"/>
        <w:divId w:val="1419013937"/>
        <w:rPr>
          <w:rFonts w:eastAsia="Times New Roman"/>
          <w:lang w:val="fr-FR"/>
        </w:rPr>
      </w:pPr>
      <w:r>
        <w:rPr>
          <w:rFonts w:eastAsia="Times New Roman"/>
          <w:lang w:val="fr-FR"/>
        </w:rPr>
        <w:t>Toute personne assurée en Belgique pour les soins médicaux n’est pas considérée comme un assuré au sens de la loi néerlandaise sur l’aide aux soins de santé.</w:t>
      </w:r>
    </w:p>
    <w:p w14:paraId="305714D9" w14:textId="77777777" w:rsidR="0020702A" w:rsidRDefault="0020702A">
      <w:pPr>
        <w:numPr>
          <w:ilvl w:val="0"/>
          <w:numId w:val="12"/>
        </w:numPr>
        <w:spacing w:before="100" w:beforeAutospacing="1" w:after="100" w:afterAutospacing="1"/>
        <w:divId w:val="1419013937"/>
        <w:rPr>
          <w:rFonts w:eastAsia="Times New Roman"/>
          <w:lang w:val="fr-FR"/>
        </w:rPr>
      </w:pPr>
      <w:r>
        <w:rPr>
          <w:rFonts w:eastAsia="Times New Roman"/>
          <w:lang w:val="fr-FR"/>
        </w:rPr>
        <w:t>Il n’existe donc aucun droit à l’aide aux soins de santé.</w:t>
      </w:r>
    </w:p>
    <w:p w14:paraId="17C7926A" w14:textId="77777777" w:rsidR="0020702A" w:rsidRDefault="0020702A">
      <w:pPr>
        <w:pStyle w:val="Normaalweb"/>
        <w:divId w:val="1419013937"/>
        <w:rPr>
          <w:lang w:val="fr-FR"/>
        </w:rPr>
      </w:pPr>
      <w:r>
        <w:rPr>
          <w:lang w:val="fr-FR"/>
        </w:rPr>
        <w:t>Conséquence : le titulaire d’une police conventionnelle est assuré pour les soins aux Pays-Bas, mais n’est pas assuré pour l’allocation. Le Service des allocations se réfère exclusivement au registre RIV. Ce qui n’y figure pas n’existe pas.</w:t>
      </w:r>
    </w:p>
    <w:p w14:paraId="5E48AE38" w14:textId="77777777" w:rsidR="0020702A" w:rsidRDefault="0020702A">
      <w:pPr>
        <w:pStyle w:val="Kop3"/>
        <w:divId w:val="1419013937"/>
        <w:rPr>
          <w:rFonts w:eastAsia="Times New Roman"/>
          <w:lang w:val="fr-FR"/>
        </w:rPr>
      </w:pPr>
      <w:bookmarkStart w:id="68" w:name="_Toc242103308"/>
      <w:r>
        <w:rPr>
          <w:rFonts w:eastAsia="Times New Roman"/>
          <w:lang w:val="fr-FR"/>
        </w:rPr>
        <w:t>Histoire 1bis — La chaîne du blocage : CZ, CAK, ZIN</w:t>
      </w:r>
      <w:bookmarkEnd w:id="68"/>
    </w:p>
    <w:p w14:paraId="25507FA6" w14:textId="77777777" w:rsidR="0020702A" w:rsidRDefault="0020702A">
      <w:pPr>
        <w:pStyle w:val="Normaalweb"/>
        <w:divId w:val="1419013937"/>
        <w:rPr>
          <w:lang w:val="fr-FR"/>
        </w:rPr>
      </w:pPr>
      <w:r>
        <w:rPr>
          <w:lang w:val="fr-FR"/>
        </w:rPr>
        <w:t>Le refus de CZ d’enregistrer la police d’assurance conventionnelle n’est pas le seul maillon de la chaîne. Le registre RIV — le fichier de référence des assurés au titre de la loi sur l’assurance maladie — est géré par le Bureau central d’administration (CAK). Et l’Institut néerlandais des soins de santé (ZIN) supervise la mise en œuvre. Dans ce dossier, les trois instances concernées refusent de résoudre le problème.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ADD278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C3DCCF6" w14:textId="77777777" w:rsidR="0020702A" w:rsidRDefault="0020702A">
            <w:pPr>
              <w:pStyle w:val="Normaalweb"/>
              <w:spacing w:before="120"/>
              <w:jc w:val="center"/>
              <w:rPr>
                <w:sz w:val="21"/>
                <w:szCs w:val="21"/>
              </w:rPr>
            </w:pPr>
            <w:r>
              <w:rPr>
                <w:noProof/>
                <w:sz w:val="21"/>
                <w:szCs w:val="21"/>
              </w:rPr>
              <w:drawing>
                <wp:inline distT="0" distB="0" distL="0" distR="0" wp14:anchorId="0F24EC6D" wp14:editId="58C16A35">
                  <wp:extent cx="3810000" cy="1524000"/>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09ECC20D" w14:textId="77777777" w:rsidR="0020702A" w:rsidRDefault="0020702A">
            <w:pPr>
              <w:pStyle w:val="caption"/>
              <w:spacing w:after="120" w:afterAutospacing="0"/>
            </w:pPr>
            <w:r>
              <w:rPr>
                <w:rStyle w:val="Zwaar"/>
              </w:rPr>
              <w:t>Figure X.2 — Le triangle fermé.</w:t>
            </w:r>
            <w:r>
              <w:t xml:space="preserve"> CZ refuse l'enregistrement. Le CAK gère le registre mais refuse la synchronisation. Le ZIN assure la surveillance mais refuse l’accès aux dossiers individuels. Chaque organisme renvoie la responsabilité à l’autre. Le citoyen est pris au piège dans un cercle vicieux que personne ne parvient à briser.</w:t>
            </w:r>
          </w:p>
        </w:tc>
      </w:tr>
    </w:tbl>
    <w:p w14:paraId="7142C986" w14:textId="77777777" w:rsidR="0020702A" w:rsidRDefault="0020702A">
      <w:pPr>
        <w:pStyle w:val="Kop4"/>
        <w:divId w:val="1419013937"/>
        <w:rPr>
          <w:rFonts w:eastAsia="Times New Roman"/>
          <w:lang w:val="fr-FR"/>
        </w:rPr>
      </w:pPr>
      <w:r>
        <w:rPr>
          <w:rFonts w:eastAsia="Times New Roman"/>
          <w:lang w:val="fr-FR"/>
        </w:rPr>
        <w:t>Le raisonnement du CAK</w:t>
      </w:r>
    </w:p>
    <w:p w14:paraId="2A3A0534" w14:textId="77777777" w:rsidR="0020702A" w:rsidRDefault="0020702A">
      <w:pPr>
        <w:pStyle w:val="Normaalweb"/>
        <w:divId w:val="1419013937"/>
        <w:rPr>
          <w:lang w:val="fr-FR"/>
        </w:rPr>
      </w:pPr>
      <w:r>
        <w:rPr>
          <w:lang w:val="fr-FR"/>
        </w:rPr>
        <w:t>Le CAK gère le fichier de référence des assurés de la loi sur l’assurance maladie (RIV) et met en œuvre les dispositions conventionnelles. Lorsque, en avril 2026, le patient exige formellement que la police d’assurance conventionnelle active et payée soit inscrite au registre, le CAK révèle une erreur d’architecture fondamentale dans ses propres systèmes.</w:t>
      </w:r>
    </w:p>
    <w:p w14:paraId="0EE6688C" w14:textId="77777777" w:rsidR="0020702A" w:rsidRDefault="0020702A">
      <w:pPr>
        <w:pStyle w:val="Normaalweb"/>
        <w:divId w:val="1419013937"/>
        <w:rPr>
          <w:lang w:val="fr-FR"/>
        </w:rPr>
      </w:pPr>
      <w:r>
        <w:rPr>
          <w:lang w:val="fr-FR"/>
        </w:rPr>
        <w:t>L'organisme refuse d'enregistrer la police en invoquant un argument de procédure. Le CAK affirme qu’il n’enregistre que les travailleurs frontaliers « classiques » : les personnes qui travaillent aux Pays-Bas et résident à l’étranger. Pour la situation inverse — résider aux Pays-Bas, travailler à l’étranger —, il n’existe tout simplement pas de catégorie programmée dans le système.</w:t>
      </w:r>
    </w:p>
    <w:p w14:paraId="38456F5E" w14:textId="77777777" w:rsidR="0020702A" w:rsidRDefault="0020702A">
      <w:pPr>
        <w:pStyle w:val="Normaalweb"/>
        <w:divId w:val="1419013937"/>
        <w:rPr>
          <w:lang w:val="fr-FR"/>
        </w:rPr>
      </w:pPr>
      <w:r>
        <w:rPr>
          <w:lang w:val="fr-FR"/>
        </w:rPr>
        <w:t>Le système ne reconnaît pas ce champ du formulaire. Et au lieu d’ajouter ce champ, le CAK clôt le dossier.</w:t>
      </w:r>
    </w:p>
    <w:p w14:paraId="5ACE3EF1" w14:textId="77777777" w:rsidR="0020702A" w:rsidRDefault="0020702A">
      <w:pPr>
        <w:pStyle w:val="Kop4"/>
        <w:divId w:val="1419013937"/>
        <w:rPr>
          <w:rFonts w:eastAsia="Times New Roman"/>
          <w:lang w:val="fr-FR"/>
        </w:rPr>
      </w:pPr>
      <w:r>
        <w:rPr>
          <w:rFonts w:eastAsia="Times New Roman"/>
          <w:lang w:val="fr-FR"/>
        </w:rPr>
        <w:t>Le raisonnement de ZIN</w:t>
      </w:r>
    </w:p>
    <w:p w14:paraId="35517C91" w14:textId="77777777" w:rsidR="0020702A" w:rsidRDefault="0020702A">
      <w:pPr>
        <w:pStyle w:val="Normaalweb"/>
        <w:divId w:val="1419013937"/>
        <w:rPr>
          <w:lang w:val="fr-FR"/>
        </w:rPr>
      </w:pPr>
      <w:r>
        <w:rPr>
          <w:lang w:val="fr-FR"/>
        </w:rPr>
        <w:t>L’Institut néerlandais des soins de santé (Zorginstituut Nederland) gère et supervise le registre RIV. Lorsque le patient demande à l’institut, en avril 2026, d’examiner et de corriger l’exclusion du registre, celui-ci déclare ne pas avoir accès aux données à caractère personnel individuelles. Il refuse de vérifier le registre et renvoie à CZ et à CAK.</w:t>
      </w:r>
    </w:p>
    <w:p w14:paraId="1224986D" w14:textId="77777777" w:rsidR="0020702A" w:rsidRDefault="0020702A">
      <w:pPr>
        <w:pStyle w:val="Normaalweb"/>
        <w:divId w:val="1419013937"/>
        <w:rPr>
          <w:lang w:val="fr-FR"/>
        </w:rPr>
      </w:pPr>
      <w:r>
        <w:rPr>
          <w:lang w:val="fr-FR"/>
        </w:rPr>
        <w:t>L'organisme qui gère le registre ne peut pas consulter ce dernier. C'est là l'essence même du triangle fermé : chaque organisme dispose d'une partie des compétences, mais aucun ne détient l'ensemble.</w:t>
      </w:r>
    </w:p>
    <w:p w14:paraId="20F84798" w14:textId="77777777" w:rsidR="0020702A" w:rsidRDefault="0020702A">
      <w:pPr>
        <w:pStyle w:val="Kop3"/>
        <w:divId w:val="1419013937"/>
        <w:rPr>
          <w:rFonts w:eastAsia="Times New Roman"/>
          <w:lang w:val="fr-FR"/>
        </w:rPr>
      </w:pPr>
      <w:bookmarkStart w:id="69" w:name="_Toc242103309"/>
      <w:r>
        <w:rPr>
          <w:rFonts w:eastAsia="Times New Roman"/>
          <w:lang w:val="fr-FR"/>
        </w:rPr>
        <w:t>Histoire n° 2 — Le transport médical</w:t>
      </w:r>
      <w:bookmarkEnd w:id="69"/>
    </w:p>
    <w:p w14:paraId="6FDF5C52" w14:textId="77777777" w:rsidR="0020702A" w:rsidRDefault="0020702A">
      <w:pPr>
        <w:pStyle w:val="Normaalweb"/>
        <w:divId w:val="1419013937"/>
        <w:rPr>
          <w:lang w:val="fr-FR"/>
        </w:rPr>
      </w:pPr>
      <w:r>
        <w:rPr>
          <w:lang w:val="fr-FR"/>
        </w:rPr>
        <w:t>En raison d’amputations et d’une perte de la vue, le patient ne peut plus conduire de manière autonome. Ses soignants se trouvent en Belgique. Il réside aux Pays-Bas. Pour ces déplacements, il a besoin d’un transport adapté — un transport médical en position assise. Aux Pays-Bas, ce service est pris en charge par l’assureur maladie. Dans le cadre d’une police d’assurance conventionnée, il s’agit de la référence CZ.</w:t>
      </w:r>
    </w:p>
    <w:p w14:paraId="66E5A847" w14:textId="77777777" w:rsidR="0020702A" w:rsidRDefault="0020702A">
      <w:pPr>
        <w:pStyle w:val="Kop4"/>
        <w:divId w:val="1419013937"/>
        <w:rPr>
          <w:rFonts w:eastAsia="Times New Roman"/>
          <w:lang w:val="fr-FR"/>
        </w:rPr>
      </w:pPr>
      <w:r>
        <w:rPr>
          <w:rFonts w:eastAsia="Times New Roman"/>
          <w:lang w:val="fr-FR"/>
        </w:rPr>
        <w:t>Ce qu’exige CZ</w:t>
      </w:r>
    </w:p>
    <w:p w14:paraId="13759A9D" w14:textId="77777777" w:rsidR="0020702A" w:rsidRDefault="0020702A">
      <w:pPr>
        <w:pStyle w:val="Normaalweb"/>
        <w:divId w:val="1419013937"/>
        <w:rPr>
          <w:lang w:val="fr-FR"/>
        </w:rPr>
      </w:pPr>
      <w:r>
        <w:rPr>
          <w:lang w:val="fr-FR"/>
        </w:rPr>
        <w:t xml:space="preserve">Le 18 mars 2026, le patient dépose une demande d’autorisation de transport médical en position assise vers l’hôpital belge. Le 25 mars, CZ envoie une demande d’informations : une </w:t>
      </w:r>
      <w:r>
        <w:rPr>
          <w:rStyle w:val="Zwaar"/>
          <w:lang w:val="fr-FR"/>
        </w:rPr>
        <w:t>périmétrie</w:t>
      </w:r>
      <w:r>
        <w:rPr>
          <w:lang w:val="fr-FR"/>
        </w:rPr>
        <w:t xml:space="preserve"> est nécessaire — un examen du champ visuel.</w:t>
      </w:r>
    </w:p>
    <w:p w14:paraId="21B94550" w14:textId="77777777" w:rsidR="0020702A" w:rsidRDefault="0020702A">
      <w:pPr>
        <w:pStyle w:val="Normaalweb"/>
        <w:divId w:val="1419013937"/>
        <w:rPr>
          <w:lang w:val="fr-FR"/>
        </w:rPr>
      </w:pPr>
      <w:r>
        <w:rPr>
          <w:lang w:val="fr-FR"/>
        </w:rPr>
        <w:t>Qu’est-ce que la périmétrie ? Un examen ophtalmologique consistant à mesurer le périmètre complet du champ visuel. Il s’agit d’un examen standard en ophtalmologie néerlandaise. Ce n’est pas un examen standard dans le protocole belge pour cette affection spécifique — la rétinopathie diabétique avec œdème maculaire. L’hôpital belge ne la réalise pas chez ce patient, car elle ne figure pas dans le protocole de traitement.</w:t>
      </w:r>
    </w:p>
    <w:p w14:paraId="5BA4E474" w14:textId="77777777" w:rsidR="0020702A" w:rsidRDefault="0020702A">
      <w:pPr>
        <w:pStyle w:val="Normaalweb"/>
        <w:divId w:val="1419013937"/>
        <w:rPr>
          <w:lang w:val="fr-FR"/>
        </w:rPr>
      </w:pPr>
      <w:r>
        <w:rPr>
          <w:lang w:val="fr-FR"/>
        </w:rPr>
        <w:t>Conséquence : le patient ne peut pas fournir la preuve, car cet examen n’existe pas dans le pays où il est traité.</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540D1C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FDD208A" w14:textId="77777777" w:rsidR="0020702A" w:rsidRDefault="0020702A">
            <w:pPr>
              <w:pStyle w:val="Normaalweb"/>
              <w:spacing w:before="120"/>
              <w:jc w:val="center"/>
              <w:rPr>
                <w:sz w:val="21"/>
                <w:szCs w:val="21"/>
              </w:rPr>
            </w:pPr>
            <w:r>
              <w:rPr>
                <w:noProof/>
                <w:sz w:val="21"/>
                <w:szCs w:val="21"/>
              </w:rPr>
              <w:drawing>
                <wp:inline distT="0" distB="0" distL="0" distR="0" wp14:anchorId="7F6A4D37" wp14:editId="57404C71">
                  <wp:extent cx="3810000" cy="1041400"/>
                  <wp:effectExtent l="0" t="0" r="0" b="635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41362546" w14:textId="77777777" w:rsidR="0020702A" w:rsidRDefault="0020702A">
            <w:pPr>
              <w:pStyle w:val="caption"/>
              <w:spacing w:after="120" w:afterAutospacing="0"/>
            </w:pPr>
            <w:r>
              <w:t>CZ exige un examen qui n’est pas systématiquement réalisé dans le pays de traitement. Le patient ne peut pas fournir la preuve, non pas parce qu’il ne le souhaite pas, mais parce que cet examen n’existe pas dans le protocole de son praticien.</w:t>
            </w:r>
          </w:p>
        </w:tc>
      </w:tr>
    </w:tbl>
    <w:p w14:paraId="32BCE051" w14:textId="77777777" w:rsidR="0020702A" w:rsidRDefault="0020702A">
      <w:pPr>
        <w:pStyle w:val="Kop4"/>
        <w:divId w:val="1419013937"/>
        <w:rPr>
          <w:rFonts w:eastAsia="Times New Roman"/>
          <w:lang w:val="fr-FR"/>
        </w:rPr>
      </w:pPr>
      <w:r>
        <w:rPr>
          <w:rFonts w:eastAsia="Times New Roman"/>
          <w:lang w:val="fr-FR"/>
        </w:rPr>
        <w:t>La valse des procédures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7B669E5"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2F6442B" w14:textId="77777777" w:rsidR="0020702A" w:rsidRDefault="0020702A">
            <w:pPr>
              <w:pStyle w:val="Normaalweb"/>
              <w:spacing w:before="120"/>
              <w:jc w:val="center"/>
              <w:rPr>
                <w:sz w:val="21"/>
                <w:szCs w:val="21"/>
              </w:rPr>
            </w:pPr>
            <w:r>
              <w:rPr>
                <w:noProof/>
                <w:sz w:val="21"/>
                <w:szCs w:val="21"/>
              </w:rPr>
              <w:drawing>
                <wp:inline distT="0" distB="0" distL="0" distR="0" wp14:anchorId="11ADB37B" wp14:editId="6803076A">
                  <wp:extent cx="3810000" cy="228600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0CA1D6B4" w14:textId="77777777" w:rsidR="0020702A" w:rsidRDefault="0020702A">
            <w:pPr>
              <w:pStyle w:val="caption"/>
              <w:spacing w:after="120" w:afterAutospacing="0"/>
            </w:pPr>
            <w:r>
              <w:rPr>
                <w:rStyle w:val="Zwaar"/>
              </w:rPr>
              <w:t>Figure X.4 — La valse.</w:t>
            </w:r>
            <w:r>
              <w:t xml:space="preserve"> Cinq cycles, trois refus, une escalade. À chaque fois, une nouvelle exigence procédurale. À chaque fois, elle est acceptée. Et à chaque fois, le seuil se déplace. Le patient fournit la preuve, mais le protocole ne l’accepte pas.</w:t>
            </w:r>
          </w:p>
        </w:tc>
      </w:tr>
    </w:tbl>
    <w:p w14:paraId="6C093A00" w14:textId="77777777" w:rsidR="0020702A" w:rsidRDefault="0020702A">
      <w:pPr>
        <w:pStyle w:val="Kop3"/>
        <w:divId w:val="1419013937"/>
        <w:rPr>
          <w:rFonts w:eastAsia="Times New Roman"/>
          <w:lang w:val="fr-FR"/>
        </w:rPr>
      </w:pPr>
      <w:bookmarkStart w:id="70" w:name="_Toc242103310"/>
      <w:r>
        <w:rPr>
          <w:rFonts w:eastAsia="Times New Roman"/>
          <w:lang w:val="fr-FR"/>
        </w:rPr>
        <w:t>Partie C — Le parallèle : CZ et MC</w:t>
      </w:r>
      <w:bookmarkEnd w:id="7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5D5F025"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902FA9A" w14:textId="77777777" w:rsidR="0020702A" w:rsidRDefault="0020702A">
            <w:pPr>
              <w:pStyle w:val="Normaalweb"/>
              <w:spacing w:before="120"/>
              <w:jc w:val="center"/>
              <w:rPr>
                <w:sz w:val="21"/>
                <w:szCs w:val="21"/>
              </w:rPr>
            </w:pPr>
            <w:r>
              <w:rPr>
                <w:noProof/>
                <w:sz w:val="21"/>
                <w:szCs w:val="21"/>
              </w:rPr>
              <w:drawing>
                <wp:inline distT="0" distB="0" distL="0" distR="0" wp14:anchorId="42835E36" wp14:editId="342419EA">
                  <wp:extent cx="3810000" cy="1670050"/>
                  <wp:effectExtent l="0" t="0" r="0" b="635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10000" cy="1670050"/>
                          </a:xfrm>
                          <a:prstGeom prst="rect">
                            <a:avLst/>
                          </a:prstGeom>
                          <a:noFill/>
                          <a:ln>
                            <a:noFill/>
                          </a:ln>
                        </pic:spPr>
                      </pic:pic>
                    </a:graphicData>
                  </a:graphic>
                </wp:inline>
              </w:drawing>
            </w:r>
          </w:p>
          <w:p w14:paraId="4254AF4D" w14:textId="77777777" w:rsidR="0020702A" w:rsidRDefault="0020702A">
            <w:pPr>
              <w:pStyle w:val="caption"/>
              <w:spacing w:after="120" w:afterAutospacing="0"/>
            </w:pPr>
            <w:r>
              <w:rPr>
                <w:rStyle w:val="Zwaar"/>
              </w:rPr>
              <w:t>Figure X.5 — Le parallèle.</w:t>
            </w:r>
            <w:r>
              <w:t xml:space="preserve"> </w:t>
            </w:r>
            <w:r>
              <w:t>MC et CZ suivent la même logique : la preuve médicale est reconnue lorsqu’elle s’inscrit dans le cadre du protocole, et rejetée lorsque celui-ci impose une condition de forme que le patient ne peut remplir. C’est le protocole qui fait autorité, pas le corps.</w:t>
            </w:r>
          </w:p>
        </w:tc>
      </w:tr>
    </w:tbl>
    <w:p w14:paraId="3B6A86BF" w14:textId="77777777" w:rsidR="0020702A" w:rsidRDefault="0020702A">
      <w:pPr>
        <w:pStyle w:val="Kop3"/>
        <w:divId w:val="1419013937"/>
        <w:rPr>
          <w:rFonts w:eastAsia="Times New Roman"/>
          <w:lang w:val="fr-FR"/>
        </w:rPr>
      </w:pPr>
      <w:bookmarkStart w:id="71" w:name="_Toc242103311"/>
      <w:r>
        <w:rPr>
          <w:rFonts w:eastAsia="Times New Roman"/>
          <w:lang w:val="fr-FR"/>
        </w:rPr>
        <w:t>Partie D — Ce que cela apporte</w:t>
      </w:r>
      <w:bookmarkEnd w:id="71"/>
    </w:p>
    <w:p w14:paraId="00C015EC" w14:textId="77777777" w:rsidR="0020702A" w:rsidRDefault="0020702A">
      <w:pPr>
        <w:pStyle w:val="Normaalweb"/>
        <w:divId w:val="1419013937"/>
        <w:rPr>
          <w:lang w:val="fr-FR"/>
        </w:rPr>
      </w:pPr>
      <w:r>
        <w:rPr>
          <w:lang w:val="fr-FR"/>
        </w:rPr>
        <w:t>Dans les deux cas, le patient a fourni toutes les preuves qu’il était en mesure d’apporter. Dans le premier cas : une police d’assurance souscrite en vertu d’une convention, des primes payées, un organisme d’exécution en Belgique. Dans le second cas : un dossier médical complet comprenant les amputations, les valeurs de vision et un rapport académique d’un hôpital universitaire.</w:t>
      </w:r>
    </w:p>
    <w:p w14:paraId="6415AB9D" w14:textId="77777777" w:rsidR="0020702A" w:rsidRDefault="0020702A">
      <w:pPr>
        <w:pStyle w:val="Normaalweb"/>
        <w:divId w:val="1419013937"/>
        <w:rPr>
          <w:lang w:val="fr-FR"/>
        </w:rPr>
      </w:pPr>
      <w:r>
        <w:rPr>
          <w:lang w:val="fr-FR"/>
        </w:rPr>
        <w:t>Dans les deux cas, CZ rejette la demande pour des raisons de procédure. La police d’assurance conventionnelle n’est pas une assurance néerlandaise. La périmétrie fait défaut. Le calcul du kilométrage est erroné. L’ancienne lettre a plus de poids que le nouveau rapport.</w:t>
      </w:r>
    </w:p>
    <w:p w14:paraId="2E659EAC" w14:textId="77777777" w:rsidR="0020702A" w:rsidRDefault="0020702A">
      <w:pPr>
        <w:pStyle w:val="Normaalweb"/>
        <w:divId w:val="1419013937"/>
        <w:rPr>
          <w:lang w:val="fr-FR"/>
        </w:rPr>
      </w:pPr>
      <w:r>
        <w:rPr>
          <w:lang w:val="fr-FR"/>
        </w:rPr>
        <w:t>Le fond du problème n’est pas que CZ commette des erreurs. Le fond du problème, c’est que le protocole CZ prime sur la réalité médicale. Et comme la loi donne à CZ la latitude de suivre ce protocole, il n’y a pas de violation. Seulement une issue que la famille ne peut pas supporter. Et le triangle CZ-CAK-ZIN se referme sur la famille sans laisser la moindre issue.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A710149"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B84FC5D"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en cas de refus CZ pour des raisons liées au protocole, quatre voies s’offrent à vous : </w:t>
            </w:r>
          </w:p>
          <w:p w14:paraId="07D22107" w14:textId="77777777" w:rsidR="0020702A" w:rsidRDefault="0020702A">
            <w:pPr>
              <w:numPr>
                <w:ilvl w:val="0"/>
                <w:numId w:val="13"/>
              </w:numPr>
              <w:spacing w:before="100" w:beforeAutospacing="1" w:after="100" w:afterAutospacing="1"/>
              <w:rPr>
                <w:rFonts w:eastAsia="Times New Roman"/>
                <w:szCs w:val="22"/>
              </w:rPr>
            </w:pPr>
            <w:r>
              <w:rPr>
                <w:rFonts w:eastAsia="Times New Roman"/>
                <w:szCs w:val="22"/>
              </w:rPr>
              <w:t>Recours formel auprès de CZ lui-même, en mettant l’accent sur l’impossibilité de fournir la preuve demandée (incompatibilité avec le protocole). Joindre une attestation du médecin traitant indiquant que l’examen demandé ne figure pas dans le protocole de traitement.</w:t>
            </w:r>
          </w:p>
          <w:p w14:paraId="2349C796" w14:textId="77777777" w:rsidR="0020702A" w:rsidRDefault="0020702A">
            <w:pPr>
              <w:numPr>
                <w:ilvl w:val="0"/>
                <w:numId w:val="13"/>
              </w:numPr>
              <w:spacing w:before="100" w:beforeAutospacing="1" w:after="100" w:afterAutospacing="1"/>
              <w:rPr>
                <w:rFonts w:eastAsia="Times New Roman"/>
                <w:szCs w:val="22"/>
              </w:rPr>
            </w:pPr>
            <w:r>
              <w:rPr>
                <w:rFonts w:eastAsia="Times New Roman"/>
                <w:szCs w:val="22"/>
              </w:rPr>
              <w:t>Transmettez le dossier au Bureau des affaires belges (BBZ) auprès du SVB. Le BBZ peut exercer une pression, mais ne dispose d’aucun pouvoir contraignant.</w:t>
            </w:r>
          </w:p>
          <w:p w14:paraId="607A8840" w14:textId="77777777" w:rsidR="0020702A" w:rsidRDefault="0020702A">
            <w:pPr>
              <w:numPr>
                <w:ilvl w:val="0"/>
                <w:numId w:val="13"/>
              </w:numPr>
              <w:spacing w:before="100" w:beforeAutospacing="1" w:after="100" w:afterAutospacing="1"/>
              <w:rPr>
                <w:rFonts w:eastAsia="Times New Roman"/>
                <w:szCs w:val="22"/>
              </w:rPr>
            </w:pPr>
            <w:r>
              <w:rPr>
                <w:rFonts w:eastAsia="Times New Roman"/>
                <w:szCs w:val="22"/>
              </w:rPr>
              <w:t>Pour l'allocation de soins : recours formel auprès du Service des allocations sur la base des relevés de déclaration CZ attestant que vous avez payé la franchise néerlandaise.</w:t>
            </w:r>
          </w:p>
          <w:p w14:paraId="57C9F962" w14:textId="77777777" w:rsidR="0020702A" w:rsidRDefault="0020702A">
            <w:pPr>
              <w:numPr>
                <w:ilvl w:val="0"/>
                <w:numId w:val="13"/>
              </w:numPr>
              <w:spacing w:before="100" w:beforeAutospacing="1" w:after="100" w:afterAutospacing="1"/>
              <w:rPr>
                <w:rFonts w:eastAsia="Times New Roman"/>
                <w:szCs w:val="22"/>
              </w:rPr>
            </w:pPr>
            <w:r>
              <w:rPr>
                <w:rFonts w:eastAsia="Times New Roman"/>
                <w:szCs w:val="22"/>
              </w:rPr>
              <w:t>Demande d’accès en vertu de l’article 15 du RGPD auprès de CZ, CAK et ZIN, portant sur les fichiers journaux EESSI et les tentatives d'enregistrement RIV. Cela permet de rendre la communication mesurable et peut encore imposer une correction manuelle.</w:t>
            </w:r>
          </w:p>
        </w:tc>
      </w:tr>
    </w:tbl>
    <w:p w14:paraId="5C4B41CF"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Les faits sont bas</w:t>
      </w:r>
      <w:r>
        <w:rPr>
          <w:rFonts w:cs="Aptos"/>
          <w:lang w:val="fr-FR"/>
        </w:rPr>
        <w:t>é</w:t>
      </w:r>
      <w:r>
        <w:rPr>
          <w:lang w:val="fr-FR"/>
        </w:rPr>
        <w:t>s sur le document B. Ce chapitre ne constitue pas un avis juridique.</w:t>
      </w:r>
    </w:p>
    <w:p w14:paraId="6E60F0AC" w14:textId="77777777" w:rsidR="0020702A" w:rsidRDefault="0020702A">
      <w:pPr>
        <w:pStyle w:val="marker"/>
        <w:ind w:left="800" w:right="800"/>
        <w:divId w:val="1419013937"/>
        <w:rPr>
          <w:lang w:val="fr-FR"/>
        </w:rPr>
      </w:pPr>
      <w:r>
        <w:br w:type="page"/>
      </w:r>
    </w:p>
    <w:p w14:paraId="01A16384" w14:textId="77777777" w:rsidR="0020702A" w:rsidRDefault="0020702A">
      <w:pPr>
        <w:pStyle w:val="Kop2"/>
        <w:divId w:val="1419013937"/>
        <w:rPr>
          <w:rFonts w:eastAsia="Times New Roman"/>
          <w:lang w:val="fr-FR"/>
        </w:rPr>
      </w:pPr>
      <w:bookmarkStart w:id="72" w:name="_Toc242103312"/>
      <w:r>
        <w:rPr>
          <w:rFonts w:eastAsia="Times New Roman"/>
          <w:lang w:val="fr-FR"/>
        </w:rPr>
        <w:t>L'escalier de la commune de Hulst</w:t>
      </w:r>
      <w:bookmarkEnd w:id="72"/>
    </w:p>
    <w:p w14:paraId="277377FA" w14:textId="77777777" w:rsidR="0020702A" w:rsidRDefault="0020702A">
      <w:pPr>
        <w:pStyle w:val="lead"/>
        <w:divId w:val="1419013937"/>
        <w:rPr>
          <w:lang w:val="fr-FR"/>
        </w:rPr>
      </w:pPr>
      <w:r>
        <w:rPr>
          <w:lang w:val="fr-FR"/>
        </w:rPr>
        <w:t>Aux Pays-Bas, la commune est le premier recours pour les personnes en situation de détresse financière. Pour un travailleur frontalier de la Flandre zélandaise, la commune de Hulst serait le lieu logique où demander une aide sociale, une aide spéciale ou un soutien social. La réalité est tout autre. La commune reçoit l’appel à l’aide, mais n’accorde pas d’argent. Elle propose du matériel et de l’aide. Et elle utilise des modèles de calcul qui ne tiennent pas compte de la situation réelle. Entre-temps, un re</w:t>
      </w:r>
      <w:r>
        <w:rPr>
          <w:lang w:val="fr-FR"/>
        </w:rPr>
        <w:t>cours formel est en cours d’examen — mais la décision à ce sujet a de nouveau été reportée.</w:t>
      </w:r>
    </w:p>
    <w:p w14:paraId="13CE6E11" w14:textId="77777777" w:rsidR="0020702A" w:rsidRDefault="0020702A">
      <w:pPr>
        <w:pStyle w:val="Kop3"/>
        <w:divId w:val="1419013937"/>
        <w:rPr>
          <w:rFonts w:eastAsia="Times New Roman"/>
          <w:lang w:val="fr-FR"/>
        </w:rPr>
      </w:pPr>
      <w:bookmarkStart w:id="73" w:name="_Toc242103313"/>
      <w:r>
        <w:rPr>
          <w:rFonts w:eastAsia="Times New Roman"/>
          <w:lang w:val="fr-FR"/>
        </w:rPr>
        <w:t>Partie A — La commune, première ligne d’aide qui n’aide pas</w:t>
      </w:r>
      <w:bookmarkEnd w:id="73"/>
    </w:p>
    <w:p w14:paraId="716142A6" w14:textId="77777777" w:rsidR="0020702A" w:rsidRDefault="0020702A">
      <w:pPr>
        <w:pStyle w:val="Kop4"/>
        <w:divId w:val="1419013937"/>
        <w:rPr>
          <w:rFonts w:eastAsia="Times New Roman"/>
          <w:lang w:val="fr-FR"/>
        </w:rPr>
      </w:pPr>
      <w:r>
        <w:rPr>
          <w:rFonts w:eastAsia="Times New Roman"/>
          <w:lang w:val="fr-FR"/>
        </w:rPr>
        <w:t>Ce que la commune aurait pu faire</w:t>
      </w:r>
    </w:p>
    <w:p w14:paraId="3B46D2E7" w14:textId="77777777" w:rsidR="0020702A" w:rsidRDefault="0020702A">
      <w:pPr>
        <w:pStyle w:val="Normaalweb"/>
        <w:divId w:val="1419013937"/>
        <w:rPr>
          <w:lang w:val="fr-FR"/>
        </w:rPr>
      </w:pPr>
      <w:r>
        <w:rPr>
          <w:lang w:val="fr-FR"/>
        </w:rPr>
        <w:t>Dans le système social néerlandais, la commune dispose de trois outils pour pallier les difficultés financières :</w:t>
      </w:r>
    </w:p>
    <w:p w14:paraId="2715BC10" w14:textId="77777777" w:rsidR="0020702A" w:rsidRDefault="0020702A">
      <w:pPr>
        <w:numPr>
          <w:ilvl w:val="0"/>
          <w:numId w:val="14"/>
        </w:numPr>
        <w:spacing w:before="100" w:beforeAutospacing="1" w:after="100" w:afterAutospacing="1"/>
        <w:divId w:val="1419013937"/>
        <w:rPr>
          <w:rFonts w:eastAsia="Times New Roman"/>
          <w:lang w:val="fr-FR"/>
        </w:rPr>
      </w:pPr>
      <w:r>
        <w:rPr>
          <w:rStyle w:val="Zwaar"/>
          <w:rFonts w:eastAsia="Times New Roman"/>
          <w:lang w:val="fr-FR"/>
        </w:rPr>
        <w:t>L'aide sociale</w:t>
      </w:r>
      <w:r>
        <w:rPr>
          <w:rFonts w:eastAsia="Times New Roman"/>
          <w:lang w:val="fr-FR"/>
        </w:rPr>
        <w:t xml:space="preserve"> (loi sur la participation) — une allocation mensuelle pour les personnes sans revenu ou à faible revenu.</w:t>
      </w:r>
    </w:p>
    <w:p w14:paraId="07DC8AFB" w14:textId="77777777" w:rsidR="0020702A" w:rsidRDefault="0020702A">
      <w:pPr>
        <w:numPr>
          <w:ilvl w:val="0"/>
          <w:numId w:val="14"/>
        </w:numPr>
        <w:spacing w:before="100" w:beforeAutospacing="1" w:after="100" w:afterAutospacing="1"/>
        <w:divId w:val="1419013937"/>
        <w:rPr>
          <w:rFonts w:eastAsia="Times New Roman"/>
          <w:lang w:val="fr-FR"/>
        </w:rPr>
      </w:pPr>
      <w:r>
        <w:rPr>
          <w:rStyle w:val="Zwaar"/>
          <w:rFonts w:eastAsia="Times New Roman"/>
          <w:lang w:val="fr-FR"/>
        </w:rPr>
        <w:t>L’aide sociale spéciale</w:t>
      </w:r>
      <w:r>
        <w:rPr>
          <w:rFonts w:eastAsia="Times New Roman"/>
          <w:lang w:val="fr-FR"/>
        </w:rPr>
        <w:t xml:space="preserve"> — une aide ponctuelle destinée à couvrir des dépenses imprévues mais nécessaires.</w:t>
      </w:r>
    </w:p>
    <w:p w14:paraId="32CC7881" w14:textId="77777777" w:rsidR="0020702A" w:rsidRDefault="0020702A">
      <w:pPr>
        <w:numPr>
          <w:ilvl w:val="0"/>
          <w:numId w:val="14"/>
        </w:numPr>
        <w:spacing w:before="100" w:beforeAutospacing="1" w:after="100" w:afterAutospacing="1"/>
        <w:divId w:val="1419013937"/>
        <w:rPr>
          <w:rFonts w:eastAsia="Times New Roman"/>
          <w:lang w:val="fr-FR"/>
        </w:rPr>
      </w:pPr>
      <w:r>
        <w:rPr>
          <w:rStyle w:val="Zwaar"/>
          <w:rFonts w:eastAsia="Times New Roman"/>
          <w:lang w:val="fr-FR"/>
        </w:rPr>
        <w:t>Aide au titre de la loi Wmo</w:t>
      </w:r>
      <w:r>
        <w:rPr>
          <w:rFonts w:eastAsia="Times New Roman"/>
          <w:lang w:val="fr-FR"/>
        </w:rPr>
        <w:t xml:space="preserve"> — un soutien social, comprenant notamment une aide ménagère et des services de transport.</w:t>
      </w:r>
    </w:p>
    <w:p w14:paraId="6937C4FA" w14:textId="77777777" w:rsidR="0020702A" w:rsidRDefault="0020702A">
      <w:pPr>
        <w:pStyle w:val="Normaalweb"/>
        <w:divId w:val="1419013937"/>
        <w:rPr>
          <w:lang w:val="fr-FR"/>
        </w:rPr>
      </w:pPr>
      <w:r>
        <w:rPr>
          <w:lang w:val="fr-FR"/>
        </w:rPr>
        <w:t>Ces trois dispositifs sont destinés à intervenir en cas de perte de revenus ou de revenus insuffisants. Pour un travailleur frontalier confronté à une crise médicale et dont les revenus sont totalement bloqués, c’est exactement la situation pour laquelle ils ont été créés.</w:t>
      </w:r>
    </w:p>
    <w:p w14:paraId="1B8C9C0A" w14:textId="77777777" w:rsidR="0020702A" w:rsidRDefault="0020702A">
      <w:pPr>
        <w:pStyle w:val="Kop4"/>
        <w:divId w:val="1419013937"/>
        <w:rPr>
          <w:rFonts w:eastAsia="Times New Roman"/>
          <w:lang w:val="fr-FR"/>
        </w:rPr>
      </w:pPr>
      <w:r>
        <w:rPr>
          <w:rFonts w:eastAsia="Times New Roman"/>
          <w:lang w:val="fr-FR"/>
        </w:rPr>
        <w:t>Ce qu’a fait la commune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2018873"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C4AF0B7" w14:textId="77777777" w:rsidR="0020702A" w:rsidRDefault="0020702A">
            <w:pPr>
              <w:pStyle w:val="Normaalweb"/>
              <w:spacing w:before="120"/>
              <w:jc w:val="center"/>
              <w:rPr>
                <w:sz w:val="21"/>
                <w:szCs w:val="21"/>
              </w:rPr>
            </w:pPr>
            <w:r>
              <w:rPr>
                <w:noProof/>
                <w:sz w:val="21"/>
                <w:szCs w:val="21"/>
              </w:rPr>
              <w:drawing>
                <wp:inline distT="0" distB="0" distL="0" distR="0" wp14:anchorId="62C32F6D" wp14:editId="67AB5D38">
                  <wp:extent cx="3810000" cy="2355850"/>
                  <wp:effectExtent l="0" t="0" r="0" b="635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10000" cy="2355850"/>
                          </a:xfrm>
                          <a:prstGeom prst="rect">
                            <a:avLst/>
                          </a:prstGeom>
                          <a:noFill/>
                          <a:ln>
                            <a:noFill/>
                          </a:ln>
                        </pic:spPr>
                      </pic:pic>
                    </a:graphicData>
                  </a:graphic>
                </wp:inline>
              </w:drawing>
            </w:r>
          </w:p>
        </w:tc>
      </w:tr>
    </w:tbl>
    <w:p w14:paraId="6FDC9A3D" w14:textId="77777777" w:rsidR="0020702A" w:rsidRDefault="0020702A">
      <w:pPr>
        <w:pStyle w:val="caption"/>
        <w:spacing w:after="120" w:afterAutospacing="0"/>
        <w:divId w:val="1419013937"/>
        <w:rPr>
          <w:lang w:val="fr-FR"/>
        </w:rPr>
      </w:pPr>
      <w:r>
        <w:rPr>
          <w:rStyle w:val="Zwaar"/>
          <w:lang w:val="fr-FR"/>
        </w:rPr>
        <w:t>Figure XI.1 — La première ligne d’assistance qui n’aide pas.</w:t>
      </w:r>
      <w:r>
        <w:rPr>
          <w:lang w:val="fr-FR"/>
        </w:rPr>
        <w:t xml:space="preserve"> La commune reçoit six notifications formelles, réparties sur onze mois. À chaque fois, la réponse est de nature purement procédurale, voire inexistante. L’aide sociale et l’aide spéciale ne font l’objet d’aucune évaluation. La seule procédure officielle en cours est le recours du 22 juillet 2026 — et la décision relative à celui-ci a été reportée.</w:t>
      </w:r>
    </w:p>
    <w:p w14:paraId="7D15F6AA" w14:textId="77777777" w:rsidR="0020702A" w:rsidRDefault="0020702A">
      <w:pPr>
        <w:pStyle w:val="Kop3"/>
        <w:divId w:val="1419013937"/>
        <w:rPr>
          <w:rFonts w:eastAsia="Times New Roman"/>
          <w:lang w:val="fr-FR"/>
        </w:rPr>
      </w:pPr>
      <w:bookmarkStart w:id="74" w:name="_Toc242103314"/>
      <w:r>
        <w:rPr>
          <w:rFonts w:eastAsia="Times New Roman"/>
          <w:lang w:val="fr-FR"/>
        </w:rPr>
        <w:t>Partie B — Le recours en cours</w:t>
      </w:r>
      <w:bookmarkEnd w:id="74"/>
    </w:p>
    <w:p w14:paraId="4EA4D629" w14:textId="77777777" w:rsidR="0020702A" w:rsidRDefault="0020702A">
      <w:pPr>
        <w:pStyle w:val="Normaalweb"/>
        <w:divId w:val="1419013937"/>
        <w:rPr>
          <w:lang w:val="fr-FR"/>
        </w:rPr>
      </w:pPr>
      <w:r>
        <w:rPr>
          <w:lang w:val="fr-FR"/>
        </w:rPr>
        <w:t>La seule procédure formelle restante est le recours déposé le 22 juillet 2026 contre la décision du 22 juin 2026 relative à l’aide spéciale. C’est le premier moment où la commune doit examiner formellement la demande. La commune a réagi en reportant le délai de décision.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EFE886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4B8CD38" w14:textId="77777777" w:rsidR="0020702A" w:rsidRDefault="0020702A">
            <w:pPr>
              <w:pStyle w:val="Normaalweb"/>
              <w:spacing w:before="120"/>
              <w:jc w:val="center"/>
              <w:rPr>
                <w:sz w:val="21"/>
                <w:szCs w:val="21"/>
              </w:rPr>
            </w:pPr>
            <w:r>
              <w:rPr>
                <w:noProof/>
                <w:sz w:val="21"/>
                <w:szCs w:val="21"/>
              </w:rPr>
              <w:drawing>
                <wp:inline distT="0" distB="0" distL="0" distR="0" wp14:anchorId="04367FBA" wp14:editId="663057F6">
                  <wp:extent cx="3810000" cy="1181100"/>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60A5AD84" w14:textId="77777777" w:rsidR="0020702A" w:rsidRDefault="0020702A">
            <w:pPr>
              <w:pStyle w:val="caption"/>
              <w:spacing w:after="120" w:afterAutospacing="0"/>
            </w:pPr>
            <w:r>
              <w:rPr>
                <w:rStyle w:val="Zwaar"/>
              </w:rPr>
              <w:t>Figure XI.2 — Le recours en cours.</w:t>
            </w:r>
            <w:r>
              <w:t xml:space="preserve"> </w:t>
            </w:r>
            <w:r>
              <w:t>Le recours contre la décision relative à l’aide spéciale a été déposé le 22 juillet 2026. La commune en a accusé réception le 21 septembre 2026 et a reporté le délai de décision de six semaines. Le demandeur n’a pas sollicité d’explications orales, les motifs ayant déjà été suffisamment exposés.</w:t>
            </w:r>
          </w:p>
        </w:tc>
      </w:tr>
    </w:tbl>
    <w:p w14:paraId="15C4B7E2" w14:textId="77777777" w:rsidR="0020702A" w:rsidRDefault="0020702A">
      <w:pPr>
        <w:pStyle w:val="Kop3"/>
        <w:divId w:val="1419013937"/>
        <w:rPr>
          <w:rFonts w:eastAsia="Times New Roman"/>
          <w:lang w:val="fr-FR"/>
        </w:rPr>
      </w:pPr>
      <w:bookmarkStart w:id="75" w:name="_Toc242103315"/>
      <w:r>
        <w:rPr>
          <w:rFonts w:eastAsia="Times New Roman"/>
          <w:lang w:val="fr-FR"/>
        </w:rPr>
        <w:t>Partie C — Les modèles de calcul qui ne reflètent pas la réalité</w:t>
      </w:r>
      <w:bookmarkEnd w:id="75"/>
    </w:p>
    <w:p w14:paraId="36CF1D5D" w14:textId="77777777" w:rsidR="0020702A" w:rsidRDefault="0020702A">
      <w:pPr>
        <w:pStyle w:val="Normaalweb"/>
        <w:divId w:val="1419013937"/>
        <w:rPr>
          <w:lang w:val="fr-FR"/>
        </w:rPr>
      </w:pPr>
      <w:r>
        <w:rPr>
          <w:lang w:val="fr-FR"/>
        </w:rPr>
        <w:t>La raison pour laquelle la commune, tout comme Parentia, ne débloque pas de fonds tient au modèle de calcul. L’aide sociale et l’aide sociale spéciale sont évaluées par rapport à un seuil de revenus. En principe, cela est logique. Mais le modèle ne tient pas compte de la situation réelle.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ACE47E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2A63E78" w14:textId="77777777" w:rsidR="0020702A" w:rsidRDefault="0020702A">
            <w:pPr>
              <w:pStyle w:val="Normaalweb"/>
              <w:spacing w:before="120"/>
              <w:jc w:val="center"/>
              <w:rPr>
                <w:sz w:val="21"/>
                <w:szCs w:val="21"/>
              </w:rPr>
            </w:pPr>
            <w:r>
              <w:rPr>
                <w:noProof/>
                <w:sz w:val="21"/>
                <w:szCs w:val="21"/>
              </w:rPr>
              <w:drawing>
                <wp:inline distT="0" distB="0" distL="0" distR="0" wp14:anchorId="4BB76A2F" wp14:editId="1D0865A6">
                  <wp:extent cx="3810000" cy="1181100"/>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7EB75895" w14:textId="77777777" w:rsidR="0020702A" w:rsidRDefault="0020702A">
            <w:pPr>
              <w:pStyle w:val="caption"/>
              <w:spacing w:after="120" w:afterAutospacing="0"/>
            </w:pPr>
            <w:r>
              <w:t>Le modèle de calcul se base sur des données fiscales passées. Il ne tient pas compte du fait que le revenu réel est tombé à zéro, que les frais médicaux ont augmenté et que le ménage vit en dessous du seuil de pauvreté. C’est exactement le même schéma que dans le cas de Parentia.</w:t>
            </w:r>
          </w:p>
        </w:tc>
      </w:tr>
    </w:tbl>
    <w:p w14:paraId="36A9922F" w14:textId="77777777" w:rsidR="0020702A" w:rsidRDefault="0020702A">
      <w:pPr>
        <w:pStyle w:val="Kop3"/>
        <w:divId w:val="1419013937"/>
        <w:rPr>
          <w:rFonts w:eastAsia="Times New Roman"/>
          <w:lang w:val="fr-FR"/>
        </w:rPr>
      </w:pPr>
      <w:bookmarkStart w:id="76" w:name="_Toc242103316"/>
      <w:r>
        <w:rPr>
          <w:rFonts w:eastAsia="Times New Roman"/>
          <w:lang w:val="fr-FR"/>
        </w:rPr>
        <w:t>Partie D — Les aléas de la mobilité</w:t>
      </w:r>
      <w:bookmarkEnd w:id="76"/>
    </w:p>
    <w:p w14:paraId="2259D511" w14:textId="77777777" w:rsidR="0020702A" w:rsidRDefault="0020702A">
      <w:pPr>
        <w:pStyle w:val="Normaalweb"/>
        <w:divId w:val="1419013937"/>
        <w:rPr>
          <w:lang w:val="fr-FR"/>
        </w:rPr>
      </w:pPr>
      <w:r>
        <w:rPr>
          <w:lang w:val="fr-FR"/>
        </w:rPr>
        <w:t>La commune propose tout de même quelque chose : la mobilité. Deux dispositifs : la carte de stationnement pour personnes handicapées (GPK) et la carte Wmo pour le transport adapté. Les deux fonctionnent — en partie. Et les deux s’accompagnent de leur propre participation financière.</w:t>
      </w:r>
    </w:p>
    <w:p w14:paraId="6B4FA54B" w14:textId="77777777" w:rsidR="0020702A" w:rsidRDefault="0020702A">
      <w:pPr>
        <w:pStyle w:val="Kop4"/>
        <w:divId w:val="1419013937"/>
        <w:rPr>
          <w:rFonts w:eastAsia="Times New Roman"/>
          <w:lang w:val="fr-FR"/>
        </w:rPr>
      </w:pPr>
      <w:r>
        <w:rPr>
          <w:rFonts w:eastAsia="Times New Roman"/>
          <w:lang w:val="fr-FR"/>
        </w:rPr>
        <w:t>La carte de stationnement pour personnes handicapées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E5E436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9853052" w14:textId="77777777" w:rsidR="0020702A" w:rsidRDefault="0020702A">
            <w:pPr>
              <w:pStyle w:val="Normaalweb"/>
              <w:spacing w:before="120"/>
              <w:jc w:val="center"/>
              <w:rPr>
                <w:sz w:val="21"/>
                <w:szCs w:val="21"/>
              </w:rPr>
            </w:pPr>
            <w:r>
              <w:rPr>
                <w:noProof/>
                <w:sz w:val="21"/>
                <w:szCs w:val="21"/>
              </w:rPr>
              <w:drawing>
                <wp:inline distT="0" distB="0" distL="0" distR="0" wp14:anchorId="587765D1" wp14:editId="5A4826E1">
                  <wp:extent cx="3810000" cy="971550"/>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10000" cy="971550"/>
                          </a:xfrm>
                          <a:prstGeom prst="rect">
                            <a:avLst/>
                          </a:prstGeom>
                          <a:noFill/>
                          <a:ln>
                            <a:noFill/>
                          </a:ln>
                        </pic:spPr>
                      </pic:pic>
                    </a:graphicData>
                  </a:graphic>
                </wp:inline>
              </w:drawing>
            </w:r>
          </w:p>
          <w:p w14:paraId="359BA038" w14:textId="77777777" w:rsidR="0020702A" w:rsidRDefault="0020702A">
            <w:pPr>
              <w:pStyle w:val="caption"/>
              <w:spacing w:after="120" w:afterAutospacing="0"/>
            </w:pPr>
            <w:r>
              <w:t>Le patient dispose d’une carte de stationnement européenne délivrée par les autorités fédérales belges. La commune de Hulst refuse de la reconnaître et exige un nouvel examen local, avec les frais administratifs correspondants. Ce qui frappe : le patient a dû soumettre à nouveau son dossier médical le 17/09/2026, alors qu’il avait déjà été fourni le 07/03/2026 et le 20/08/2026.</w:t>
            </w:r>
          </w:p>
        </w:tc>
      </w:tr>
    </w:tbl>
    <w:p w14:paraId="714DD0EA" w14:textId="77777777" w:rsidR="0020702A" w:rsidRDefault="0020702A">
      <w:pPr>
        <w:pStyle w:val="Kop4"/>
        <w:divId w:val="1419013937"/>
        <w:rPr>
          <w:rFonts w:eastAsia="Times New Roman"/>
          <w:lang w:val="fr-FR"/>
        </w:rPr>
      </w:pPr>
      <w:r>
        <w:rPr>
          <w:rFonts w:eastAsia="Times New Roman"/>
          <w:lang w:val="fr-FR"/>
        </w:rPr>
        <w:t>La carte Wmo et la participation personnelle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A57C55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15487CF" w14:textId="77777777" w:rsidR="0020702A" w:rsidRDefault="0020702A">
            <w:pPr>
              <w:pStyle w:val="Normaalweb"/>
              <w:spacing w:before="120"/>
              <w:jc w:val="center"/>
              <w:rPr>
                <w:sz w:val="21"/>
                <w:szCs w:val="21"/>
              </w:rPr>
            </w:pPr>
            <w:r>
              <w:rPr>
                <w:noProof/>
                <w:sz w:val="21"/>
                <w:szCs w:val="21"/>
              </w:rPr>
              <w:drawing>
                <wp:inline distT="0" distB="0" distL="0" distR="0" wp14:anchorId="7EB35F33" wp14:editId="422D2DF0">
                  <wp:extent cx="3810000" cy="1104900"/>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32EAF222" w14:textId="77777777" w:rsidR="0020702A" w:rsidRDefault="0020702A">
            <w:pPr>
              <w:pStyle w:val="caption"/>
              <w:spacing w:after="120" w:afterAutospacing="0"/>
            </w:pPr>
            <w:r>
              <w:t>La carte Wmo permet au patient de se déplacer. Mais la participation personnelle doit être versée pendant une période où il n’a pas de revenus. Et celui qui ne paie pas à temps perd sa carte.</w:t>
            </w:r>
          </w:p>
        </w:tc>
      </w:tr>
    </w:tbl>
    <w:p w14:paraId="143A5CEC" w14:textId="77777777" w:rsidR="0020702A" w:rsidRDefault="0020702A">
      <w:pPr>
        <w:pStyle w:val="Kop3"/>
        <w:divId w:val="1419013937"/>
        <w:rPr>
          <w:rFonts w:eastAsia="Times New Roman"/>
          <w:lang w:val="fr-FR"/>
        </w:rPr>
      </w:pPr>
      <w:bookmarkStart w:id="77" w:name="_Toc242103317"/>
      <w:r>
        <w:rPr>
          <w:rFonts w:eastAsia="Times New Roman"/>
          <w:lang w:val="fr-FR"/>
        </w:rPr>
        <w:t>Partie E — Les limites du transport Wmo</w:t>
      </w:r>
      <w:bookmarkEnd w:id="7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AEC9C0D"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E0B73C6" w14:textId="77777777" w:rsidR="0020702A" w:rsidRDefault="0020702A">
            <w:pPr>
              <w:pStyle w:val="Normaalweb"/>
              <w:spacing w:before="120"/>
              <w:jc w:val="center"/>
              <w:rPr>
                <w:sz w:val="21"/>
                <w:szCs w:val="21"/>
              </w:rPr>
            </w:pPr>
            <w:r>
              <w:rPr>
                <w:noProof/>
                <w:sz w:val="21"/>
                <w:szCs w:val="21"/>
              </w:rPr>
              <w:drawing>
                <wp:inline distT="0" distB="0" distL="0" distR="0" wp14:anchorId="4A8607DA" wp14:editId="70532E89">
                  <wp:extent cx="3810000" cy="1384300"/>
                  <wp:effectExtent l="0" t="0" r="0" b="635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10000" cy="1384300"/>
                          </a:xfrm>
                          <a:prstGeom prst="rect">
                            <a:avLst/>
                          </a:prstGeom>
                          <a:noFill/>
                          <a:ln>
                            <a:noFill/>
                          </a:ln>
                        </pic:spPr>
                      </pic:pic>
                    </a:graphicData>
                  </a:graphic>
                </wp:inline>
              </w:drawing>
            </w:r>
          </w:p>
          <w:p w14:paraId="38652296" w14:textId="77777777" w:rsidR="0020702A" w:rsidRDefault="0020702A">
            <w:pPr>
              <w:pStyle w:val="caption"/>
              <w:spacing w:after="120" w:afterAutospacing="0"/>
            </w:pPr>
            <w:r>
              <w:t>Le système autorise les trajets vers des hôpitaux universitaires situés de l’autre côté de la frontière, mais refuse ceux vers des administrations belges situées exactement à la même distance. De même, une demande d’accompagnement en cas de perte de la vue n’est pas enregistrée.</w:t>
            </w:r>
          </w:p>
        </w:tc>
      </w:tr>
    </w:tbl>
    <w:p w14:paraId="022B641C" w14:textId="77777777" w:rsidR="0020702A" w:rsidRDefault="0020702A">
      <w:pPr>
        <w:pStyle w:val="Kop3"/>
        <w:divId w:val="1419013937"/>
        <w:rPr>
          <w:rFonts w:eastAsia="Times New Roman"/>
          <w:lang w:val="fr-FR"/>
        </w:rPr>
      </w:pPr>
      <w:bookmarkStart w:id="78" w:name="_Toc242103318"/>
      <w:r>
        <w:rPr>
          <w:rFonts w:eastAsia="Times New Roman"/>
          <w:lang w:val="fr-FR"/>
        </w:rPr>
        <w:t>Partie F — Le schéma se répète</w:t>
      </w:r>
      <w:bookmarkEnd w:id="78"/>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185A60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5AC414A" w14:textId="77777777" w:rsidR="0020702A" w:rsidRDefault="0020702A">
            <w:pPr>
              <w:pStyle w:val="Normaalweb"/>
              <w:spacing w:before="120"/>
              <w:jc w:val="center"/>
              <w:rPr>
                <w:sz w:val="21"/>
                <w:szCs w:val="21"/>
              </w:rPr>
            </w:pPr>
            <w:r>
              <w:rPr>
                <w:noProof/>
                <w:sz w:val="21"/>
                <w:szCs w:val="21"/>
              </w:rPr>
              <w:drawing>
                <wp:inline distT="0" distB="0" distL="0" distR="0" wp14:anchorId="6E6AFC08" wp14:editId="618CC44A">
                  <wp:extent cx="3810000" cy="133350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4C5199CA" w14:textId="77777777" w:rsidR="0020702A" w:rsidRDefault="0020702A">
            <w:pPr>
              <w:pStyle w:val="caption"/>
              <w:spacing w:after="120" w:afterAutospacing="0"/>
            </w:pPr>
            <w:r>
              <w:rPr>
                <w:rStyle w:val="Zwaar"/>
              </w:rPr>
              <w:t>Figure XI.5 — Trois instances, un seul schéma.</w:t>
            </w:r>
            <w:r>
              <w:t xml:space="preserve"> </w:t>
            </w:r>
            <w:r>
              <w:t>Parentia, la commune de Hulst et CZ appliquent toutes les trois le même mécanisme : la réalité médicale est reconnue lorsqu’elle s’inscrit dans le protocole, et rejetée lorsque celui-ci impose une condition de forme que le citoyen ne peut remplir.</w:t>
            </w:r>
          </w:p>
        </w:tc>
      </w:tr>
    </w:tbl>
    <w:p w14:paraId="2F4078D3" w14:textId="77777777" w:rsidR="0020702A" w:rsidRDefault="0020702A">
      <w:pPr>
        <w:pStyle w:val="Kop3"/>
        <w:divId w:val="1419013937"/>
        <w:rPr>
          <w:rFonts w:eastAsia="Times New Roman"/>
          <w:lang w:val="fr-FR"/>
        </w:rPr>
      </w:pPr>
      <w:bookmarkStart w:id="79" w:name="_Toc242103319"/>
      <w:r>
        <w:rPr>
          <w:rFonts w:eastAsia="Times New Roman"/>
          <w:lang w:val="fr-FR"/>
        </w:rPr>
        <w:t>Ce qu’aurait dû être la commune</w:t>
      </w:r>
      <w:bookmarkEnd w:id="79"/>
    </w:p>
    <w:p w14:paraId="5767F55E" w14:textId="77777777" w:rsidR="0020702A" w:rsidRDefault="0020702A">
      <w:pPr>
        <w:pStyle w:val="Normaalweb"/>
        <w:divId w:val="1419013937"/>
        <w:rPr>
          <w:lang w:val="fr-FR"/>
        </w:rPr>
      </w:pPr>
      <w:r>
        <w:rPr>
          <w:lang w:val="fr-FR"/>
        </w:rPr>
        <w:t>En théorie, la commune est la première ligne d’intervention. Elle connaît ses habitants, a une vue d’ensemble de la situation locale et dispose des outils pour intervenir rapidement. Dans ce dossier, elle ne l’a pas fait. Elle a reçu six appels à l’aide et a émis six réponses purement procédurales. À aucun moment, la situation financière n’a fait l’objet d’une évaluation de fond.</w:t>
      </w:r>
    </w:p>
    <w:p w14:paraId="4A3CF243" w14:textId="77777777" w:rsidR="0020702A" w:rsidRDefault="0020702A">
      <w:pPr>
        <w:pStyle w:val="Normaalweb"/>
        <w:divId w:val="1419013937"/>
        <w:rPr>
          <w:lang w:val="fr-FR"/>
        </w:rPr>
      </w:pPr>
      <w:r>
        <w:rPr>
          <w:lang w:val="fr-FR"/>
        </w:rPr>
        <w:t xml:space="preserve">Et le cœur du problème est le suivant : </w:t>
      </w:r>
      <w:r>
        <w:rPr>
          <w:rStyle w:val="Zwaar"/>
          <w:lang w:val="fr-FR"/>
        </w:rPr>
        <w:t>en théorie, les prestations devraient suffire.</w:t>
      </w:r>
      <w:r>
        <w:rPr>
          <w:lang w:val="fr-FR"/>
        </w:rPr>
        <w:t xml:space="preserve"> L’indemnité de maladie belge, le WIA néerlandais, les allocations, les allocations familiales — ensemble, elles devraient permettre au ménage de s’en sortir. Le problème n’est pas que l’argent manque. Le problème est que personne ne comble le fossé qui s’est creusé entre les différentes sources de revenus. Les frais médicaux sont le déclencheur, mais c’est l’inaction administrative qui est à l’origine de l’appauvrissement.</w:t>
      </w:r>
    </w:p>
    <w:p w14:paraId="1F26C963" w14:textId="77777777" w:rsidR="0020702A" w:rsidRDefault="0020702A">
      <w:pPr>
        <w:pStyle w:val="Normaalweb"/>
        <w:divId w:val="1419013937"/>
        <w:rPr>
          <w:lang w:val="fr-FR"/>
        </w:rPr>
      </w:pPr>
      <w:r>
        <w:rPr>
          <w:lang w:val="fr-FR"/>
        </w:rPr>
        <w:t>La seule procédure officielle en cours à l’heure actuelle est le recours déposé le 22 juillet 2026. Le délai de décision a été prolongé de six semaines. Le demandeur n’a pas sollicité d’explications orales, car les motifs ont déjà été suffisamment exposés. La décision suivra ultérieurement. Et d’ici là, la situation financière reste inchangée.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2D40E2E"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E0894A9"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la commune est légalement tenue d’évaluer les demandes d’aide sociale et d’aide sociale spéciale. Un rejet pour vice de forme ou en raison d’un modèle de calcul des revenus qui ne reflète pas la situation réelle peut être contesté. Quatre étapes : </w:t>
            </w:r>
          </w:p>
          <w:p w14:paraId="1A3BEBFE" w14:textId="77777777" w:rsidR="0020702A" w:rsidRDefault="0020702A">
            <w:pPr>
              <w:numPr>
                <w:ilvl w:val="0"/>
                <w:numId w:val="15"/>
              </w:numPr>
              <w:spacing w:before="100" w:beforeAutospacing="1" w:after="100" w:afterAutospacing="1"/>
              <w:rPr>
                <w:rFonts w:eastAsia="Times New Roman"/>
                <w:szCs w:val="22"/>
              </w:rPr>
            </w:pPr>
            <w:r>
              <w:rPr>
                <w:rFonts w:eastAsia="Times New Roman"/>
                <w:szCs w:val="22"/>
              </w:rPr>
              <w:t>Déposez une demande officielle d’aide spéciale, en précisant la situation d’urgence concrète (frais médicaux, dettes, prestations bloquées).</w:t>
            </w:r>
          </w:p>
          <w:p w14:paraId="07D92586" w14:textId="77777777" w:rsidR="0020702A" w:rsidRDefault="0020702A">
            <w:pPr>
              <w:numPr>
                <w:ilvl w:val="0"/>
                <w:numId w:val="15"/>
              </w:numPr>
              <w:spacing w:before="100" w:beforeAutospacing="1" w:after="100" w:afterAutospacing="1"/>
              <w:rPr>
                <w:rFonts w:eastAsia="Times New Roman"/>
                <w:szCs w:val="22"/>
              </w:rPr>
            </w:pPr>
            <w:r>
              <w:rPr>
                <w:rFonts w:eastAsia="Times New Roman"/>
                <w:szCs w:val="22"/>
              </w:rPr>
              <w:t>Si la commune ne répond pas dans le délai légal (8 semaines), déposez un recours pour décision tardive.</w:t>
            </w:r>
          </w:p>
          <w:p w14:paraId="30814CA3" w14:textId="77777777" w:rsidR="0020702A" w:rsidRDefault="0020702A">
            <w:pPr>
              <w:numPr>
                <w:ilvl w:val="0"/>
                <w:numId w:val="15"/>
              </w:numPr>
              <w:spacing w:before="100" w:beforeAutospacing="1" w:after="100" w:afterAutospacing="1"/>
              <w:rPr>
                <w:rFonts w:eastAsia="Times New Roman"/>
                <w:szCs w:val="22"/>
              </w:rPr>
            </w:pPr>
            <w:r>
              <w:rPr>
                <w:rFonts w:eastAsia="Times New Roman"/>
                <w:szCs w:val="22"/>
              </w:rPr>
              <w:t>Demandez un entretien individuel avec un conseiller en désendettement ou un conseiller social.</w:t>
            </w:r>
          </w:p>
          <w:p w14:paraId="6B65E393" w14:textId="77777777" w:rsidR="0020702A" w:rsidRDefault="0020702A">
            <w:pPr>
              <w:numPr>
                <w:ilvl w:val="0"/>
                <w:numId w:val="15"/>
              </w:numPr>
              <w:spacing w:before="100" w:beforeAutospacing="1" w:after="100" w:afterAutospacing="1"/>
              <w:rPr>
                <w:rFonts w:eastAsia="Times New Roman"/>
                <w:szCs w:val="22"/>
              </w:rPr>
            </w:pPr>
            <w:r>
              <w:rPr>
                <w:rFonts w:eastAsia="Times New Roman"/>
                <w:szCs w:val="22"/>
              </w:rPr>
              <w:t>Si la commune continue de refuser : déposez un recours formel auprès du collège des maires et des conseillers municipaux et, si nécessaire, formez un recours devant le tribunal administratif. Sachez que la commune est légalement autorisée à prolonger le délai de décision de six semaines (art. 7:10, alinéa 3, de la loi générale sur les procédures administratives – Awb) — c’est ce qui s’est produit ici.</w:t>
            </w:r>
          </w:p>
          <w:p w14:paraId="3ED880DA" w14:textId="77777777" w:rsidR="0020702A" w:rsidRDefault="0020702A">
            <w:pPr>
              <w:spacing w:after="0"/>
              <w:rPr>
                <w:rFonts w:eastAsia="Times New Roman"/>
                <w:szCs w:val="22"/>
              </w:rPr>
            </w:pPr>
            <w:r>
              <w:rPr>
                <w:rFonts w:eastAsia="Times New Roman"/>
                <w:szCs w:val="22"/>
              </w:rPr>
              <w:t xml:space="preserve">Concernant la carte Wmo et la GPK : une carte de stationnement européenne est un document reconnu par l’UE. La commune ne peut pas refuser sans motif valable de la prendre en charge. Un recours formel fondé sur la reconnaissance mutuelle peut s’avérer utile. </w:t>
            </w:r>
          </w:p>
        </w:tc>
      </w:tr>
    </w:tbl>
    <w:p w14:paraId="6C30AC29"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Les faits sont bas</w:t>
      </w:r>
      <w:r>
        <w:rPr>
          <w:rFonts w:cs="Aptos"/>
          <w:lang w:val="fr-FR"/>
        </w:rPr>
        <w:t>é</w:t>
      </w:r>
      <w:r>
        <w:rPr>
          <w:lang w:val="fr-FR"/>
        </w:rPr>
        <w:t>s sur le document B. Ce chapitre ne constitue pas un avis juridique.</w:t>
      </w:r>
    </w:p>
    <w:p w14:paraId="0169D83E" w14:textId="77777777" w:rsidR="0020702A" w:rsidRDefault="0020702A">
      <w:pPr>
        <w:pStyle w:val="marker"/>
        <w:ind w:left="800" w:right="800"/>
        <w:divId w:val="1419013937"/>
        <w:rPr>
          <w:lang w:val="fr-FR"/>
        </w:rPr>
      </w:pPr>
      <w:r>
        <w:br w:type="page"/>
      </w:r>
    </w:p>
    <w:p w14:paraId="7D099596" w14:textId="77777777" w:rsidR="0020702A" w:rsidRDefault="0020702A">
      <w:pPr>
        <w:pStyle w:val="Kop2"/>
        <w:divId w:val="1419013937"/>
        <w:rPr>
          <w:rFonts w:eastAsia="Times New Roman"/>
          <w:lang w:val="fr-FR"/>
        </w:rPr>
      </w:pPr>
      <w:bookmarkStart w:id="80" w:name="_Toc242103320"/>
      <w:r>
        <w:rPr>
          <w:rFonts w:eastAsia="Times New Roman"/>
          <w:lang w:val="fr-FR"/>
        </w:rPr>
        <w:t>Administration fiscale et allocations</w:t>
      </w:r>
      <w:bookmarkEnd w:id="80"/>
    </w:p>
    <w:p w14:paraId="73BC8CEE" w14:textId="77777777" w:rsidR="0020702A" w:rsidRDefault="0020702A">
      <w:pPr>
        <w:pStyle w:val="lead"/>
        <w:divId w:val="1419013937"/>
        <w:rPr>
          <w:lang w:val="fr-FR"/>
        </w:rPr>
      </w:pPr>
      <w:r>
        <w:rPr>
          <w:lang w:val="fr-FR"/>
        </w:rPr>
        <w:t>Le Service des allocations verse trois aides liées aux revenus : l’allocation de soins, l’aide au logement et le budget lié aux enfants. Dans cette famille, l’un des membres est entièrement inactif, un autre partiellement inactif et le troisième exerce une activité professionnelle. Or, la déclaration d’impôts elle-même confronte le citoyen à une tâche qu’il ne peut accomplir : saisir un revenu global qu’il ne connaît pas, en assumant lui-même la responsabilité de son exactitude.</w:t>
      </w:r>
    </w:p>
    <w:p w14:paraId="237786F7" w14:textId="77777777" w:rsidR="0020702A" w:rsidRDefault="0020702A">
      <w:pPr>
        <w:pStyle w:val="Kop3"/>
        <w:divId w:val="1419013937"/>
        <w:rPr>
          <w:rFonts w:eastAsia="Times New Roman"/>
          <w:lang w:val="fr-FR"/>
        </w:rPr>
      </w:pPr>
      <w:bookmarkStart w:id="81" w:name="_Toc242103321"/>
      <w:r>
        <w:rPr>
          <w:rFonts w:eastAsia="Times New Roman"/>
          <w:lang w:val="fr-FR"/>
        </w:rPr>
        <w:t>Partie A — Les trois allocations</w:t>
      </w:r>
      <w:bookmarkEnd w:id="8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A4D579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B8178FD" w14:textId="77777777" w:rsidR="0020702A" w:rsidRDefault="0020702A">
            <w:pPr>
              <w:pStyle w:val="Normaalweb"/>
              <w:spacing w:before="120"/>
              <w:jc w:val="center"/>
              <w:rPr>
                <w:sz w:val="21"/>
                <w:szCs w:val="21"/>
              </w:rPr>
            </w:pPr>
            <w:r>
              <w:rPr>
                <w:noProof/>
                <w:sz w:val="21"/>
                <w:szCs w:val="21"/>
              </w:rPr>
              <w:drawing>
                <wp:inline distT="0" distB="0" distL="0" distR="0" wp14:anchorId="38E6743D" wp14:editId="3535871A">
                  <wp:extent cx="3810000" cy="1397000"/>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10000" cy="1397000"/>
                          </a:xfrm>
                          <a:prstGeom prst="rect">
                            <a:avLst/>
                          </a:prstGeom>
                          <a:noFill/>
                          <a:ln>
                            <a:noFill/>
                          </a:ln>
                        </pic:spPr>
                      </pic:pic>
                    </a:graphicData>
                  </a:graphic>
                </wp:inline>
              </w:drawing>
            </w:r>
          </w:p>
          <w:p w14:paraId="710B51C8" w14:textId="77777777" w:rsidR="0020702A" w:rsidRDefault="0020702A">
            <w:pPr>
              <w:pStyle w:val="caption"/>
              <w:spacing w:after="120" w:afterAutospacing="0"/>
            </w:pPr>
            <w:r>
              <w:rPr>
                <w:rStyle w:val="Zwaar"/>
              </w:rPr>
              <w:t>Figure XIII.1 — Trois allocations.</w:t>
            </w:r>
            <w:r>
              <w:t xml:space="preserve"> L’allocation de soins reste à zéro car CZ ne reconnaît pas la police d’assurance internationale comme une assurance néerlandaise. L’allocation de logement fonctionne partiellement, mais le revenu de référence s’écarte en raison des revenus étrangers. Le budget lié aux enfants n’a fonctionné qu’après la connexion SVB — et a été versé avec effet rétroactif.</w:t>
            </w:r>
          </w:p>
        </w:tc>
      </w:tr>
    </w:tbl>
    <w:p w14:paraId="6427533D" w14:textId="77777777" w:rsidR="0020702A" w:rsidRDefault="0020702A">
      <w:pPr>
        <w:pStyle w:val="Kop3"/>
        <w:divId w:val="1419013937"/>
        <w:rPr>
          <w:rFonts w:eastAsia="Times New Roman"/>
          <w:lang w:val="fr-FR"/>
        </w:rPr>
      </w:pPr>
      <w:bookmarkStart w:id="82" w:name="_Toc242103322"/>
      <w:r>
        <w:rPr>
          <w:rFonts w:eastAsia="Times New Roman"/>
          <w:lang w:val="fr-FR"/>
        </w:rPr>
        <w:t>Partie B — Le mécanisme sous-jacent</w:t>
      </w:r>
      <w:bookmarkEnd w:id="82"/>
    </w:p>
    <w:p w14:paraId="53B13B41" w14:textId="77777777" w:rsidR="0020702A" w:rsidRDefault="0020702A">
      <w:pPr>
        <w:pStyle w:val="Normaalweb"/>
        <w:divId w:val="1419013937"/>
        <w:rPr>
          <w:lang w:val="fr-FR"/>
        </w:rPr>
      </w:pPr>
      <w:r>
        <w:rPr>
          <w:lang w:val="fr-FR"/>
        </w:rPr>
        <w:t>Ce que les résultats des allocations ne montrent pas, c’est ce que le citoyen doit faire pour parvenir à ces résultats. Et ce qui ne fonctionne pas lorsqu’il ne le fait pas ou ne peut pas le faire.</w:t>
      </w:r>
    </w:p>
    <w:p w14:paraId="513AFC43" w14:textId="77777777" w:rsidR="0020702A" w:rsidRDefault="0020702A">
      <w:pPr>
        <w:pStyle w:val="Kop4"/>
        <w:divId w:val="1419013937"/>
        <w:rPr>
          <w:rFonts w:eastAsia="Times New Roman"/>
          <w:lang w:val="fr-FR"/>
        </w:rPr>
      </w:pPr>
      <w:r>
        <w:rPr>
          <w:rFonts w:eastAsia="Times New Roman"/>
          <w:lang w:val="fr-FR"/>
        </w:rPr>
        <w:t>Le revenu mondial que le citoyen doit déclarer</w:t>
      </w:r>
    </w:p>
    <w:p w14:paraId="5EEC7366" w14:textId="77777777" w:rsidR="0020702A" w:rsidRDefault="0020702A">
      <w:pPr>
        <w:pStyle w:val="Normaalweb"/>
        <w:divId w:val="1419013937"/>
        <w:rPr>
          <w:lang w:val="fr-FR"/>
        </w:rPr>
      </w:pPr>
      <w:r>
        <w:rPr>
          <w:lang w:val="fr-FR"/>
        </w:rPr>
        <w:t xml:space="preserve">Lors de la déclaration d’impôt sur le revenu, l’administration fiscale néerlandaise demande le </w:t>
      </w:r>
      <w:r>
        <w:rPr>
          <w:rStyle w:val="Zwaar"/>
          <w:lang w:val="fr-FR"/>
        </w:rPr>
        <w:t>revenu</w:t>
      </w:r>
      <w:r>
        <w:rPr>
          <w:lang w:val="fr-FR"/>
        </w:rPr>
        <w:t xml:space="preserve"> </w:t>
      </w:r>
      <w:r>
        <w:rPr>
          <w:rStyle w:val="Zwaar"/>
          <w:lang w:val="fr-FR"/>
        </w:rPr>
        <w:t>mondial</w:t>
      </w:r>
      <w:r>
        <w:rPr>
          <w:lang w:val="fr-FR"/>
        </w:rPr>
        <w:t xml:space="preserve"> : l’ensemble des revenus que le citoyen a perçus partout dans le monde. Pour un travailleur frontalier, cela signifie : le salaire belge, les allocations belges, les avantages en nature belges, tout.</w:t>
      </w:r>
    </w:p>
    <w:p w14:paraId="301400D3" w14:textId="77777777" w:rsidR="0020702A" w:rsidRDefault="0020702A">
      <w:pPr>
        <w:pStyle w:val="Normaalweb"/>
        <w:divId w:val="1419013937"/>
        <w:rPr>
          <w:lang w:val="fr-FR"/>
        </w:rPr>
      </w:pPr>
      <w:r>
        <w:rPr>
          <w:lang w:val="fr-FR"/>
        </w:rPr>
        <w:t>Mais ces données ne sont pas automatiquement transmises au contribuable. L’administration fiscale belge ne les transmet pas à l’administration fiscale néerlandaise. L'infrastructure DAC (directive sur la coopération administrative) est destinée à l'échange automatique de données sur les revenus — mais cet échange n'est pas en temps réel et n'est pas toujours complet. Le contribuable doit saisir lui-même les montants sur la base de ses propres fiches de paie, de ses décisions d’octroi de prestations et de ce</w:t>
      </w:r>
      <w:r>
        <w:rPr>
          <w:lang w:val="fr-FR"/>
        </w:rPr>
        <w:t xml:space="preserve"> qu’il estime être ses revenus belges.</w:t>
      </w:r>
    </w:p>
    <w:p w14:paraId="0A70604B" w14:textId="77777777" w:rsidR="0020702A" w:rsidRDefault="0020702A">
      <w:pPr>
        <w:pStyle w:val="Normaalweb"/>
        <w:divId w:val="1419013937"/>
        <w:rPr>
          <w:lang w:val="fr-FR"/>
        </w:rPr>
      </w:pPr>
      <w:r>
        <w:rPr>
          <w:lang w:val="fr-FR"/>
        </w:rPr>
        <w:t>L’administration fiscale attribue explicitement la responsabilité au citoyen. Les informations saisies par le citoyen sont considérées comme exactes. En cas d’inexactitude, une correction sera effectuée ultérieurement. Et en cas de correction, une allocation peut faire l’objet d’un recouvrement.</w:t>
      </w:r>
    </w:p>
    <w:p w14:paraId="142AD538" w14:textId="77777777" w:rsidR="0020702A" w:rsidRDefault="0020702A">
      <w:pPr>
        <w:pStyle w:val="Kop4"/>
        <w:divId w:val="1419013937"/>
        <w:rPr>
          <w:rFonts w:eastAsia="Times New Roman"/>
          <w:lang w:val="fr-FR"/>
        </w:rPr>
      </w:pPr>
      <w:r>
        <w:rPr>
          <w:rFonts w:eastAsia="Times New Roman"/>
          <w:lang w:val="fr-FR"/>
        </w:rPr>
        <w:t>Le revenu commun par rapport au revenu mondial</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871A362"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A42931E" w14:textId="77777777" w:rsidR="0020702A" w:rsidRDefault="0020702A">
            <w:pPr>
              <w:pStyle w:val="Normaalweb"/>
              <w:spacing w:before="120"/>
              <w:jc w:val="center"/>
              <w:rPr>
                <w:sz w:val="21"/>
                <w:szCs w:val="21"/>
              </w:rPr>
            </w:pPr>
            <w:r>
              <w:rPr>
                <w:noProof/>
                <w:sz w:val="21"/>
                <w:szCs w:val="21"/>
              </w:rPr>
              <w:drawing>
                <wp:inline distT="0" distB="0" distL="0" distR="0" wp14:anchorId="108FDFFB" wp14:editId="7FFA0241">
                  <wp:extent cx="3810000" cy="1250950"/>
                  <wp:effectExtent l="0" t="0" r="0" b="635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7712D491" w14:textId="77777777" w:rsidR="0020702A" w:rsidRDefault="0020702A">
            <w:pPr>
              <w:pStyle w:val="caption"/>
              <w:spacing w:after="120" w:afterAutospacing="0"/>
            </w:pPr>
            <w:r>
              <w:rPr>
                <w:rStyle w:val="Zwaar"/>
              </w:rPr>
              <w:t>Figure XIII.2 — Revenu mondial par rapport au revenu commun.</w:t>
            </w:r>
            <w:r>
              <w:t xml:space="preserve"> Le revenu belge est imposé en Belgique en vertu de la convention fiscale et exonéré aux Pays-Bas. Mais pour le calcul des allocations, il est intégralement pris en compte dans le revenu mondial. Un euro en Belgique n’équivaut pas à un euro aux Pays-Bas : le pouvoir d’achat, la sécurité sociale et la structure des coûts sont différents. Dans le modèle de calcul des allocations, cette distinction n’est pas faite.</w:t>
            </w:r>
          </w:p>
        </w:tc>
      </w:tr>
    </w:tbl>
    <w:p w14:paraId="2A959EE0" w14:textId="77777777" w:rsidR="0020702A" w:rsidRDefault="0020702A">
      <w:pPr>
        <w:pStyle w:val="Kop3"/>
        <w:divId w:val="1419013937"/>
        <w:rPr>
          <w:rFonts w:eastAsia="Times New Roman"/>
          <w:lang w:val="fr-FR"/>
        </w:rPr>
      </w:pPr>
      <w:bookmarkStart w:id="83" w:name="_Toc242103323"/>
      <w:r>
        <w:rPr>
          <w:rFonts w:eastAsia="Times New Roman"/>
          <w:lang w:val="fr-FR"/>
        </w:rPr>
        <w:t>Partie C — Les frais médicaux ramenés à zéro</w:t>
      </w:r>
      <w:bookmarkEnd w:id="83"/>
    </w:p>
    <w:p w14:paraId="48FCBAA9" w14:textId="77777777" w:rsidR="0020702A" w:rsidRDefault="0020702A">
      <w:pPr>
        <w:pStyle w:val="Normaalweb"/>
        <w:divId w:val="1419013937"/>
        <w:rPr>
          <w:lang w:val="fr-FR"/>
        </w:rPr>
      </w:pPr>
      <w:r>
        <w:rPr>
          <w:lang w:val="fr-FR"/>
        </w:rPr>
        <w:t xml:space="preserve">Le patient tente ensuite de faire valoir les frais médicaux au titre </w:t>
      </w:r>
      <w:r>
        <w:rPr>
          <w:rStyle w:val="Zwaar"/>
          <w:lang w:val="fr-FR"/>
        </w:rPr>
        <w:t>d’une déduction personnelle</w:t>
      </w:r>
      <w:r>
        <w:rPr>
          <w:lang w:val="fr-FR"/>
        </w:rPr>
        <w:t>. Aux Pays-Bas, les frais médicaux dépassant un certain seuil sont déductibles du revenu. Cela réduit le revenu de référence — ce qui diminue l’assiette fiscale pour le calcul des allocations.</w:t>
      </w:r>
    </w:p>
    <w:p w14:paraId="2291C395" w14:textId="77777777" w:rsidR="0020702A" w:rsidRDefault="0020702A">
      <w:pPr>
        <w:pStyle w:val="Normaalweb"/>
        <w:divId w:val="1419013937"/>
        <w:rPr>
          <w:lang w:val="fr-FR"/>
        </w:rPr>
      </w:pPr>
      <w:r>
        <w:rPr>
          <w:lang w:val="fr-FR"/>
        </w:rPr>
        <w:t>La stratégie est logique : en déduisant les frais médicaux, le revenu de référence diminue, et les allocations augmentent. C’est un moyen indirect de compenser la famille pour les frais que le système ne rembourse pas.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E2B038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D08EAF8" w14:textId="77777777" w:rsidR="0020702A" w:rsidRDefault="0020702A">
            <w:pPr>
              <w:pStyle w:val="Normaalweb"/>
              <w:spacing w:before="120"/>
              <w:jc w:val="center"/>
              <w:rPr>
                <w:sz w:val="21"/>
                <w:szCs w:val="21"/>
              </w:rPr>
            </w:pPr>
            <w:r>
              <w:rPr>
                <w:noProof/>
                <w:sz w:val="21"/>
                <w:szCs w:val="21"/>
              </w:rPr>
              <w:drawing>
                <wp:inline distT="0" distB="0" distL="0" distR="0" wp14:anchorId="0D1195A4" wp14:editId="082EA198">
                  <wp:extent cx="3810000" cy="1250950"/>
                  <wp:effectExtent l="0" t="0" r="0" b="635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6A2AFCA4" w14:textId="77777777" w:rsidR="0020702A" w:rsidRDefault="0020702A">
            <w:pPr>
              <w:pStyle w:val="caption"/>
              <w:spacing w:after="120" w:afterAutospacing="0"/>
            </w:pPr>
            <w:r>
              <w:rPr>
                <w:rStyle w:val="Zwaar"/>
              </w:rPr>
              <w:t>Figure XIII.3 — Les frais médicaux.</w:t>
            </w:r>
            <w:r>
              <w:t xml:space="preserve"> Le patient saisit ses frais médicaux. Le modèle de calcul applique le seuil de déduction. Le résultat est nul. Le revenu de référence ne diminue pas, les allocations restent inchangées et les frais réels continuent de peser sur la famille.</w:t>
            </w:r>
          </w:p>
        </w:tc>
      </w:tr>
    </w:tbl>
    <w:p w14:paraId="23335E16" w14:textId="77777777" w:rsidR="0020702A" w:rsidRDefault="0020702A">
      <w:pPr>
        <w:pStyle w:val="Kop3"/>
        <w:divId w:val="1419013937"/>
        <w:rPr>
          <w:rFonts w:eastAsia="Times New Roman"/>
          <w:lang w:val="fr-FR"/>
        </w:rPr>
      </w:pPr>
      <w:bookmarkStart w:id="84" w:name="_Toc242103324"/>
      <w:r>
        <w:rPr>
          <w:rFonts w:eastAsia="Times New Roman"/>
          <w:lang w:val="fr-FR"/>
        </w:rPr>
        <w:t>Partie D — La responsabilité du citoyen</w:t>
      </w:r>
      <w:bookmarkEnd w:id="84"/>
    </w:p>
    <w:p w14:paraId="04AD3821" w14:textId="77777777" w:rsidR="0020702A" w:rsidRDefault="0020702A">
      <w:pPr>
        <w:pStyle w:val="Normaalweb"/>
        <w:divId w:val="1419013937"/>
        <w:rPr>
          <w:lang w:val="fr-FR"/>
        </w:rPr>
      </w:pPr>
      <w:r>
        <w:rPr>
          <w:lang w:val="fr-FR"/>
        </w:rPr>
        <w:t>L’administration fiscale insiste systématiquement sur le fait que la responsabilité de l’exactitude de la déclaration incombe au citoyen. Le citoyen doit :</w:t>
      </w:r>
    </w:p>
    <w:p w14:paraId="044EFE11" w14:textId="77777777" w:rsidR="0020702A" w:rsidRDefault="0020702A">
      <w:pPr>
        <w:numPr>
          <w:ilvl w:val="0"/>
          <w:numId w:val="16"/>
        </w:numPr>
        <w:spacing w:before="100" w:beforeAutospacing="1" w:after="100" w:afterAutospacing="1"/>
        <w:divId w:val="1419013937"/>
        <w:rPr>
          <w:rFonts w:eastAsia="Times New Roman"/>
          <w:lang w:val="fr-FR"/>
        </w:rPr>
      </w:pPr>
      <w:r>
        <w:rPr>
          <w:rFonts w:eastAsia="Times New Roman"/>
          <w:lang w:val="fr-FR"/>
        </w:rPr>
        <w:t>Saisir son revenu mondial, y compris les éléments étrangers qui ne lui sont pas automatiquement communiqués.</w:t>
      </w:r>
    </w:p>
    <w:p w14:paraId="65758EDE" w14:textId="77777777" w:rsidR="0020702A" w:rsidRDefault="0020702A">
      <w:pPr>
        <w:numPr>
          <w:ilvl w:val="0"/>
          <w:numId w:val="16"/>
        </w:numPr>
        <w:spacing w:before="100" w:beforeAutospacing="1" w:after="100" w:afterAutospacing="1"/>
        <w:divId w:val="1419013937"/>
        <w:rPr>
          <w:rFonts w:eastAsia="Times New Roman"/>
          <w:lang w:val="fr-FR"/>
        </w:rPr>
      </w:pPr>
      <w:r>
        <w:rPr>
          <w:rFonts w:eastAsia="Times New Roman"/>
          <w:lang w:val="fr-FR"/>
        </w:rPr>
        <w:t>Justifier l’exactitude des montants qu’il a lui-même estimés.</w:t>
      </w:r>
    </w:p>
    <w:p w14:paraId="69F6B96E" w14:textId="77777777" w:rsidR="0020702A" w:rsidRDefault="0020702A">
      <w:pPr>
        <w:numPr>
          <w:ilvl w:val="0"/>
          <w:numId w:val="16"/>
        </w:numPr>
        <w:spacing w:before="100" w:beforeAutospacing="1" w:after="100" w:afterAutospacing="1"/>
        <w:divId w:val="1419013937"/>
        <w:rPr>
          <w:rFonts w:eastAsia="Times New Roman"/>
          <w:lang w:val="fr-FR"/>
        </w:rPr>
      </w:pPr>
      <w:r>
        <w:rPr>
          <w:rFonts w:eastAsia="Times New Roman"/>
          <w:lang w:val="fr-FR"/>
        </w:rPr>
        <w:t>Assumer les conséquences des erreurs, y compris les demandes de remboursement des allocations.</w:t>
      </w:r>
    </w:p>
    <w:p w14:paraId="3934A88C" w14:textId="77777777" w:rsidR="0020702A" w:rsidRDefault="0020702A">
      <w:pPr>
        <w:numPr>
          <w:ilvl w:val="0"/>
          <w:numId w:val="16"/>
        </w:numPr>
        <w:spacing w:before="100" w:beforeAutospacing="1" w:after="100" w:afterAutospacing="1"/>
        <w:divId w:val="1419013937"/>
        <w:rPr>
          <w:rFonts w:eastAsia="Times New Roman"/>
          <w:lang w:val="fr-FR"/>
        </w:rPr>
      </w:pPr>
      <w:r>
        <w:rPr>
          <w:rFonts w:eastAsia="Times New Roman"/>
          <w:lang w:val="fr-FR"/>
        </w:rPr>
        <w:t>Vérifier lui-même si l'échange automatique entre la Belgique et les Pays-Bas a bien fonctionné.</w:t>
      </w:r>
    </w:p>
    <w:p w14:paraId="3432D8CE" w14:textId="77777777" w:rsidR="0020702A" w:rsidRDefault="0020702A">
      <w:pPr>
        <w:numPr>
          <w:ilvl w:val="0"/>
          <w:numId w:val="16"/>
        </w:numPr>
        <w:spacing w:before="100" w:beforeAutospacing="1" w:after="100" w:afterAutospacing="1"/>
        <w:divId w:val="1419013937"/>
        <w:rPr>
          <w:rFonts w:eastAsia="Times New Roman"/>
          <w:lang w:val="fr-FR"/>
        </w:rPr>
      </w:pPr>
      <w:r>
        <w:rPr>
          <w:rFonts w:eastAsia="Times New Roman"/>
          <w:lang w:val="fr-FR"/>
        </w:rPr>
        <w:t>Demander lui-même les fichiers journaux DAC afin de vérifier ce qui a été échangé.</w:t>
      </w:r>
    </w:p>
    <w:p w14:paraId="1DB4176D" w14:textId="77777777" w:rsidR="0020702A" w:rsidRDefault="0020702A">
      <w:pPr>
        <w:pStyle w:val="Normaalweb"/>
        <w:divId w:val="1419013937"/>
        <w:rPr>
          <w:lang w:val="fr-FR"/>
        </w:rPr>
      </w:pPr>
      <w:r>
        <w:rPr>
          <w:lang w:val="fr-FR"/>
        </w:rPr>
        <w:t>Et si l’échange automatique n’a pas fonctionné — si la Belgique n’a pas envoyé les données, ou si les Pays-Bas ne les ont pas traitées —, cela ne constitue pas un motif valable pour reporter la déclaration. Le citoyen doit résoudre le problème lui-même.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3DAC2A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0F37A1B" w14:textId="77777777" w:rsidR="0020702A" w:rsidRDefault="0020702A">
            <w:pPr>
              <w:pStyle w:val="Normaalweb"/>
              <w:spacing w:before="120"/>
              <w:jc w:val="center"/>
              <w:rPr>
                <w:sz w:val="21"/>
                <w:szCs w:val="21"/>
              </w:rPr>
            </w:pPr>
            <w:r>
              <w:rPr>
                <w:noProof/>
                <w:sz w:val="21"/>
                <w:szCs w:val="21"/>
              </w:rPr>
              <w:drawing>
                <wp:inline distT="0" distB="0" distL="0" distR="0" wp14:anchorId="6896B6E5" wp14:editId="417A3421">
                  <wp:extent cx="3810000" cy="1104900"/>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37A0188E" w14:textId="77777777" w:rsidR="0020702A" w:rsidRDefault="0020702A">
            <w:pPr>
              <w:pStyle w:val="caption"/>
              <w:spacing w:after="120" w:afterAutospacing="0"/>
            </w:pPr>
            <w:r>
              <w:t>L’administration fiscale fait porter la responsabilité de l’exactitude des données au contribuable. Or, celui-ci ne peut pas toujours obtenir les données correctes, car l’échange automatique entre la Belgique et les Pays-Bas n’est pas exhaustif. Le système fait porter le risque d’une erreur administrative à celui qui en est le moins responsable.</w:t>
            </w:r>
          </w:p>
        </w:tc>
      </w:tr>
    </w:tbl>
    <w:p w14:paraId="4A6A2396" w14:textId="77777777" w:rsidR="0020702A" w:rsidRDefault="0020702A">
      <w:pPr>
        <w:pStyle w:val="Kop3"/>
        <w:divId w:val="1419013937"/>
        <w:rPr>
          <w:rFonts w:eastAsia="Times New Roman"/>
          <w:lang w:val="fr-FR"/>
        </w:rPr>
      </w:pPr>
      <w:bookmarkStart w:id="85" w:name="_Toc242103325"/>
      <w:r>
        <w:rPr>
          <w:rFonts w:eastAsia="Times New Roman"/>
          <w:lang w:val="fr-FR"/>
        </w:rPr>
        <w:t>Partie E — Quelles en sont les conséquences ?</w:t>
      </w:r>
      <w:bookmarkEnd w:id="85"/>
    </w:p>
    <w:p w14:paraId="64E3FDB1" w14:textId="77777777" w:rsidR="0020702A" w:rsidRDefault="0020702A">
      <w:pPr>
        <w:pStyle w:val="Normaalweb"/>
        <w:divId w:val="1419013937"/>
        <w:rPr>
          <w:lang w:val="fr-FR"/>
        </w:rPr>
      </w:pPr>
      <w:r>
        <w:rPr>
          <w:lang w:val="fr-FR"/>
        </w:rPr>
        <w:t>Trois allocations, trois résultats. L’une entièrement bloquée, l’autre partiellement, la troisième fonctionnant normalement. Et la déclaration d’impôts elle-même demande au citoyen d’indiquer un revenu qu’il ne peut pas calculer, en lui faisant porter la responsabilité de l’exactitude de ces données, avec les conséquences d’un recalcul qui s’ensuit automatiquement dès que l’administration fiscale dispose des chiffres réels.</w:t>
      </w:r>
    </w:p>
    <w:p w14:paraId="19886517" w14:textId="77777777" w:rsidR="0020702A" w:rsidRDefault="0020702A">
      <w:pPr>
        <w:pStyle w:val="Normaalweb"/>
        <w:divId w:val="1419013937"/>
        <w:rPr>
          <w:lang w:val="fr-FR"/>
        </w:rPr>
      </w:pPr>
      <w:r>
        <w:rPr>
          <w:lang w:val="fr-FR"/>
        </w:rPr>
        <w:t>Ce qui apparaît ici, c’est un schéma qui se répète tout au long du dossier. Le système dispose des outils, des lois et des intentions nécessaires pour soutenir le citoyen. Mais le système n’interprète pas la réalité telle que le citoyen la vit. Les allocations sont calculées à partir d’un revenu de référence qui assimile un euro belge à un euro néerlandais. Les frais médicaux sont déclarés mais ne donnent lieu à aucune déduction. Et le citoyen est lui-même responsable de l’exactitude d’un revenu qu’il ne co</w:t>
      </w:r>
      <w:r>
        <w:rPr>
          <w:lang w:val="fr-FR"/>
        </w:rPr>
        <w:t>nnaît pas.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8C5D043"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09AEB83"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en cas de revenus et d’allocations transfrontaliers, trois éléments sont importants : </w:t>
            </w:r>
          </w:p>
          <w:p w14:paraId="7249D75B" w14:textId="77777777" w:rsidR="0020702A" w:rsidRDefault="0020702A">
            <w:pPr>
              <w:numPr>
                <w:ilvl w:val="0"/>
                <w:numId w:val="17"/>
              </w:numPr>
              <w:spacing w:before="100" w:beforeAutospacing="1" w:after="100" w:afterAutospacing="1"/>
              <w:rPr>
                <w:rFonts w:eastAsia="Times New Roman"/>
                <w:szCs w:val="22"/>
              </w:rPr>
            </w:pPr>
            <w:r>
              <w:rPr>
                <w:rFonts w:eastAsia="Times New Roman"/>
                <w:szCs w:val="22"/>
              </w:rPr>
              <w:t>Demandez à l’administration fiscale belge un relevé de vos revenus annuels et indiquez-le dans votre déclaration néerlandaise. Conservez tous les documents.</w:t>
            </w:r>
          </w:p>
          <w:p w14:paraId="15D7A4F0" w14:textId="77777777" w:rsidR="0020702A" w:rsidRDefault="0020702A">
            <w:pPr>
              <w:numPr>
                <w:ilvl w:val="0"/>
                <w:numId w:val="17"/>
              </w:numPr>
              <w:spacing w:before="100" w:beforeAutospacing="1" w:after="100" w:afterAutospacing="1"/>
              <w:rPr>
                <w:rFonts w:eastAsia="Times New Roman"/>
                <w:szCs w:val="22"/>
              </w:rPr>
            </w:pPr>
            <w:r>
              <w:rPr>
                <w:rFonts w:eastAsia="Times New Roman"/>
                <w:szCs w:val="22"/>
              </w:rPr>
              <w:t>Demandez un report si les données ne sont pas encore complètes — cela prolonge le délai, mais pas la responsabilité.</w:t>
            </w:r>
          </w:p>
          <w:p w14:paraId="0CDF4DCD" w14:textId="77777777" w:rsidR="0020702A" w:rsidRDefault="0020702A">
            <w:pPr>
              <w:numPr>
                <w:ilvl w:val="0"/>
                <w:numId w:val="17"/>
              </w:numPr>
              <w:spacing w:before="100" w:beforeAutospacing="1" w:after="100" w:afterAutospacing="1"/>
              <w:rPr>
                <w:rFonts w:eastAsia="Times New Roman"/>
                <w:szCs w:val="22"/>
              </w:rPr>
            </w:pPr>
            <w:r>
              <w:rPr>
                <w:rFonts w:eastAsia="Times New Roman"/>
                <w:szCs w:val="22"/>
              </w:rPr>
              <w:t>Si les allocations sont recalculées ou font l’objet d’un recouvrement : déposez un recours en vous appuyant sur les chiffres réels, accompagnés de pièces justificatives. Formulez votre recours en invoquant le fait que le revenu de référence n’a pas été correctement déterminé.</w:t>
            </w:r>
          </w:p>
          <w:p w14:paraId="6DB8774E" w14:textId="77777777" w:rsidR="0020702A" w:rsidRDefault="0020702A">
            <w:pPr>
              <w:spacing w:after="0"/>
              <w:rPr>
                <w:rFonts w:eastAsia="Times New Roman"/>
                <w:szCs w:val="22"/>
              </w:rPr>
            </w:pPr>
            <w:r>
              <w:rPr>
                <w:rFonts w:eastAsia="Times New Roman"/>
                <w:szCs w:val="22"/>
              </w:rPr>
              <w:t xml:space="preserve">En ce qui concerne spécifiquement l’allocation de soins : le blocage se situe au niveau de CZ (enregistrement RIV), et non au Service des allocations. Une correction manuelle via les déclarations CZ et la preuve du paiement de la franchise est la solution pour lever le blocage. </w:t>
            </w:r>
          </w:p>
        </w:tc>
      </w:tr>
    </w:tbl>
    <w:p w14:paraId="37D38DF4"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Les faits sont bas</w:t>
      </w:r>
      <w:r>
        <w:rPr>
          <w:rFonts w:cs="Aptos"/>
          <w:lang w:val="fr-FR"/>
        </w:rPr>
        <w:t>é</w:t>
      </w:r>
      <w:r>
        <w:rPr>
          <w:lang w:val="fr-FR"/>
        </w:rPr>
        <w:t>s sur le document B. Ce chapitre ne constitue pas un conseil fiscal ou juridique. Pour conna</w:t>
      </w:r>
      <w:r>
        <w:rPr>
          <w:rFonts w:cs="Aptos"/>
          <w:lang w:val="fr-FR"/>
        </w:rPr>
        <w:t>î</w:t>
      </w:r>
      <w:r>
        <w:rPr>
          <w:lang w:val="fr-FR"/>
        </w:rPr>
        <w:t>tre les montants et les conditions exacts, veuillez consulter l</w:t>
      </w:r>
      <w:r>
        <w:rPr>
          <w:rFonts w:cs="Aptos"/>
          <w:lang w:val="fr-FR"/>
        </w:rPr>
        <w:t>’</w:t>
      </w:r>
      <w:r>
        <w:rPr>
          <w:lang w:val="fr-FR"/>
        </w:rPr>
        <w:t>administration fiscale ou un conseiller fiscal.</w:t>
      </w:r>
    </w:p>
    <w:p w14:paraId="1E2B515B" w14:textId="77777777" w:rsidR="0020702A" w:rsidRDefault="0020702A">
      <w:pPr>
        <w:pStyle w:val="marker"/>
        <w:ind w:left="800" w:right="800"/>
        <w:divId w:val="1419013937"/>
        <w:rPr>
          <w:lang w:val="fr-FR"/>
        </w:rPr>
      </w:pPr>
      <w:r>
        <w:br w:type="page"/>
      </w:r>
    </w:p>
    <w:p w14:paraId="0A910562" w14:textId="77777777" w:rsidR="0020702A" w:rsidRDefault="0020702A">
      <w:pPr>
        <w:pStyle w:val="Kop1"/>
        <w:divId w:val="1419013937"/>
        <w:rPr>
          <w:rFonts w:eastAsia="Times New Roman"/>
          <w:lang w:val="fr-FR"/>
        </w:rPr>
      </w:pPr>
      <w:bookmarkStart w:id="86" w:name="_Toc242103326"/>
      <w:r>
        <w:rPr>
          <w:rFonts w:eastAsia="Times New Roman"/>
          <w:lang w:val="fr-FR"/>
        </w:rPr>
        <w:t>IV. Aller-retour</w:t>
      </w:r>
      <w:bookmarkEnd w:id="86"/>
    </w:p>
    <w:p w14:paraId="7888363F" w14:textId="77777777" w:rsidR="0020702A" w:rsidRDefault="0020702A">
      <w:pPr>
        <w:pStyle w:val="Kop2"/>
        <w:divId w:val="1419013937"/>
        <w:rPr>
          <w:rFonts w:eastAsia="Times New Roman"/>
          <w:lang w:val="fr-FR"/>
        </w:rPr>
      </w:pPr>
      <w:bookmarkStart w:id="87" w:name="_Toc242103327"/>
      <w:r>
        <w:rPr>
          <w:rFonts w:eastAsia="Times New Roman"/>
          <w:lang w:val="fr-FR"/>
        </w:rPr>
        <w:t>Le problème du formulaire U1 rempli manuellement</w:t>
      </w:r>
      <w:bookmarkEnd w:id="87"/>
    </w:p>
    <w:p w14:paraId="1C961131" w14:textId="77777777" w:rsidR="0020702A" w:rsidRDefault="0020702A">
      <w:pPr>
        <w:pStyle w:val="lead"/>
        <w:divId w:val="1419013937"/>
        <w:rPr>
          <w:lang w:val="fr-FR"/>
        </w:rPr>
      </w:pPr>
      <w:r>
        <w:rPr>
          <w:lang w:val="fr-FR"/>
        </w:rPr>
        <w:t>Le formulaire PD U1 est l’attestation européenne du parcours professionnel d’une personne. Un travailleur frontalier en a besoin dans les deux sens : pour faire valoir ses années belges aux Pays-Bas, et pour faire valoir ses années néerlandaises en Belgique. Dans les deux sens, le transfert s’effectue manuellement. Et le formulaire ESSPASS ne résoudra pas ce problème en 2030, car le citoyen reste le maillon faible.</w:t>
      </w:r>
    </w:p>
    <w:p w14:paraId="441E337B" w14:textId="77777777" w:rsidR="0020702A" w:rsidRDefault="0020702A">
      <w:pPr>
        <w:pStyle w:val="Kop3"/>
        <w:divId w:val="1419013937"/>
        <w:rPr>
          <w:rFonts w:eastAsia="Times New Roman"/>
          <w:lang w:val="fr-FR"/>
        </w:rPr>
      </w:pPr>
      <w:bookmarkStart w:id="88" w:name="_Toc242103328"/>
      <w:r>
        <w:rPr>
          <w:rFonts w:eastAsia="Times New Roman"/>
          <w:lang w:val="fr-FR"/>
        </w:rPr>
        <w:t>Les deux sens</w:t>
      </w:r>
      <w:bookmarkEnd w:id="88"/>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A2CC003"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5A9D5BE" w14:textId="77777777" w:rsidR="0020702A" w:rsidRDefault="0020702A">
            <w:pPr>
              <w:pStyle w:val="Normaalweb"/>
              <w:spacing w:before="120"/>
              <w:jc w:val="center"/>
              <w:rPr>
                <w:sz w:val="21"/>
                <w:szCs w:val="21"/>
              </w:rPr>
            </w:pPr>
            <w:r>
              <w:rPr>
                <w:noProof/>
                <w:sz w:val="21"/>
                <w:szCs w:val="21"/>
              </w:rPr>
              <w:drawing>
                <wp:inline distT="0" distB="0" distL="0" distR="0" wp14:anchorId="2ABDED21" wp14:editId="665E0F34">
                  <wp:extent cx="3810000" cy="1270000"/>
                  <wp:effectExtent l="0" t="0" r="0" b="635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10000" cy="1270000"/>
                          </a:xfrm>
                          <a:prstGeom prst="rect">
                            <a:avLst/>
                          </a:prstGeom>
                          <a:noFill/>
                          <a:ln>
                            <a:noFill/>
                          </a:ln>
                        </pic:spPr>
                      </pic:pic>
                    </a:graphicData>
                  </a:graphic>
                </wp:inline>
              </w:drawing>
            </w:r>
          </w:p>
          <w:p w14:paraId="6F79AE9D" w14:textId="77777777" w:rsidR="0020702A" w:rsidRDefault="0020702A">
            <w:pPr>
              <w:pStyle w:val="caption"/>
              <w:spacing w:after="120" w:afterAutospacing="0"/>
            </w:pPr>
            <w:r>
              <w:rPr>
                <w:rStyle w:val="Zwaar"/>
              </w:rPr>
              <w:t>Figure VIII.1 — Deux sens.</w:t>
            </w:r>
            <w:r>
              <w:t xml:space="preserve"> Le sens 1 fonctionne : l’ONEM fournit le PD U1 relatif à la carrière belge à UWV. Le sens 2 est bloqué : UWV fournit le PD U1 relatif à la carrière néerlandaise, mais l’ONEM refuse d’intégrer les données de carrière étrangères dans son système. Dans les deux sens, c’est le citoyen lui-même qui transmet le document d’une instance à l’autre.</w:t>
            </w:r>
          </w:p>
        </w:tc>
      </w:tr>
    </w:tbl>
    <w:p w14:paraId="11CEFA0D" w14:textId="77777777" w:rsidR="0020702A" w:rsidRDefault="0020702A">
      <w:pPr>
        <w:pStyle w:val="Kop3"/>
        <w:divId w:val="1419013937"/>
        <w:rPr>
          <w:rFonts w:eastAsia="Times New Roman"/>
          <w:lang w:val="fr-FR"/>
        </w:rPr>
      </w:pPr>
      <w:bookmarkStart w:id="89" w:name="_Toc242103329"/>
      <w:r>
        <w:rPr>
          <w:rFonts w:eastAsia="Times New Roman"/>
          <w:lang w:val="fr-FR"/>
        </w:rPr>
        <w:t>Sens 1 — De la Belgique vers les Pays-Bas</w:t>
      </w:r>
      <w:bookmarkEnd w:id="89"/>
    </w:p>
    <w:p w14:paraId="4C5B78B9" w14:textId="77777777" w:rsidR="0020702A" w:rsidRDefault="0020702A">
      <w:pPr>
        <w:pStyle w:val="Normaalweb"/>
        <w:divId w:val="1419013937"/>
        <w:rPr>
          <w:lang w:val="fr-FR"/>
        </w:rPr>
      </w:pPr>
      <w:r>
        <w:rPr>
          <w:lang w:val="fr-FR"/>
        </w:rPr>
        <w:t>Le citoyen a travaillé 21 ans en Belgique. Pour pouvoir prétendre aux prestations néerlandaises, cette carrière belge doit être attestée dans le système néerlandais. L’ONEM délivre à cet effet le formulaire PD U1 à UWV.</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6FD9E04"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C332D4B" w14:textId="77777777" w:rsidR="0020702A" w:rsidRDefault="0020702A">
            <w:pPr>
              <w:pStyle w:val="Normaalweb"/>
              <w:spacing w:before="120"/>
              <w:jc w:val="center"/>
              <w:rPr>
                <w:sz w:val="21"/>
                <w:szCs w:val="21"/>
              </w:rPr>
            </w:pPr>
            <w:r>
              <w:rPr>
                <w:noProof/>
                <w:sz w:val="21"/>
                <w:szCs w:val="21"/>
              </w:rPr>
              <w:drawing>
                <wp:inline distT="0" distB="0" distL="0" distR="0" wp14:anchorId="2B2E951C" wp14:editId="4579A28F">
                  <wp:extent cx="3810000" cy="90170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10000" cy="901700"/>
                          </a:xfrm>
                          <a:prstGeom prst="rect">
                            <a:avLst/>
                          </a:prstGeom>
                          <a:noFill/>
                          <a:ln>
                            <a:noFill/>
                          </a:ln>
                        </pic:spPr>
                      </pic:pic>
                    </a:graphicData>
                  </a:graphic>
                </wp:inline>
              </w:drawing>
            </w:r>
          </w:p>
          <w:p w14:paraId="025D7928" w14:textId="77777777" w:rsidR="0020702A" w:rsidRDefault="0020702A">
            <w:pPr>
              <w:pStyle w:val="caption"/>
              <w:spacing w:after="120" w:afterAutospacing="0"/>
            </w:pPr>
            <w:r>
              <w:t>L’ONEM fournit trois formulaires PD U1. En comparant les données, on constate qu’il manque cinq périodes : un emploi d’étudiant en 1999, des lacunes en 2001–2002 et des périodes de transition. C’est le citoyen lui-même qui demande les attestations complémentaires. Ce n’est qu’après un complément manuel que le dossier est complet. L’administration fonctionne, mais uniquement parce que le citoyen détecte et comble lui-même les lacunes.</w:t>
            </w:r>
          </w:p>
        </w:tc>
      </w:tr>
    </w:tbl>
    <w:p w14:paraId="5AA3D8EB" w14:textId="77777777" w:rsidR="0020702A" w:rsidRDefault="0020702A">
      <w:pPr>
        <w:pStyle w:val="Kop3"/>
        <w:divId w:val="1419013937"/>
        <w:rPr>
          <w:rFonts w:eastAsia="Times New Roman"/>
          <w:lang w:val="fr-FR"/>
        </w:rPr>
      </w:pPr>
      <w:bookmarkStart w:id="90" w:name="_Toc242103330"/>
      <w:r>
        <w:rPr>
          <w:rFonts w:eastAsia="Times New Roman"/>
          <w:lang w:val="fr-FR"/>
        </w:rPr>
        <w:t>Parcours 2 — Des Pays-Bas vers la Belgique</w:t>
      </w:r>
      <w:bookmarkEnd w:id="90"/>
    </w:p>
    <w:p w14:paraId="5AC59B91" w14:textId="77777777" w:rsidR="0020702A" w:rsidRDefault="0020702A">
      <w:pPr>
        <w:pStyle w:val="Normaalweb"/>
        <w:divId w:val="1419013937"/>
        <w:rPr>
          <w:lang w:val="fr-FR"/>
        </w:rPr>
      </w:pPr>
      <w:r>
        <w:rPr>
          <w:lang w:val="fr-FR"/>
        </w:rPr>
        <w:t>Le citoyen a également travaillé 8 mois aux Pays-Bas. Pour pouvoir prétendre à des droits belges, cette carrière néerlandaise doit être attestée dans le système belge. UWV fournit à cet effet le formulaire PD U1. Mais l’ONEM refuse d’intégrer les données de carrière étrangères dans son système.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6C5DB55"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9EDEE9A" w14:textId="77777777" w:rsidR="0020702A" w:rsidRDefault="0020702A">
            <w:pPr>
              <w:pStyle w:val="Normaalweb"/>
              <w:spacing w:before="120"/>
              <w:jc w:val="center"/>
              <w:rPr>
                <w:sz w:val="21"/>
                <w:szCs w:val="21"/>
              </w:rPr>
            </w:pPr>
            <w:r>
              <w:rPr>
                <w:noProof/>
                <w:sz w:val="21"/>
                <w:szCs w:val="21"/>
              </w:rPr>
              <w:drawing>
                <wp:inline distT="0" distB="0" distL="0" distR="0" wp14:anchorId="6A22913B" wp14:editId="7D551E55">
                  <wp:extent cx="3810000" cy="1104900"/>
                  <wp:effectExtent l="0" t="0" r="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67E77D7C" w14:textId="77777777" w:rsidR="0020702A" w:rsidRDefault="0020702A">
            <w:pPr>
              <w:pStyle w:val="caption"/>
              <w:spacing w:after="120" w:afterAutospacing="0"/>
            </w:pPr>
            <w:r>
              <w:t>UWV fournit un formulaire PD U1 pour les 8 mois passés aux Pays-Bas. L’ONEM refuse d’intégrer ces données dans son système : l’organisme se considère comme un émetteur, et non comme un destinataire. La seule solution consiste pour le citoyen à saisir manuellement les données de carrière néerlandaises dans le portail d’une autre instance fédérale belge (SPF Sécurité sociale), qui les transfère ensuite dans MyCareer.</w:t>
            </w:r>
          </w:p>
        </w:tc>
      </w:tr>
    </w:tbl>
    <w:p w14:paraId="5F7C2B30" w14:textId="77777777" w:rsidR="0020702A" w:rsidRDefault="0020702A">
      <w:pPr>
        <w:pStyle w:val="Kop3"/>
        <w:divId w:val="1419013937"/>
        <w:rPr>
          <w:rFonts w:eastAsia="Times New Roman"/>
          <w:lang w:val="fr-FR"/>
        </w:rPr>
      </w:pPr>
      <w:bookmarkStart w:id="91" w:name="_Toc242103331"/>
      <w:r>
        <w:rPr>
          <w:rFonts w:eastAsia="Times New Roman"/>
          <w:lang w:val="fr-FR"/>
        </w:rPr>
        <w:t>Le schéma</w:t>
      </w:r>
      <w:bookmarkEnd w:id="91"/>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3EB98BDB" w14:textId="77777777">
        <w:trPr>
          <w:divId w:val="1419013937"/>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991AC13"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Aspect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483345D"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Sens 1 — BE → NL</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87C96FF"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Direction 2 — NL → BE</w:t>
            </w:r>
          </w:p>
        </w:tc>
      </w:tr>
      <w:tr w:rsidR="00000000" w14:paraId="126D0421"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371484" w14:textId="77777777" w:rsidR="0020702A" w:rsidRDefault="0020702A">
            <w:pPr>
              <w:spacing w:before="200" w:after="360"/>
              <w:rPr>
                <w:rFonts w:eastAsia="Times New Roman"/>
                <w:sz w:val="21"/>
                <w:szCs w:val="21"/>
              </w:rPr>
            </w:pPr>
            <w:r>
              <w:rPr>
                <w:rStyle w:val="Zwaar"/>
                <w:rFonts w:eastAsia="Times New Roman"/>
                <w:sz w:val="21"/>
                <w:szCs w:val="21"/>
              </w:rPr>
              <w:t>Autorité émettrice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1B027E" w14:textId="77777777" w:rsidR="0020702A" w:rsidRDefault="0020702A">
            <w:pPr>
              <w:spacing w:before="200" w:after="360"/>
              <w:rPr>
                <w:rFonts w:eastAsia="Times New Roman"/>
                <w:sz w:val="21"/>
                <w:szCs w:val="21"/>
              </w:rPr>
            </w:pPr>
            <w:r>
              <w:rPr>
                <w:rFonts w:eastAsia="Times New Roman"/>
                <w:sz w:val="21"/>
                <w:szCs w:val="21"/>
              </w:rPr>
              <w:t>ONEM (Anvers)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A3B5D09" w14:textId="77777777" w:rsidR="0020702A" w:rsidRDefault="0020702A">
            <w:pPr>
              <w:spacing w:before="200" w:after="360"/>
              <w:rPr>
                <w:rFonts w:eastAsia="Times New Roman"/>
                <w:sz w:val="21"/>
                <w:szCs w:val="21"/>
              </w:rPr>
            </w:pPr>
            <w:r>
              <w:rPr>
                <w:rFonts w:eastAsia="Times New Roman"/>
                <w:sz w:val="21"/>
                <w:szCs w:val="21"/>
              </w:rPr>
              <w:t>UWV</w:t>
            </w:r>
          </w:p>
        </w:tc>
      </w:tr>
      <w:tr w:rsidR="00000000" w14:paraId="7B776A1D"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B442201" w14:textId="77777777" w:rsidR="0020702A" w:rsidRDefault="0020702A">
            <w:pPr>
              <w:spacing w:before="200" w:after="360"/>
              <w:rPr>
                <w:rFonts w:eastAsia="Times New Roman"/>
                <w:sz w:val="21"/>
                <w:szCs w:val="21"/>
              </w:rPr>
            </w:pPr>
            <w:r>
              <w:rPr>
                <w:rStyle w:val="Zwaar"/>
                <w:rFonts w:eastAsia="Times New Roman"/>
                <w:sz w:val="21"/>
                <w:szCs w:val="21"/>
              </w:rPr>
              <w:t>Autorité destinataire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D96D28" w14:textId="77777777" w:rsidR="0020702A" w:rsidRDefault="0020702A">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33D8DD8" w14:textId="77777777" w:rsidR="0020702A" w:rsidRDefault="0020702A">
            <w:pPr>
              <w:spacing w:before="200" w:after="360"/>
              <w:rPr>
                <w:rFonts w:eastAsia="Times New Roman"/>
                <w:sz w:val="21"/>
                <w:szCs w:val="21"/>
              </w:rPr>
            </w:pPr>
            <w:r>
              <w:rPr>
                <w:rFonts w:eastAsia="Times New Roman"/>
                <w:sz w:val="21"/>
                <w:szCs w:val="21"/>
              </w:rPr>
              <w:t>ONEM</w:t>
            </w:r>
          </w:p>
        </w:tc>
      </w:tr>
      <w:tr w:rsidR="00000000" w14:paraId="150AA98E"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2EC1CA" w14:textId="77777777" w:rsidR="0020702A" w:rsidRDefault="0020702A">
            <w:pPr>
              <w:spacing w:before="200" w:after="360"/>
              <w:rPr>
                <w:rFonts w:eastAsia="Times New Roman"/>
                <w:sz w:val="21"/>
                <w:szCs w:val="21"/>
              </w:rPr>
            </w:pPr>
            <w:r>
              <w:rPr>
                <w:rStyle w:val="Zwaar"/>
                <w:rFonts w:eastAsia="Times New Roman"/>
                <w:sz w:val="21"/>
                <w:szCs w:val="21"/>
              </w:rPr>
              <w:t>Durée de la carrière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CD218C" w14:textId="77777777" w:rsidR="0020702A" w:rsidRDefault="0020702A">
            <w:pPr>
              <w:spacing w:before="200" w:after="360"/>
              <w:rPr>
                <w:rFonts w:eastAsia="Times New Roman"/>
                <w:sz w:val="21"/>
                <w:szCs w:val="21"/>
              </w:rPr>
            </w:pPr>
            <w:r>
              <w:rPr>
                <w:rFonts w:eastAsia="Times New Roman"/>
                <w:sz w:val="21"/>
                <w:szCs w:val="21"/>
              </w:rPr>
              <w:t>21 ans et 2 mois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8CD66B" w14:textId="77777777" w:rsidR="0020702A" w:rsidRDefault="0020702A">
            <w:pPr>
              <w:spacing w:before="200" w:after="360"/>
              <w:rPr>
                <w:rFonts w:eastAsia="Times New Roman"/>
                <w:sz w:val="21"/>
                <w:szCs w:val="21"/>
              </w:rPr>
            </w:pPr>
            <w:r>
              <w:rPr>
                <w:rFonts w:eastAsia="Times New Roman"/>
                <w:sz w:val="21"/>
                <w:szCs w:val="21"/>
              </w:rPr>
              <w:t>8 mois</w:t>
            </w:r>
          </w:p>
        </w:tc>
      </w:tr>
      <w:tr w:rsidR="00000000" w14:paraId="27DA531B"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17689A" w14:textId="77777777" w:rsidR="0020702A" w:rsidRDefault="0020702A">
            <w:pPr>
              <w:spacing w:before="200" w:after="360"/>
              <w:rPr>
                <w:rFonts w:eastAsia="Times New Roman"/>
                <w:sz w:val="21"/>
                <w:szCs w:val="21"/>
              </w:rPr>
            </w:pPr>
            <w:r>
              <w:rPr>
                <w:rStyle w:val="Zwaar"/>
                <w:rFonts w:eastAsia="Times New Roman"/>
                <w:sz w:val="21"/>
                <w:szCs w:val="21"/>
              </w:rPr>
              <w:t>Demande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14C8BD" w14:textId="77777777" w:rsidR="0020702A" w:rsidRDefault="0020702A">
            <w:pPr>
              <w:spacing w:before="200" w:after="360"/>
              <w:rPr>
                <w:rFonts w:eastAsia="Times New Roman"/>
                <w:sz w:val="21"/>
                <w:szCs w:val="21"/>
              </w:rPr>
            </w:pPr>
            <w:r>
              <w:rPr>
                <w:rFonts w:eastAsia="Times New Roman"/>
                <w:sz w:val="21"/>
                <w:szCs w:val="21"/>
              </w:rPr>
              <w:t>Manuellement, par e-mail ou via un formulaire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65F0F8" w14:textId="77777777" w:rsidR="0020702A" w:rsidRDefault="0020702A">
            <w:pPr>
              <w:spacing w:before="200" w:after="360"/>
              <w:rPr>
                <w:rFonts w:eastAsia="Times New Roman"/>
                <w:sz w:val="21"/>
                <w:szCs w:val="21"/>
              </w:rPr>
            </w:pPr>
            <w:r>
              <w:rPr>
                <w:rFonts w:eastAsia="Times New Roman"/>
                <w:sz w:val="21"/>
                <w:szCs w:val="21"/>
              </w:rPr>
              <w:t>Manuellement, via un formulaire</w:t>
            </w:r>
          </w:p>
        </w:tc>
      </w:tr>
      <w:tr w:rsidR="00000000" w14:paraId="1A6DE745"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B2F3C5" w14:textId="77777777" w:rsidR="0020702A" w:rsidRDefault="0020702A">
            <w:pPr>
              <w:spacing w:before="200" w:after="360"/>
              <w:rPr>
                <w:rFonts w:eastAsia="Times New Roman"/>
                <w:sz w:val="21"/>
                <w:szCs w:val="21"/>
              </w:rPr>
            </w:pPr>
            <w:r>
              <w:rPr>
                <w:rStyle w:val="Zwaar"/>
                <w:rFonts w:eastAsia="Times New Roman"/>
                <w:sz w:val="21"/>
                <w:szCs w:val="21"/>
              </w:rPr>
              <w:t>Délivrance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3EB8E9" w14:textId="77777777" w:rsidR="0020702A" w:rsidRDefault="0020702A">
            <w:pPr>
              <w:spacing w:before="200" w:after="360"/>
              <w:rPr>
                <w:rFonts w:eastAsia="Times New Roman"/>
                <w:sz w:val="21"/>
                <w:szCs w:val="21"/>
              </w:rPr>
            </w:pPr>
            <w:r>
              <w:rPr>
                <w:rFonts w:eastAsia="Times New Roman"/>
                <w:sz w:val="21"/>
                <w:szCs w:val="21"/>
              </w:rPr>
              <w:t>Fonctionne, avec des périodes manquantes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48B5A8" w14:textId="77777777" w:rsidR="0020702A" w:rsidRDefault="0020702A">
            <w:pPr>
              <w:spacing w:before="200" w:after="360"/>
              <w:rPr>
                <w:rFonts w:eastAsia="Times New Roman"/>
                <w:sz w:val="21"/>
                <w:szCs w:val="21"/>
              </w:rPr>
            </w:pPr>
            <w:r>
              <w:rPr>
                <w:rFonts w:eastAsia="Times New Roman"/>
                <w:sz w:val="21"/>
                <w:szCs w:val="21"/>
              </w:rPr>
              <w:t>Fonctionne, mais le destinataire refuse</w:t>
            </w:r>
          </w:p>
        </w:tc>
      </w:tr>
      <w:tr w:rsidR="00000000" w14:paraId="0BFFB45E"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4DF180" w14:textId="77777777" w:rsidR="0020702A" w:rsidRDefault="0020702A">
            <w:pPr>
              <w:spacing w:before="200" w:after="360"/>
              <w:rPr>
                <w:rFonts w:eastAsia="Times New Roman"/>
                <w:sz w:val="21"/>
                <w:szCs w:val="21"/>
              </w:rPr>
            </w:pPr>
            <w:r>
              <w:rPr>
                <w:rStyle w:val="Zwaar"/>
                <w:rFonts w:eastAsia="Times New Roman"/>
                <w:sz w:val="21"/>
                <w:szCs w:val="21"/>
              </w:rPr>
              <w:t>Transfert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A366E27" w14:textId="77777777" w:rsidR="0020702A" w:rsidRDefault="0020702A">
            <w:pPr>
              <w:spacing w:before="200" w:after="360"/>
              <w:rPr>
                <w:rFonts w:eastAsia="Times New Roman"/>
                <w:sz w:val="21"/>
                <w:szCs w:val="21"/>
              </w:rPr>
            </w:pPr>
            <w:r>
              <w:rPr>
                <w:rFonts w:eastAsia="Times New Roman"/>
                <w:sz w:val="21"/>
                <w:szCs w:val="21"/>
              </w:rPr>
              <w:t>Le citoyen effectue lui-même la demande auprès de 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2C9FEA" w14:textId="77777777" w:rsidR="0020702A" w:rsidRDefault="0020702A">
            <w:pPr>
              <w:spacing w:before="200" w:after="360"/>
              <w:rPr>
                <w:rFonts w:eastAsia="Times New Roman"/>
                <w:sz w:val="21"/>
                <w:szCs w:val="21"/>
              </w:rPr>
            </w:pPr>
            <w:r>
              <w:rPr>
                <w:rFonts w:eastAsia="Times New Roman"/>
                <w:sz w:val="21"/>
                <w:szCs w:val="21"/>
              </w:rPr>
              <w:t>Le citoyen effectue lui-même l’injection auprès du SPF SZ</w:t>
            </w:r>
          </w:p>
        </w:tc>
      </w:tr>
      <w:tr w:rsidR="00000000" w14:paraId="0B4CBD0A"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B74440" w14:textId="77777777" w:rsidR="0020702A" w:rsidRDefault="0020702A">
            <w:pPr>
              <w:spacing w:before="200" w:after="360"/>
              <w:rPr>
                <w:rFonts w:eastAsia="Times New Roman"/>
                <w:sz w:val="21"/>
                <w:szCs w:val="21"/>
              </w:rPr>
            </w:pPr>
            <w:r>
              <w:rPr>
                <w:rStyle w:val="Zwaar"/>
                <w:rFonts w:eastAsia="Times New Roman"/>
                <w:sz w:val="21"/>
                <w:szCs w:val="21"/>
              </w:rPr>
              <w:t>Blocage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0C23DBD" w14:textId="77777777" w:rsidR="0020702A" w:rsidRDefault="0020702A">
            <w:pPr>
              <w:spacing w:before="200" w:after="360"/>
              <w:rPr>
                <w:rFonts w:eastAsia="Times New Roman"/>
                <w:sz w:val="21"/>
                <w:szCs w:val="21"/>
              </w:rPr>
            </w:pPr>
            <w:r>
              <w:rPr>
                <w:rFonts w:eastAsia="Times New Roman"/>
                <w:sz w:val="21"/>
                <w:szCs w:val="21"/>
              </w:rPr>
              <w:t>5 périodes manquantes, le citoyen les complète lui-même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6C76A7A" w14:textId="77777777" w:rsidR="0020702A" w:rsidRDefault="0020702A">
            <w:pPr>
              <w:spacing w:before="200" w:after="360"/>
              <w:rPr>
                <w:rFonts w:eastAsia="Times New Roman"/>
                <w:sz w:val="21"/>
                <w:szCs w:val="21"/>
              </w:rPr>
            </w:pPr>
            <w:r>
              <w:rPr>
                <w:rFonts w:eastAsia="Times New Roman"/>
                <w:sz w:val="21"/>
                <w:szCs w:val="21"/>
              </w:rPr>
              <w:t>L'ONEM refuse l'importation de données étrangères</w:t>
            </w:r>
          </w:p>
        </w:tc>
      </w:tr>
      <w:tr w:rsidR="00000000" w14:paraId="3A2A21AD"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FCDFA2" w14:textId="77777777" w:rsidR="0020702A" w:rsidRDefault="0020702A">
            <w:pPr>
              <w:spacing w:before="200" w:after="360"/>
              <w:rPr>
                <w:rFonts w:eastAsia="Times New Roman"/>
                <w:sz w:val="21"/>
                <w:szCs w:val="21"/>
              </w:rPr>
            </w:pPr>
            <w:r>
              <w:rPr>
                <w:rStyle w:val="Zwaar"/>
                <w:rFonts w:eastAsia="Times New Roman"/>
                <w:sz w:val="21"/>
                <w:szCs w:val="21"/>
              </w:rPr>
              <w:t>Contournement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51C09C5" w14:textId="77777777" w:rsidR="0020702A" w:rsidRDefault="0020702A">
            <w:pPr>
              <w:spacing w:before="200" w:after="360"/>
              <w:rPr>
                <w:rFonts w:eastAsia="Times New Roman"/>
                <w:sz w:val="21"/>
                <w:szCs w:val="21"/>
              </w:rPr>
            </w:pPr>
            <w:r>
              <w:rPr>
                <w:rFonts w:eastAsia="Times New Roman"/>
                <w:sz w:val="21"/>
                <w:szCs w:val="21"/>
              </w:rPr>
              <w:t>Demander des attestations supplémentaires aux employeurs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AF7BB7" w14:textId="77777777" w:rsidR="0020702A" w:rsidRDefault="0020702A">
            <w:pPr>
              <w:spacing w:before="200" w:after="360"/>
              <w:rPr>
                <w:rFonts w:eastAsia="Times New Roman"/>
                <w:sz w:val="21"/>
                <w:szCs w:val="21"/>
              </w:rPr>
            </w:pPr>
            <w:r>
              <w:rPr>
                <w:rFonts w:eastAsia="Times New Roman"/>
                <w:sz w:val="21"/>
                <w:szCs w:val="21"/>
              </w:rPr>
              <w:t>Saisie manuelle via le portail SPF SZ</w:t>
            </w:r>
          </w:p>
        </w:tc>
      </w:tr>
    </w:tbl>
    <w:p w14:paraId="7D5ACFF9" w14:textId="77777777" w:rsidR="0020702A" w:rsidRDefault="0020702A">
      <w:pPr>
        <w:pStyle w:val="Normaalweb"/>
        <w:divId w:val="1419013937"/>
        <w:rPr>
          <w:sz w:val="24"/>
          <w:lang w:val="fr-FR"/>
        </w:rPr>
      </w:pPr>
      <w:r>
        <w:rPr>
          <w:lang w:val="fr-FR"/>
        </w:rPr>
        <w:t>Dans les deux sens, le citoyen est le seul acteur à transmettre le document, que ce soit physiquement ou numériquement. L’ONEM et le UWV envoient bien des données, mais ne les réceptionnent pas. Il n’existe pas de connexion automatique de système à système. Dans le sens 1, le citoyen comble lui-même les lacunes. Dans le sens 2, il contourne l’ONEM récalcitrant via une autre instance fédérale.</w:t>
      </w:r>
    </w:p>
    <w:p w14:paraId="1FE97367" w14:textId="77777777" w:rsidR="0020702A" w:rsidRDefault="0020702A">
      <w:pPr>
        <w:pStyle w:val="Kop3"/>
        <w:divId w:val="1419013937"/>
        <w:rPr>
          <w:rFonts w:eastAsia="Times New Roman"/>
          <w:lang w:val="fr-FR"/>
        </w:rPr>
      </w:pPr>
      <w:bookmarkStart w:id="92" w:name="_Toc242103332"/>
      <w:r>
        <w:rPr>
          <w:rFonts w:eastAsia="Times New Roman"/>
          <w:lang w:val="fr-FR"/>
        </w:rPr>
        <w:t>ESSPASS en 2030 — ce qui ne change pas</w:t>
      </w:r>
      <w:bookmarkEnd w:id="9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5C0ADA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9FCF847" w14:textId="77777777" w:rsidR="0020702A" w:rsidRDefault="0020702A">
            <w:pPr>
              <w:pStyle w:val="Normaalweb"/>
              <w:spacing w:before="120"/>
              <w:jc w:val="center"/>
              <w:rPr>
                <w:sz w:val="21"/>
                <w:szCs w:val="21"/>
              </w:rPr>
            </w:pPr>
            <w:r>
              <w:rPr>
                <w:noProof/>
                <w:sz w:val="21"/>
                <w:szCs w:val="21"/>
              </w:rPr>
              <w:drawing>
                <wp:inline distT="0" distB="0" distL="0" distR="0" wp14:anchorId="37B3C3F5" wp14:editId="55A02FC3">
                  <wp:extent cx="3810000" cy="1181100"/>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58CDAF08" w14:textId="77777777" w:rsidR="0020702A" w:rsidRDefault="0020702A">
            <w:pPr>
              <w:pStyle w:val="caption"/>
              <w:spacing w:after="120" w:afterAutospacing="0"/>
            </w:pPr>
            <w:r>
              <w:rPr>
                <w:rStyle w:val="Zwaar"/>
              </w:rPr>
              <w:t>Figure VIII.2 — ESSPASS en 2030.</w:t>
            </w:r>
            <w:r>
              <w:t xml:space="preserve"> </w:t>
            </w:r>
            <w:r>
              <w:t>Le portefeuille numérique numérise le support. La vérification s'accélère. Mais la démarche du citoyen reste la même : il demande le document et le transmet à l'instance chargée de la vérification. Les États membres ne relient pas automatiquement leurs systèmes entre eux. En 2030, l’ONEM refusera toujours d’intégrer les données professionnelles étrangères, et le citoyen devra toujours recourir à la même solution de contournement.</w:t>
            </w:r>
          </w:p>
        </w:tc>
      </w:tr>
    </w:tbl>
    <w:p w14:paraId="2BD3DC01" w14:textId="77777777" w:rsidR="0020702A" w:rsidRDefault="0020702A">
      <w:pPr>
        <w:pStyle w:val="Kop3"/>
        <w:divId w:val="1419013937"/>
        <w:rPr>
          <w:rFonts w:eastAsia="Times New Roman"/>
          <w:lang w:val="fr-FR"/>
        </w:rPr>
      </w:pPr>
      <w:bookmarkStart w:id="93" w:name="_Toc242103333"/>
      <w:r>
        <w:rPr>
          <w:rFonts w:eastAsia="Times New Roman"/>
          <w:lang w:val="fr-FR"/>
        </w:rPr>
        <w:t>Ce que le ESSPASS résout et ce qu’il ne résout pas</w:t>
      </w:r>
      <w:bookmarkEnd w:id="93"/>
    </w:p>
    <w:tbl>
      <w:tblPr>
        <w:tblW w:w="5000" w:type="pct"/>
        <w:tblCellMar>
          <w:top w:w="15" w:type="dxa"/>
          <w:left w:w="15" w:type="dxa"/>
          <w:bottom w:w="15" w:type="dxa"/>
          <w:right w:w="15" w:type="dxa"/>
        </w:tblCellMar>
        <w:tblLook w:val="04A0" w:firstRow="1" w:lastRow="0" w:firstColumn="1" w:lastColumn="0" w:noHBand="0" w:noVBand="1"/>
      </w:tblPr>
      <w:tblGrid>
        <w:gridCol w:w="3080"/>
        <w:gridCol w:w="2988"/>
        <w:gridCol w:w="2988"/>
      </w:tblGrid>
      <w:tr w:rsidR="00000000" w14:paraId="3324792B" w14:textId="77777777">
        <w:trPr>
          <w:divId w:val="1419013937"/>
          <w:tblHeader/>
        </w:trPr>
        <w:tc>
          <w:tcPr>
            <w:tcW w:w="17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9ABEC80"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Aspect</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39CD80B"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Actuellement (2026)</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3190D6A"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ESSPASS (2030)</w:t>
            </w:r>
          </w:p>
        </w:tc>
      </w:tr>
      <w:tr w:rsidR="00000000" w14:paraId="0DF9D32E"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494269" w14:textId="77777777" w:rsidR="0020702A" w:rsidRDefault="0020702A">
            <w:pPr>
              <w:spacing w:before="200" w:after="360"/>
              <w:rPr>
                <w:rFonts w:eastAsia="Times New Roman"/>
                <w:sz w:val="21"/>
                <w:szCs w:val="21"/>
              </w:rPr>
            </w:pPr>
            <w:r>
              <w:rPr>
                <w:rStyle w:val="Zwaar"/>
                <w:rFonts w:eastAsia="Times New Roman"/>
                <w:sz w:val="21"/>
                <w:szCs w:val="21"/>
              </w:rPr>
              <w:t>Support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A857D2E" w14:textId="77777777" w:rsidR="0020702A" w:rsidRDefault="0020702A">
            <w:pPr>
              <w:spacing w:before="200" w:after="360"/>
              <w:rPr>
                <w:rFonts w:eastAsia="Times New Roman"/>
                <w:sz w:val="21"/>
                <w:szCs w:val="21"/>
              </w:rPr>
            </w:pPr>
            <w:r>
              <w:rPr>
                <w:rFonts w:eastAsia="Times New Roman"/>
                <w:sz w:val="21"/>
                <w:szCs w:val="21"/>
              </w:rPr>
              <w:t>Papier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E2008AE" w14:textId="77777777" w:rsidR="0020702A" w:rsidRDefault="0020702A">
            <w:pPr>
              <w:spacing w:before="200" w:after="360"/>
              <w:rPr>
                <w:rFonts w:eastAsia="Times New Roman"/>
                <w:sz w:val="21"/>
                <w:szCs w:val="21"/>
              </w:rPr>
            </w:pPr>
            <w:r>
              <w:rPr>
                <w:rFonts w:eastAsia="Times New Roman"/>
                <w:sz w:val="21"/>
                <w:szCs w:val="21"/>
              </w:rPr>
              <w:t>EUDI Portefeuille</w:t>
            </w:r>
          </w:p>
        </w:tc>
      </w:tr>
      <w:tr w:rsidR="00000000" w14:paraId="486E7116"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2748A1" w14:textId="77777777" w:rsidR="0020702A" w:rsidRDefault="0020702A">
            <w:pPr>
              <w:spacing w:before="200" w:after="360"/>
              <w:rPr>
                <w:rFonts w:eastAsia="Times New Roman"/>
                <w:sz w:val="21"/>
                <w:szCs w:val="21"/>
              </w:rPr>
            </w:pPr>
            <w:r>
              <w:rPr>
                <w:rStyle w:val="Zwaar"/>
                <w:rFonts w:eastAsia="Times New Roman"/>
                <w:sz w:val="21"/>
                <w:szCs w:val="21"/>
              </w:rPr>
              <w:t>Demande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1A15D1" w14:textId="77777777" w:rsidR="0020702A" w:rsidRDefault="0020702A">
            <w:pPr>
              <w:spacing w:before="200" w:after="360"/>
              <w:rPr>
                <w:rFonts w:eastAsia="Times New Roman"/>
                <w:sz w:val="21"/>
                <w:szCs w:val="21"/>
              </w:rPr>
            </w:pPr>
            <w:r>
              <w:rPr>
                <w:rFonts w:eastAsia="Times New Roman"/>
                <w:sz w:val="21"/>
                <w:szCs w:val="21"/>
              </w:rPr>
              <w:t>Manuelle, 75 % sans demande en ligne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C3B7C9" w14:textId="77777777" w:rsidR="0020702A" w:rsidRDefault="0020702A">
            <w:pPr>
              <w:spacing w:before="200" w:after="360"/>
              <w:rPr>
                <w:rFonts w:eastAsia="Times New Roman"/>
                <w:sz w:val="21"/>
                <w:szCs w:val="21"/>
              </w:rPr>
            </w:pPr>
            <w:r>
              <w:rPr>
                <w:rFonts w:eastAsia="Times New Roman"/>
                <w:sz w:val="21"/>
                <w:szCs w:val="21"/>
              </w:rPr>
              <w:t>Manuelle via le portefeuille</w:t>
            </w:r>
          </w:p>
        </w:tc>
      </w:tr>
      <w:tr w:rsidR="00000000" w14:paraId="475F48A7"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F53561" w14:textId="77777777" w:rsidR="0020702A" w:rsidRDefault="0020702A">
            <w:pPr>
              <w:spacing w:before="200" w:after="360"/>
              <w:rPr>
                <w:rFonts w:eastAsia="Times New Roman"/>
                <w:sz w:val="21"/>
                <w:szCs w:val="21"/>
              </w:rPr>
            </w:pPr>
            <w:r>
              <w:rPr>
                <w:rStyle w:val="Zwaar"/>
                <w:rFonts w:eastAsia="Times New Roman"/>
                <w:sz w:val="21"/>
                <w:szCs w:val="21"/>
              </w:rPr>
              <w:t>Délivrance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0DA2A8" w14:textId="77777777" w:rsidR="0020702A" w:rsidRDefault="0020702A">
            <w:pPr>
              <w:spacing w:before="200" w:after="360"/>
              <w:rPr>
                <w:rFonts w:eastAsia="Times New Roman"/>
                <w:sz w:val="21"/>
                <w:szCs w:val="21"/>
              </w:rPr>
            </w:pPr>
            <w:r>
              <w:rPr>
                <w:rFonts w:eastAsia="Times New Roman"/>
                <w:sz w:val="21"/>
                <w:szCs w:val="21"/>
              </w:rPr>
              <w:t>Manuelle, de quelques jours à plusieurs semaines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25C765" w14:textId="77777777" w:rsidR="0020702A" w:rsidRDefault="0020702A">
            <w:pPr>
              <w:spacing w:before="200" w:after="360"/>
              <w:rPr>
                <w:rFonts w:eastAsia="Times New Roman"/>
                <w:sz w:val="21"/>
                <w:szCs w:val="21"/>
              </w:rPr>
            </w:pPr>
            <w:r>
              <w:rPr>
                <w:rFonts w:eastAsia="Times New Roman"/>
                <w:sz w:val="21"/>
                <w:szCs w:val="21"/>
              </w:rPr>
              <w:t>Automatique depuis la source, en quelques secondes</w:t>
            </w:r>
          </w:p>
        </w:tc>
      </w:tr>
      <w:tr w:rsidR="00000000" w14:paraId="13520B44"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731C24" w14:textId="77777777" w:rsidR="0020702A" w:rsidRDefault="0020702A">
            <w:pPr>
              <w:spacing w:before="200" w:after="360"/>
              <w:rPr>
                <w:rFonts w:eastAsia="Times New Roman"/>
                <w:sz w:val="21"/>
                <w:szCs w:val="21"/>
              </w:rPr>
            </w:pPr>
            <w:r>
              <w:rPr>
                <w:rStyle w:val="Zwaar"/>
                <w:rFonts w:eastAsia="Times New Roman"/>
                <w:sz w:val="21"/>
                <w:szCs w:val="21"/>
              </w:rPr>
              <w:t>Transfert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0B5304" w14:textId="77777777" w:rsidR="0020702A" w:rsidRDefault="0020702A">
            <w:pPr>
              <w:spacing w:before="200" w:after="360"/>
              <w:rPr>
                <w:rFonts w:eastAsia="Times New Roman"/>
                <w:sz w:val="21"/>
                <w:szCs w:val="21"/>
              </w:rPr>
            </w:pPr>
            <w:r>
              <w:rPr>
                <w:rFonts w:eastAsia="Times New Roman"/>
                <w:sz w:val="21"/>
                <w:szCs w:val="21"/>
              </w:rPr>
              <w:t>Manuellement, par courrier postal ou par e-mail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7C944D" w14:textId="77777777" w:rsidR="0020702A" w:rsidRDefault="0020702A">
            <w:pPr>
              <w:spacing w:before="200" w:after="360"/>
              <w:rPr>
                <w:rFonts w:eastAsia="Times New Roman"/>
                <w:sz w:val="21"/>
                <w:szCs w:val="21"/>
              </w:rPr>
            </w:pPr>
            <w:r>
              <w:rPr>
                <w:rFonts w:eastAsia="Times New Roman"/>
                <w:sz w:val="21"/>
                <w:szCs w:val="21"/>
              </w:rPr>
              <w:t>Manuelle via un portefeuille</w:t>
            </w:r>
          </w:p>
        </w:tc>
      </w:tr>
      <w:tr w:rsidR="00000000" w14:paraId="790AF7EB"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D86F982" w14:textId="77777777" w:rsidR="0020702A" w:rsidRDefault="0020702A">
            <w:pPr>
              <w:spacing w:before="200" w:after="360"/>
              <w:rPr>
                <w:rFonts w:eastAsia="Times New Roman"/>
                <w:sz w:val="21"/>
                <w:szCs w:val="21"/>
              </w:rPr>
            </w:pPr>
            <w:r>
              <w:rPr>
                <w:rStyle w:val="Zwaar"/>
                <w:rFonts w:eastAsia="Times New Roman"/>
                <w:sz w:val="21"/>
                <w:szCs w:val="21"/>
              </w:rPr>
              <w:t>Vérification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1EC6D8" w14:textId="77777777" w:rsidR="0020702A" w:rsidRDefault="0020702A">
            <w:pPr>
              <w:spacing w:before="200" w:after="360"/>
              <w:rPr>
                <w:rFonts w:eastAsia="Times New Roman"/>
                <w:sz w:val="21"/>
                <w:szCs w:val="21"/>
              </w:rPr>
            </w:pPr>
            <w:r>
              <w:rPr>
                <w:rFonts w:eastAsia="Times New Roman"/>
                <w:sz w:val="21"/>
                <w:szCs w:val="21"/>
              </w:rPr>
              <w:t>Manuelle par un agent administratif</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BF2569" w14:textId="77777777" w:rsidR="0020702A" w:rsidRDefault="0020702A">
            <w:pPr>
              <w:spacing w:before="200" w:after="360"/>
              <w:rPr>
                <w:rFonts w:eastAsia="Times New Roman"/>
                <w:sz w:val="21"/>
                <w:szCs w:val="21"/>
              </w:rPr>
            </w:pPr>
            <w:r>
              <w:rPr>
                <w:rFonts w:eastAsia="Times New Roman"/>
                <w:sz w:val="21"/>
                <w:szCs w:val="21"/>
              </w:rPr>
              <w:t>Scan du QR code en temps réel</w:t>
            </w:r>
          </w:p>
        </w:tc>
      </w:tr>
      <w:tr w:rsidR="00000000" w14:paraId="19A1B728"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D5FD37" w14:textId="77777777" w:rsidR="0020702A" w:rsidRDefault="0020702A">
            <w:pPr>
              <w:spacing w:before="200" w:after="360"/>
              <w:rPr>
                <w:rFonts w:eastAsia="Times New Roman"/>
                <w:sz w:val="21"/>
                <w:szCs w:val="21"/>
              </w:rPr>
            </w:pPr>
            <w:r>
              <w:rPr>
                <w:rStyle w:val="Zwaar"/>
                <w:rFonts w:eastAsia="Times New Roman"/>
                <w:sz w:val="21"/>
                <w:szCs w:val="21"/>
              </w:rPr>
              <w:t>Détection des fraudes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5FF0CA" w14:textId="77777777" w:rsidR="0020702A" w:rsidRDefault="0020702A">
            <w:pPr>
              <w:spacing w:before="200" w:after="360"/>
              <w:rPr>
                <w:rFonts w:eastAsia="Times New Roman"/>
                <w:sz w:val="21"/>
                <w:szCs w:val="21"/>
              </w:rPr>
            </w:pPr>
            <w:r>
              <w:rPr>
                <w:rFonts w:eastAsia="Times New Roman"/>
                <w:sz w:val="21"/>
                <w:szCs w:val="21"/>
              </w:rPr>
              <w:t>Limitée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A525A3" w14:textId="77777777" w:rsidR="0020702A" w:rsidRDefault="0020702A">
            <w:pPr>
              <w:spacing w:before="200" w:after="360"/>
              <w:rPr>
                <w:rFonts w:eastAsia="Times New Roman"/>
                <w:sz w:val="21"/>
                <w:szCs w:val="21"/>
              </w:rPr>
            </w:pPr>
            <w:r>
              <w:rPr>
                <w:rFonts w:eastAsia="Times New Roman"/>
                <w:sz w:val="21"/>
                <w:szCs w:val="21"/>
              </w:rPr>
              <w:t>Cryptographie robuste</w:t>
            </w:r>
          </w:p>
        </w:tc>
      </w:tr>
      <w:tr w:rsidR="00000000" w14:paraId="27A1FB92"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FC444F" w14:textId="77777777" w:rsidR="0020702A" w:rsidRDefault="0020702A">
            <w:pPr>
              <w:spacing w:before="200" w:after="360"/>
              <w:rPr>
                <w:rFonts w:eastAsia="Times New Roman"/>
                <w:sz w:val="21"/>
                <w:szCs w:val="21"/>
              </w:rPr>
            </w:pPr>
            <w:r>
              <w:rPr>
                <w:rStyle w:val="Zwaar"/>
                <w:rFonts w:eastAsia="Times New Roman"/>
                <w:sz w:val="21"/>
                <w:szCs w:val="21"/>
              </w:rPr>
              <w:t>Synchronisation entre les États membres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7D56F2E" w14:textId="77777777" w:rsidR="0020702A" w:rsidRDefault="0020702A">
            <w:pPr>
              <w:spacing w:before="200" w:after="360"/>
              <w:rPr>
                <w:rFonts w:eastAsia="Times New Roman"/>
                <w:sz w:val="21"/>
                <w:szCs w:val="21"/>
              </w:rPr>
            </w:pPr>
            <w:r>
              <w:rPr>
                <w:rFonts w:eastAsia="Times New Roman"/>
                <w:sz w:val="21"/>
                <w:szCs w:val="21"/>
              </w:rPr>
              <w:t>Aucune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170183" w14:textId="77777777" w:rsidR="0020702A" w:rsidRDefault="0020702A">
            <w:pPr>
              <w:spacing w:before="200" w:after="360"/>
              <w:rPr>
                <w:rFonts w:eastAsia="Times New Roman"/>
                <w:sz w:val="21"/>
                <w:szCs w:val="21"/>
              </w:rPr>
            </w:pPr>
            <w:r>
              <w:rPr>
                <w:rFonts w:eastAsia="Times New Roman"/>
                <w:sz w:val="21"/>
                <w:szCs w:val="21"/>
              </w:rPr>
              <w:t>Aucune</w:t>
            </w:r>
          </w:p>
        </w:tc>
      </w:tr>
    </w:tbl>
    <w:p w14:paraId="0C3CE8FC" w14:textId="77777777" w:rsidR="0020702A" w:rsidRDefault="0020702A">
      <w:pPr>
        <w:pStyle w:val="Normaalweb"/>
        <w:divId w:val="1419013937"/>
        <w:rPr>
          <w:sz w:val="24"/>
          <w:lang w:val="fr-FR"/>
        </w:rPr>
      </w:pPr>
      <w:r>
        <w:rPr>
          <w:lang w:val="fr-FR"/>
        </w:rPr>
        <w:t xml:space="preserve">Le ESSPASS résout le problème </w:t>
      </w:r>
      <w:r>
        <w:rPr>
          <w:rStyle w:val="Nadruk"/>
          <w:lang w:val="fr-FR"/>
        </w:rPr>
        <w:t>des retards</w:t>
      </w:r>
      <w:r>
        <w:rPr>
          <w:lang w:val="fr-FR"/>
        </w:rPr>
        <w:t xml:space="preserve"> </w:t>
      </w:r>
      <w:r>
        <w:rPr>
          <w:rStyle w:val="Nadruk"/>
          <w:lang w:val="fr-FR"/>
        </w:rPr>
        <w:t>liés au papier</w:t>
      </w:r>
      <w:r>
        <w:rPr>
          <w:lang w:val="fr-FR"/>
        </w:rPr>
        <w:t xml:space="preserve">. Il ne résout pas celui </w:t>
      </w:r>
      <w:r>
        <w:rPr>
          <w:rStyle w:val="Nadruk"/>
          <w:lang w:val="fr-FR"/>
        </w:rPr>
        <w:t>de la synchronisation manuelle</w:t>
      </w:r>
      <w:r>
        <w:rPr>
          <w:lang w:val="fr-FR"/>
        </w:rPr>
        <w:t>. Le citoyen reste l'acteur qui demande et partage le document. Ce qui était en 2026 un acte physique deviendra en 2030 un acte numérique. Le rôle du citoyen ne change pas.</w:t>
      </w:r>
    </w:p>
    <w:p w14:paraId="17C2AFF7" w14:textId="77777777" w:rsidR="0020702A" w:rsidRDefault="0020702A">
      <w:pPr>
        <w:pStyle w:val="Kop3"/>
        <w:divId w:val="1419013937"/>
        <w:rPr>
          <w:rFonts w:eastAsia="Times New Roman"/>
          <w:lang w:val="fr-FR"/>
        </w:rPr>
      </w:pPr>
      <w:bookmarkStart w:id="94" w:name="_Toc242103334"/>
      <w:r>
        <w:rPr>
          <w:rFonts w:eastAsia="Times New Roman"/>
          <w:lang w:val="fr-FR"/>
        </w:rPr>
        <w:t>Pourquoi cela constitue-t-il un lien avec la partie néerlandaise ?</w:t>
      </w:r>
      <w:bookmarkEnd w:id="94"/>
    </w:p>
    <w:p w14:paraId="22E554D9" w14:textId="77777777" w:rsidR="0020702A" w:rsidRDefault="0020702A">
      <w:pPr>
        <w:pStyle w:val="Normaalweb"/>
        <w:divId w:val="1419013937"/>
        <w:rPr>
          <w:lang w:val="fr-FR"/>
        </w:rPr>
      </w:pPr>
      <w:r>
        <w:rPr>
          <w:lang w:val="fr-FR"/>
        </w:rPr>
        <w:t>En Belgique, les principaux obstacles administratifs liés à ce dossier ont désormais été identifiés et partiellement surmontés grâce au contournement fiscal. Il ne reste plus en Belgique que des questions de mise en œuvre : la réouverture du dossier, la plainte disciplinaire, l’auditorat du travail. Aucun nouvel obstacle structurel n’apparaît.</w:t>
      </w:r>
    </w:p>
    <w:p w14:paraId="52F4D290" w14:textId="77777777" w:rsidR="0020702A" w:rsidRDefault="0020702A">
      <w:pPr>
        <w:pStyle w:val="Normaalweb"/>
        <w:divId w:val="1419013937"/>
        <w:rPr>
          <w:lang w:val="fr-FR"/>
        </w:rPr>
      </w:pPr>
      <w:r>
        <w:rPr>
          <w:lang w:val="fr-FR"/>
        </w:rPr>
        <w:t>Il en va autrement du côté néerlandais. Là-bas, le WIA, le SVB, l’administration fiscale, la commune de Hulst, le CAK, les registres RIV et l’ensemble de l’appareil d’exécution néerlandais attendent encore une analyse spécifique. Et c’est précisément là que réside une différence structurelle avec la Belgique qui n’a pas encore été mise en évidence.</w:t>
      </w:r>
    </w:p>
    <w:p w14:paraId="153EADF7" w14:textId="77777777" w:rsidR="0020702A" w:rsidRDefault="0020702A">
      <w:pPr>
        <w:pStyle w:val="Normaalweb"/>
        <w:divId w:val="1419013937"/>
        <w:rPr>
          <w:lang w:val="fr-FR"/>
        </w:rPr>
      </w:pPr>
      <w:r>
        <w:rPr>
          <w:lang w:val="fr-FR"/>
        </w:rPr>
        <w:t>Le problème manuel lié au formulaire U1 constitue le dernier obstacle belge dans ce dossier. Et c’est en même temps la porte d’entrée vers la partie néerlandaise — car la direction 2 (des Pays-Bas vers la Belgique) représente la première étape qui concerne également les autorités néerlandaises. Ce qui, dans ce chapitre, n’est encore qu’un élément marginal d’un relevé de carrière, occupera le devant de la scène dans les chapitres suivants : WIA, SVB, les allocations, l’allocation de soins, la mise en œuvre c</w:t>
      </w:r>
      <w:r>
        <w:rPr>
          <w:lang w:val="fr-FR"/>
        </w:rPr>
        <w:t>ommunale.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4B8AD5D"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0A4936E"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le PD U1 est un droit, pas une faveur. Vous pouvez le demander dans les deux sens — auprès de l’ONEM pour les années de carrière belges, auprès du UWV pour les années de carrière néerlandaises. Si l’une de ces deux instances refuse d’importer des données étrangères, la seule solution consiste à passer par le SPF Sécurité sociale (portail MyCareer). Renseignez-vous auprès de votre syndicat ou des services sociaux pour connaître la procédure à suivre. Le ESSPASS en 2030 simplifiera la demande, mais ne lèvera</w:t>
            </w:r>
            <w:r>
              <w:rPr>
                <w:rFonts w:eastAsia="Times New Roman"/>
                <w:szCs w:val="22"/>
              </w:rPr>
              <w:t xml:space="preserve"> pas le blocage au niveau de l’organisme destinataire. </w:t>
            </w:r>
          </w:p>
        </w:tc>
      </w:tr>
    </w:tbl>
    <w:p w14:paraId="1BDFB0CA" w14:textId="77777777" w:rsidR="0020702A" w:rsidRDefault="0020702A">
      <w:pPr>
        <w:pStyle w:val="noot"/>
        <w:spacing w:after="120" w:afterAutospacing="0"/>
        <w:divId w:val="1419013937"/>
        <w:rPr>
          <w:lang w:val="fr-FR"/>
        </w:rPr>
      </w:pPr>
      <w:r>
        <w:rPr>
          <w:lang w:val="fr-FR"/>
        </w:rPr>
        <w:t>Les informations relatives au PD U1 s’appuient sur le document B ainsi que sur les procédures officielles de l’ONEM et du UWV. Les informations relatives au ESSPASS s’appuient sur des sources publiques de la Commission européenne et du Parlement européen concernant le règlement ESSPASS, le EUDI Wallet et la mise en œuvre progressive du « Labour Mobility Package ». Ce chapitre ne constitue pas un avis juridique.</w:t>
      </w:r>
    </w:p>
    <w:p w14:paraId="7A34432D" w14:textId="77777777" w:rsidR="0020702A" w:rsidRDefault="0020702A">
      <w:pPr>
        <w:pStyle w:val="marker"/>
        <w:ind w:left="800" w:right="800"/>
        <w:divId w:val="1419013937"/>
        <w:rPr>
          <w:lang w:val="fr-FR"/>
        </w:rPr>
      </w:pPr>
      <w:r>
        <w:br w:type="page"/>
      </w:r>
    </w:p>
    <w:p w14:paraId="32D789D6" w14:textId="77777777" w:rsidR="0020702A" w:rsidRDefault="0020702A">
      <w:pPr>
        <w:pStyle w:val="Kop2"/>
        <w:divId w:val="1419013937"/>
        <w:rPr>
          <w:rFonts w:eastAsia="Times New Roman"/>
          <w:lang w:val="fr-FR"/>
        </w:rPr>
      </w:pPr>
      <w:bookmarkStart w:id="95" w:name="_Toc242103335"/>
      <w:r>
        <w:rPr>
          <w:rFonts w:eastAsia="Times New Roman"/>
          <w:lang w:val="fr-FR"/>
        </w:rPr>
        <w:t>SVB et Parentia — un exemple concret</w:t>
      </w:r>
      <w:bookmarkEnd w:id="95"/>
    </w:p>
    <w:p w14:paraId="11CF9F33" w14:textId="77777777" w:rsidR="0020702A" w:rsidRDefault="0020702A">
      <w:pPr>
        <w:pStyle w:val="lead"/>
        <w:divId w:val="1419013937"/>
        <w:rPr>
          <w:lang w:val="fr-FR"/>
        </w:rPr>
      </w:pPr>
      <w:r>
        <w:rPr>
          <w:lang w:val="fr-FR"/>
        </w:rPr>
        <w:t>Tout ce qui se passe entre la Belgique et les Pays-Bas ne constitue pas nécessairement un obstacle. Ce chapitre présente un cas concret où la coordination européenne fonctionne réellement : les allocations familiales pour un enfant résidant aux Pays-Bas et scolarisé en Flandre. Deux instances, deux pays, un enfant. Elles parviennent à s’entendre. Puis vient le moment du recalcul.</w:t>
      </w:r>
    </w:p>
    <w:p w14:paraId="651B33CD" w14:textId="77777777" w:rsidR="0020702A" w:rsidRDefault="0020702A">
      <w:pPr>
        <w:pStyle w:val="Kop3"/>
        <w:divId w:val="1419013937"/>
        <w:rPr>
          <w:rFonts w:eastAsia="Times New Roman"/>
          <w:lang w:val="fr-FR"/>
        </w:rPr>
      </w:pPr>
      <w:bookmarkStart w:id="96" w:name="_Toc242103336"/>
      <w:r>
        <w:rPr>
          <w:rFonts w:eastAsia="Times New Roman"/>
          <w:lang w:val="fr-FR"/>
        </w:rPr>
        <w:t>Partie A — La répartition</w:t>
      </w:r>
      <w:bookmarkEnd w:id="96"/>
    </w:p>
    <w:p w14:paraId="5F9F3C3A" w14:textId="77777777" w:rsidR="0020702A" w:rsidRDefault="0020702A">
      <w:pPr>
        <w:pStyle w:val="Normaalweb"/>
        <w:divId w:val="1419013937"/>
        <w:rPr>
          <w:lang w:val="fr-FR"/>
        </w:rPr>
      </w:pPr>
      <w:r>
        <w:rPr>
          <w:lang w:val="fr-FR"/>
        </w:rPr>
        <w:t>Pour un enfant dont les parents travaillent dans deux pays, la coordination européenne répartit les allocations familiales. La règle veut qu’un pays verse la contribution principale et que l’autre comble la différence jusqu’au niveau du pays de résidence. Pour cette famille, cela signifie :</w:t>
      </w:r>
    </w:p>
    <w:p w14:paraId="7AD66777" w14:textId="77777777" w:rsidR="0020702A" w:rsidRDefault="0020702A">
      <w:pPr>
        <w:numPr>
          <w:ilvl w:val="0"/>
          <w:numId w:val="18"/>
        </w:numPr>
        <w:spacing w:before="100" w:beforeAutospacing="1" w:after="100" w:afterAutospacing="1"/>
        <w:divId w:val="1419013937"/>
        <w:rPr>
          <w:rFonts w:eastAsia="Times New Roman"/>
          <w:lang w:val="fr-FR"/>
        </w:rPr>
      </w:pPr>
      <w:r>
        <w:rPr>
          <w:rStyle w:val="Zwaar"/>
          <w:rFonts w:eastAsia="Times New Roman"/>
          <w:lang w:val="fr-FR"/>
        </w:rPr>
        <w:t>La Belgique</w:t>
      </w:r>
      <w:r>
        <w:rPr>
          <w:rFonts w:eastAsia="Times New Roman"/>
          <w:lang w:val="fr-FR"/>
        </w:rPr>
        <w:t xml:space="preserve"> </w:t>
      </w:r>
      <w:r>
        <w:rPr>
          <w:rFonts w:eastAsia="Times New Roman"/>
          <w:lang w:val="fr-FR"/>
        </w:rPr>
        <w:t>est le pays de référence, car la mère travaille en Belgique. Parentia verse le « Groeipakket ».</w:t>
      </w:r>
    </w:p>
    <w:p w14:paraId="0E4C3DBD" w14:textId="77777777" w:rsidR="0020702A" w:rsidRDefault="0020702A">
      <w:pPr>
        <w:numPr>
          <w:ilvl w:val="0"/>
          <w:numId w:val="18"/>
        </w:numPr>
        <w:spacing w:before="100" w:beforeAutospacing="1" w:after="100" w:afterAutospacing="1"/>
        <w:divId w:val="1419013937"/>
        <w:rPr>
          <w:rFonts w:eastAsia="Times New Roman"/>
          <w:lang w:val="fr-FR"/>
        </w:rPr>
      </w:pPr>
      <w:r>
        <w:rPr>
          <w:rStyle w:val="Zwaar"/>
          <w:rFonts w:eastAsia="Times New Roman"/>
          <w:lang w:val="fr-FR"/>
        </w:rPr>
        <w:t>Les Pays-Bas</w:t>
      </w:r>
      <w:r>
        <w:rPr>
          <w:rFonts w:eastAsia="Times New Roman"/>
          <w:lang w:val="fr-FR"/>
        </w:rPr>
        <w:t xml:space="preserve"> complètent le montant jusqu’au niveau néerlandais, car l’enfant réside aux Pays-Bas. Le SVB verse la différence.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709585B"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DE938BB" w14:textId="77777777" w:rsidR="0020702A" w:rsidRDefault="0020702A">
            <w:pPr>
              <w:pStyle w:val="Normaalweb"/>
              <w:spacing w:before="120"/>
              <w:jc w:val="center"/>
              <w:rPr>
                <w:sz w:val="21"/>
                <w:szCs w:val="21"/>
              </w:rPr>
            </w:pPr>
            <w:r>
              <w:rPr>
                <w:noProof/>
                <w:sz w:val="21"/>
                <w:szCs w:val="21"/>
              </w:rPr>
              <w:drawing>
                <wp:inline distT="0" distB="0" distL="0" distR="0" wp14:anchorId="48A0D005" wp14:editId="4B675121">
                  <wp:extent cx="3810000" cy="1460500"/>
                  <wp:effectExtent l="0" t="0" r="0" b="635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173212D6" w14:textId="77777777" w:rsidR="0020702A" w:rsidRDefault="0020702A">
            <w:pPr>
              <w:pStyle w:val="caption"/>
              <w:spacing w:after="120" w:afterAutospacing="0"/>
            </w:pPr>
            <w:r>
              <w:rPr>
                <w:rStyle w:val="Zwaar"/>
              </w:rPr>
              <w:t>Figure XII.1 — La répartition.</w:t>
            </w:r>
            <w:r>
              <w:t xml:space="preserve"> Parentia verse la contribution belge au nom de la mère (principe du pays de travail). Le SVB complète le montant jusqu’au niveau néerlandais au nom du père (principe du pays de résidence). L’enfant perçoit l’intégralité du montant auquel un enfant néerlandais a droit, réparti entre les deux pays.</w:t>
            </w:r>
          </w:p>
        </w:tc>
      </w:tr>
    </w:tbl>
    <w:p w14:paraId="3C8F993D" w14:textId="77777777" w:rsidR="0020702A" w:rsidRDefault="0020702A">
      <w:pPr>
        <w:pStyle w:val="Kop3"/>
        <w:divId w:val="1419013937"/>
        <w:rPr>
          <w:rFonts w:eastAsia="Times New Roman"/>
          <w:lang w:val="fr-FR"/>
        </w:rPr>
      </w:pPr>
      <w:bookmarkStart w:id="97" w:name="_Toc242103337"/>
      <w:r>
        <w:rPr>
          <w:rFonts w:eastAsia="Times New Roman"/>
          <w:lang w:val="fr-FR"/>
        </w:rPr>
        <w:t>Partie B — Pourquoi cela fonctionne</w:t>
      </w:r>
      <w:bookmarkEnd w:id="97"/>
    </w:p>
    <w:p w14:paraId="6BF68E80" w14:textId="77777777" w:rsidR="0020702A" w:rsidRDefault="0020702A">
      <w:pPr>
        <w:pStyle w:val="Normaalweb"/>
        <w:divId w:val="1419013937"/>
        <w:rPr>
          <w:lang w:val="fr-FR"/>
        </w:rPr>
      </w:pPr>
      <w:r>
        <w:rPr>
          <w:lang w:val="fr-FR"/>
        </w:rPr>
        <w:t>Ce qui fonctionne ici est précisément ce qui ne fonctionne pas ailleurs dans ce dossier. Deux autorités nationales, deux législations différentes, deux langues et un seul enfant. Elles parviennent à se comprendre.</w:t>
      </w:r>
    </w:p>
    <w:p w14:paraId="6CC5C06E" w14:textId="77777777" w:rsidR="0020702A" w:rsidRDefault="0020702A">
      <w:pPr>
        <w:pStyle w:val="Normaalweb"/>
        <w:divId w:val="1419013937"/>
        <w:rPr>
          <w:lang w:val="fr-FR"/>
        </w:rPr>
      </w:pPr>
      <w:r>
        <w:rPr>
          <w:lang w:val="fr-FR"/>
        </w:rPr>
        <w:t xml:space="preserve">Le règlement européen de coordination prévoit un mécanisme appelé « </w:t>
      </w:r>
      <w:r>
        <w:rPr>
          <w:rStyle w:val="Nadruk"/>
          <w:lang w:val="fr-FR"/>
        </w:rPr>
        <w:t>cumul des prestations</w:t>
      </w:r>
      <w:r>
        <w:rPr>
          <w:lang w:val="fr-FR"/>
        </w:rPr>
        <w:t xml:space="preserve"> </w:t>
      </w:r>
      <w:r>
        <w:rPr>
          <w:rStyle w:val="Nadruk"/>
          <w:lang w:val="fr-FR"/>
        </w:rPr>
        <w:t>familiales</w:t>
      </w:r>
      <w:r>
        <w:rPr>
          <w:lang w:val="fr-FR"/>
        </w:rPr>
        <w:t xml:space="preserve"> ». Ce mécanisme détermine quel pays verse la prestation principale et quel pays complète celle-ci. Les formulaires Parentia et SVB mettent cela en œuvre. Ils consultent leurs statuts respectifs, reconnaissent leurs décisions mutuelles et effectuent les compensations financières.</w:t>
      </w:r>
    </w:p>
    <w:p w14:paraId="79742695" w14:textId="77777777" w:rsidR="0020702A" w:rsidRDefault="0020702A">
      <w:pPr>
        <w:pStyle w:val="Normaalweb"/>
        <w:divId w:val="1419013937"/>
        <w:rPr>
          <w:lang w:val="fr-FR"/>
        </w:rPr>
      </w:pPr>
      <w:r>
        <w:rPr>
          <w:lang w:val="fr-FR"/>
        </w:rPr>
        <w:t>La clé : le complément au nom du père. La mère travaillait en Belgique ; le SVB ne pouvait donc pas lui accorder de complément — la Belgique était déjà compétente en la matière. Mais le père ne travaillait pas en dehors des Pays-Bas et y résidait. Il était donc la personne désignée pour percevoir la différence. Une simple application des règles européennes.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B8047D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7F90E3F" w14:textId="77777777" w:rsidR="0020702A" w:rsidRDefault="0020702A">
            <w:pPr>
              <w:pStyle w:val="Normaalweb"/>
              <w:spacing w:before="120"/>
              <w:jc w:val="center"/>
              <w:rPr>
                <w:sz w:val="21"/>
                <w:szCs w:val="21"/>
              </w:rPr>
            </w:pPr>
            <w:r>
              <w:rPr>
                <w:noProof/>
                <w:sz w:val="21"/>
                <w:szCs w:val="21"/>
              </w:rPr>
              <w:drawing>
                <wp:inline distT="0" distB="0" distL="0" distR="0" wp14:anchorId="622FF441" wp14:editId="0FA1C09F">
                  <wp:extent cx="3810000" cy="90170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10000" cy="901700"/>
                          </a:xfrm>
                          <a:prstGeom prst="rect">
                            <a:avLst/>
                          </a:prstGeom>
                          <a:noFill/>
                          <a:ln>
                            <a:noFill/>
                          </a:ln>
                        </pic:spPr>
                      </pic:pic>
                    </a:graphicData>
                  </a:graphic>
                </wp:inline>
              </w:drawing>
            </w:r>
          </w:p>
          <w:p w14:paraId="28A48B49" w14:textId="77777777" w:rsidR="0020702A" w:rsidRDefault="0020702A">
            <w:pPr>
              <w:pStyle w:val="caption"/>
              <w:spacing w:after="120" w:afterAutospacing="0"/>
            </w:pPr>
            <w:r>
              <w:t>La coordination européenne des prestations familiales fonctionne ici parce que les deux pays reconnaissent leur système respectif et procèdent à la compensation des montants. Dans le reste de ce dossier, cela ne fonctionne pas car aucune compensation n’a lieu — pour les frais médicaux, les frais de transport, les allocations.</w:t>
            </w:r>
          </w:p>
        </w:tc>
      </w:tr>
    </w:tbl>
    <w:p w14:paraId="1351A2AF" w14:textId="77777777" w:rsidR="0020702A" w:rsidRDefault="0020702A">
      <w:pPr>
        <w:pStyle w:val="Kop3"/>
        <w:divId w:val="1419013937"/>
        <w:rPr>
          <w:rFonts w:eastAsia="Times New Roman"/>
          <w:lang w:val="fr-FR"/>
        </w:rPr>
      </w:pPr>
      <w:bookmarkStart w:id="98" w:name="_Toc242103338"/>
      <w:r>
        <w:rPr>
          <w:rFonts w:eastAsia="Times New Roman"/>
          <w:lang w:val="fr-FR"/>
        </w:rPr>
        <w:t>Partie C — Le recalcul qui menace le succès</w:t>
      </w:r>
      <w:bookmarkEnd w:id="98"/>
    </w:p>
    <w:p w14:paraId="3DDACC4C" w14:textId="77777777" w:rsidR="0020702A" w:rsidRDefault="0020702A">
      <w:pPr>
        <w:pStyle w:val="Normaalweb"/>
        <w:divId w:val="1419013937"/>
        <w:rPr>
          <w:lang w:val="fr-FR"/>
        </w:rPr>
      </w:pPr>
      <w:r>
        <w:rPr>
          <w:lang w:val="fr-FR"/>
        </w:rPr>
        <w:t>Voici maintenant la deuxième partie de l’histoire. Dès que la reclassification rétroactive du père au statut de « personne à charge invalide » est mise en œuvre, la situation fiscale de la famille change.</w:t>
      </w:r>
    </w:p>
    <w:p w14:paraId="0DDC4658" w14:textId="77777777" w:rsidR="0020702A" w:rsidRDefault="0020702A">
      <w:pPr>
        <w:pStyle w:val="Normaalweb"/>
        <w:divId w:val="1419013937"/>
        <w:rPr>
          <w:lang w:val="fr-FR"/>
        </w:rPr>
      </w:pPr>
      <w:r>
        <w:rPr>
          <w:lang w:val="fr-FR"/>
        </w:rPr>
        <w:t>Ce qui change : la mère disposera d’un revenu net plus élevé. Non pas parce qu’elle gagne davantage en brut, mais parce que la famille a désormais droit à des avantages fiscaux grâce à la reconnaissance du handicap du père.</w:t>
      </w:r>
    </w:p>
    <w:p w14:paraId="5683636D" w14:textId="77777777" w:rsidR="0020702A" w:rsidRDefault="0020702A">
      <w:pPr>
        <w:pStyle w:val="Normaalweb"/>
        <w:divId w:val="1419013937"/>
        <w:rPr>
          <w:lang w:val="fr-FR"/>
        </w:rPr>
      </w:pPr>
      <w:r>
        <w:rPr>
          <w:lang w:val="fr-FR"/>
        </w:rPr>
        <w:t>Et c’est là que commence l’effet de cascade.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EE0137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98A350D" w14:textId="77777777" w:rsidR="0020702A" w:rsidRDefault="0020702A">
            <w:pPr>
              <w:pStyle w:val="Normaalweb"/>
              <w:spacing w:before="120"/>
              <w:jc w:val="center"/>
              <w:rPr>
                <w:sz w:val="21"/>
                <w:szCs w:val="21"/>
              </w:rPr>
            </w:pPr>
            <w:r>
              <w:rPr>
                <w:noProof/>
                <w:sz w:val="21"/>
                <w:szCs w:val="21"/>
              </w:rPr>
              <w:drawing>
                <wp:inline distT="0" distB="0" distL="0" distR="0" wp14:anchorId="5BC631ED" wp14:editId="121D786E">
                  <wp:extent cx="3810000" cy="1593850"/>
                  <wp:effectExtent l="0" t="0" r="0" b="635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1621EF25" w14:textId="77777777" w:rsidR="0020702A" w:rsidRDefault="0020702A">
            <w:pPr>
              <w:pStyle w:val="caption"/>
              <w:spacing w:after="120" w:afterAutospacing="0"/>
            </w:pPr>
            <w:r>
              <w:rPr>
                <w:rStyle w:val="Zwaar"/>
              </w:rPr>
              <w:t>Figure XII.2 — Le recalcul.</w:t>
            </w:r>
            <w:r>
              <w:t xml:space="preserve"> Le changement rétroactif de statut vers celui de « personne handicapée à charge » entraîne des avantages fiscaux pour la famille. Le revenu familial augmente sur le papier. Parentia réduit la cotisation. Le SVB recalcule le complément. Éventuellement avec un recouvrement. Ce qui fonctionne aujourd’hui peut être annulé demain par un recalcul automatique.</w:t>
            </w:r>
          </w:p>
        </w:tc>
      </w:tr>
    </w:tbl>
    <w:p w14:paraId="65589353" w14:textId="77777777" w:rsidR="0020702A" w:rsidRDefault="0020702A">
      <w:pPr>
        <w:pStyle w:val="Kop3"/>
        <w:divId w:val="1419013937"/>
        <w:rPr>
          <w:rFonts w:eastAsia="Times New Roman"/>
          <w:lang w:val="fr-FR"/>
        </w:rPr>
      </w:pPr>
      <w:bookmarkStart w:id="99" w:name="_Toc242103339"/>
      <w:r>
        <w:rPr>
          <w:rFonts w:eastAsia="Times New Roman"/>
          <w:lang w:val="fr-FR"/>
        </w:rPr>
        <w:t>Partie D — Ce que montre ce chapitre</w:t>
      </w:r>
      <w:bookmarkEnd w:id="99"/>
    </w:p>
    <w:p w14:paraId="1218CD18" w14:textId="77777777" w:rsidR="0020702A" w:rsidRDefault="0020702A">
      <w:pPr>
        <w:pStyle w:val="Normaalweb"/>
        <w:divId w:val="1419013937"/>
        <w:rPr>
          <w:lang w:val="fr-FR"/>
        </w:rPr>
      </w:pPr>
      <w:r>
        <w:rPr>
          <w:lang w:val="fr-FR"/>
        </w:rPr>
        <w:t>C’est le seul chapitre du document C dans lequel un mécanisme fonctionne pleinement. Et c’est précisément ce qui le rend intéressant, pour trois raisons :</w:t>
      </w:r>
    </w:p>
    <w:p w14:paraId="5C80C172" w14:textId="77777777" w:rsidR="0020702A" w:rsidRDefault="0020702A">
      <w:pPr>
        <w:pStyle w:val="Normaalweb"/>
        <w:divId w:val="1419013937"/>
        <w:rPr>
          <w:lang w:val="fr-FR"/>
        </w:rPr>
      </w:pPr>
      <w:r>
        <w:rPr>
          <w:rStyle w:val="Zwaar"/>
          <w:lang w:val="fr-FR"/>
        </w:rPr>
        <w:t>Premièrement.</w:t>
      </w:r>
      <w:r>
        <w:rPr>
          <w:lang w:val="fr-FR"/>
        </w:rPr>
        <w:t xml:space="preserve"> La coordination européenne fonctionne bel et bien pour les allocations familiales, car le règlement prévoit un mécanisme explicite (cumul) et les deux pays s’y conforment. Là où ce mécanisme fait défaut — comme pour les statuts médicaux, l’aide aux frais de santé ou le transport des malades —, cela ne fonctionne pas.</w:t>
      </w:r>
    </w:p>
    <w:p w14:paraId="528A274D" w14:textId="77777777" w:rsidR="0020702A" w:rsidRDefault="0020702A">
      <w:pPr>
        <w:pStyle w:val="Normaalweb"/>
        <w:divId w:val="1419013937"/>
        <w:rPr>
          <w:lang w:val="fr-FR"/>
        </w:rPr>
      </w:pPr>
      <w:r>
        <w:rPr>
          <w:rStyle w:val="Zwaar"/>
          <w:lang w:val="fr-FR"/>
        </w:rPr>
        <w:t>Deuxièmement.</w:t>
      </w:r>
      <w:r>
        <w:rPr>
          <w:lang w:val="fr-FR"/>
        </w:rPr>
        <w:t xml:space="preserve"> Le complément versé au nom du père montre que la même réalité administrative se traduit différemment selon la personne qui dépose la demande. Au nom de la mère : pas de complément. Au nom du père : oui, un complément. Une même famille, deux résultats différents, en fonction du rôle officiel.</w:t>
      </w:r>
    </w:p>
    <w:p w14:paraId="19129C9A" w14:textId="77777777" w:rsidR="0020702A" w:rsidRDefault="0020702A">
      <w:pPr>
        <w:pStyle w:val="Normaalweb"/>
        <w:divId w:val="1419013937"/>
        <w:rPr>
          <w:lang w:val="fr-FR"/>
        </w:rPr>
      </w:pPr>
      <w:r>
        <w:rPr>
          <w:rStyle w:val="Zwaar"/>
          <w:lang w:val="fr-FR"/>
        </w:rPr>
        <w:t>Troisièmement.</w:t>
      </w:r>
      <w:r>
        <w:rPr>
          <w:lang w:val="fr-FR"/>
        </w:rPr>
        <w:t xml:space="preserve"> </w:t>
      </w:r>
      <w:r>
        <w:rPr>
          <w:lang w:val="fr-FR"/>
        </w:rPr>
        <w:t>La reclassification rétroactive constitue un nouveau risque. Dès que le statut du père change, les montants sont recalculés. Ce qui est aujourd’hui un système qui fonctionne peut générer une dette l’année prochaine. Non pas à cause d’une erreur, mais à cause d’un recalcul.</w:t>
      </w:r>
    </w:p>
    <w:p w14:paraId="7A0E7B6F" w14:textId="77777777" w:rsidR="0020702A" w:rsidRDefault="0020702A">
      <w:pPr>
        <w:pStyle w:val="Normaalweb"/>
        <w:divId w:val="1419013937"/>
        <w:rPr>
          <w:lang w:val="fr-FR"/>
        </w:rPr>
      </w:pPr>
      <w:r>
        <w:rPr>
          <w:lang w:val="fr-FR"/>
        </w:rPr>
        <w:t>Ces trois points font de ce chapitre le pendant parfait de l’échelle Parentia (Bloc II) et de l’échelle de la commune de Hulst (Bloc III). Mêmes instances, résultat différent. Ce dossier montre que le système fonctionne parfois — mais jamais de manière garantie. Le succès est une exception, pas la règle.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7662B0C"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8A25A12"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le SVB est compétent pour le complément aux allocations familiales si vous résidez aux Pays-Bas et ne travaillez pas à l’étranger. Votre conjoint(e) travaille ? Dans ce cas, vous ne percevez généralement pas de complément à votre nom — demandez au SVB l'attribution correcte. </w:t>
            </w:r>
            <w:r>
              <w:rPr>
                <w:rFonts w:eastAsia="Times New Roman"/>
                <w:szCs w:val="22"/>
              </w:rPr>
              <w:br/>
            </w:r>
            <w:r>
              <w:rPr>
                <w:rFonts w:eastAsia="Times New Roman"/>
                <w:szCs w:val="22"/>
              </w:rPr>
              <w:br/>
            </w:r>
            <w:r>
              <w:rPr>
                <w:rStyle w:val="Nadruk"/>
                <w:rFonts w:eastAsia="Times New Roman"/>
                <w:szCs w:val="22"/>
              </w:rPr>
              <w:t>Attention aux modifications rétroactives :</w:t>
            </w:r>
            <w:r>
              <w:rPr>
                <w:rFonts w:eastAsia="Times New Roman"/>
                <w:szCs w:val="22"/>
              </w:rPr>
              <w:t xml:space="preserve"> dès que l’un des deux conjoints change de statut fiscal, tant le Parentia que le SVB recalculent les montants. Cela peut entraîner des demandes de remboursement. Conservez toutes les décisio</w:t>
            </w:r>
            <w:r>
              <w:rPr>
                <w:rFonts w:eastAsia="Times New Roman"/>
                <w:szCs w:val="22"/>
              </w:rPr>
              <w:t xml:space="preserve">ns et vérifiez chaque année les nouveaux calculs. </w:t>
            </w:r>
          </w:p>
        </w:tc>
      </w:tr>
    </w:tbl>
    <w:p w14:paraId="158E4247" w14:textId="77777777" w:rsidR="0020702A" w:rsidRDefault="0020702A">
      <w:pPr>
        <w:pStyle w:val="noot"/>
        <w:spacing w:after="120" w:afterAutospacing="0"/>
        <w:divId w:val="1419013937"/>
        <w:rPr>
          <w:lang w:val="fr-FR"/>
        </w:rPr>
      </w:pPr>
      <w:r>
        <w:rPr>
          <w:lang w:val="fr-FR"/>
        </w:rPr>
        <w:t>Les faits sont basés sur le document B. Le recalcul rétroactif est une prévision fondée sur la tendance des recalculs observée dans le dossier ; les montants définitifs et le résultat n’ont pas encore été fixés. 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w:t>
      </w:r>
    </w:p>
    <w:p w14:paraId="6180BC51" w14:textId="77777777" w:rsidR="0020702A" w:rsidRDefault="0020702A">
      <w:pPr>
        <w:pStyle w:val="marker"/>
        <w:ind w:left="800" w:right="800"/>
        <w:divId w:val="1419013937"/>
        <w:rPr>
          <w:lang w:val="fr-FR"/>
        </w:rPr>
      </w:pPr>
      <w:r>
        <w:br w:type="page"/>
      </w:r>
    </w:p>
    <w:p w14:paraId="1EF2672F" w14:textId="77777777" w:rsidR="0020702A" w:rsidRDefault="0020702A">
      <w:pPr>
        <w:pStyle w:val="Kop2"/>
        <w:divId w:val="1419013937"/>
        <w:rPr>
          <w:rFonts w:eastAsia="Times New Roman"/>
          <w:lang w:val="fr-FR"/>
        </w:rPr>
      </w:pPr>
      <w:bookmarkStart w:id="100" w:name="_Toc242103340"/>
      <w:r>
        <w:rPr>
          <w:rFonts w:eastAsia="Times New Roman"/>
          <w:lang w:val="fr-FR"/>
        </w:rPr>
        <w:t>Le corps sans soutien</w:t>
      </w:r>
      <w:bookmarkEnd w:id="100"/>
    </w:p>
    <w:p w14:paraId="546D35B0" w14:textId="77777777" w:rsidR="0020702A" w:rsidRDefault="0020702A">
      <w:pPr>
        <w:pStyle w:val="lead"/>
        <w:divId w:val="1419013937"/>
        <w:rPr>
          <w:lang w:val="fr-FR"/>
        </w:rPr>
      </w:pPr>
      <w:r>
        <w:rPr>
          <w:lang w:val="fr-FR"/>
        </w:rPr>
        <w:t>Un travailleur frontalier réside aux Pays-Bas et est soigné en Belgique. L’intégralité de son dossier médical se trouve dans des silos de données belges. Que se passe-t-il si un incident survient dans son pays de résidence ? Une urgence, une chute, une complication aiguë ? Qui est alors le médecin qui le connaît ? La réponse est : personne. La loi l’interdit.</w:t>
      </w:r>
    </w:p>
    <w:p w14:paraId="7CB182F1" w14:textId="77777777" w:rsidR="0020702A" w:rsidRDefault="0020702A">
      <w:pPr>
        <w:pStyle w:val="Kop3"/>
        <w:divId w:val="1419013937"/>
        <w:rPr>
          <w:rFonts w:eastAsia="Times New Roman"/>
          <w:lang w:val="fr-FR"/>
        </w:rPr>
      </w:pPr>
      <w:bookmarkStart w:id="101" w:name="_Toc242103341"/>
      <w:r>
        <w:rPr>
          <w:rFonts w:eastAsia="Times New Roman"/>
          <w:lang w:val="fr-FR"/>
        </w:rPr>
        <w:t>Partie A — L’impossibilité légale</w:t>
      </w:r>
      <w:bookmarkEnd w:id="101"/>
    </w:p>
    <w:p w14:paraId="40F947DE" w14:textId="77777777" w:rsidR="0020702A" w:rsidRDefault="0020702A">
      <w:pPr>
        <w:pStyle w:val="Normaalweb"/>
        <w:divId w:val="1419013937"/>
        <w:rPr>
          <w:lang w:val="fr-FR"/>
        </w:rPr>
      </w:pPr>
      <w:r>
        <w:rPr>
          <w:lang w:val="fr-FR"/>
        </w:rPr>
        <w:t>Aux Pays-Bas, un patient ne peut être inscrit qu’auprès d’un seul cabinet de médecine générale. Quiconque s’inscrit dans un nouveau cabinet est automatiquement désinscrit de l’ancien. Il s’agit d’un système national visant à éviter les doubles inscriptions. Pour un Néerlandais lambda, cela semble logique. Pour un travailleur frontalier dont l’ensemble du parcours médical se déroule à l’étranger, c’est un problème.</w:t>
      </w:r>
    </w:p>
    <w:p w14:paraId="3646F447" w14:textId="77777777" w:rsidR="0020702A" w:rsidRDefault="0020702A">
      <w:pPr>
        <w:pStyle w:val="Normaalweb"/>
        <w:divId w:val="1419013937"/>
        <w:rPr>
          <w:lang w:val="fr-FR"/>
        </w:rPr>
      </w:pPr>
      <w:r>
        <w:rPr>
          <w:lang w:val="fr-FR"/>
        </w:rPr>
        <w:t>La raison pour laquelle la double inscription est interdite : la loi néerlandaise sur l’assurance maladie et les règlements administratifs relatifs aux soins de médecine générale interdisent toute double inscription au-delà des frontières nationales. Un médecin généraliste ne peut inscrire un citoyen que s’il en assume effectivement la responsabilité médicale principale et active. Une inscription sans traitement actif n’est pas juridiquement possible.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4ED903D"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B161F75" w14:textId="77777777" w:rsidR="0020702A" w:rsidRDefault="0020702A">
            <w:pPr>
              <w:pStyle w:val="Normaalweb"/>
              <w:spacing w:before="120"/>
              <w:jc w:val="center"/>
              <w:rPr>
                <w:sz w:val="21"/>
                <w:szCs w:val="21"/>
              </w:rPr>
            </w:pPr>
            <w:r>
              <w:rPr>
                <w:noProof/>
                <w:sz w:val="21"/>
                <w:szCs w:val="21"/>
              </w:rPr>
              <w:drawing>
                <wp:inline distT="0" distB="0" distL="0" distR="0" wp14:anchorId="1B8D7184" wp14:editId="4898345C">
                  <wp:extent cx="3810000" cy="1454150"/>
                  <wp:effectExtent l="0" t="0" r="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7AC1B945" w14:textId="77777777" w:rsidR="0020702A" w:rsidRDefault="0020702A">
            <w:pPr>
              <w:pStyle w:val="caption"/>
              <w:spacing w:after="120" w:afterAutospacing="0"/>
            </w:pPr>
            <w:r>
              <w:rPr>
                <w:rStyle w:val="Zwaar"/>
              </w:rPr>
              <w:t>Figure XIX.1 — L’impossibilité légale.</w:t>
            </w:r>
            <w:r>
              <w:t xml:space="preserve"> Le patient dispose de l’intégralité de son dossier médical en Belgique. Aux Pays-Bas, il ne peut pas s’inscrire auprès d’un médecin, car la loi interdit les doubles inscriptions. Il réside dans un pays où aucun médecin ne connaît son dossier.</w:t>
            </w:r>
          </w:p>
        </w:tc>
      </w:tr>
    </w:tbl>
    <w:p w14:paraId="58C35DE2" w14:textId="77777777" w:rsidR="0020702A" w:rsidRDefault="0020702A">
      <w:pPr>
        <w:pStyle w:val="Kop3"/>
        <w:divId w:val="1419013937"/>
        <w:rPr>
          <w:rFonts w:eastAsia="Times New Roman"/>
          <w:lang w:val="fr-FR"/>
        </w:rPr>
      </w:pPr>
      <w:bookmarkStart w:id="102" w:name="_Toc242103342"/>
      <w:r>
        <w:rPr>
          <w:rFonts w:eastAsia="Times New Roman"/>
          <w:lang w:val="fr-FR"/>
        </w:rPr>
        <w:t>Partie B — Les conséquences dans la pratique</w:t>
      </w:r>
      <w:bookmarkEnd w:id="102"/>
    </w:p>
    <w:p w14:paraId="59F58C54" w14:textId="77777777" w:rsidR="0020702A" w:rsidRDefault="0020702A">
      <w:pPr>
        <w:pStyle w:val="Normaalweb"/>
        <w:divId w:val="1419013937"/>
        <w:rPr>
          <w:lang w:val="fr-FR"/>
        </w:rPr>
      </w:pPr>
      <w:r>
        <w:rPr>
          <w:lang w:val="fr-FR"/>
        </w:rPr>
        <w:t>Que se passe-t-il si un problème médical survient dans le pays de résidence ?</w:t>
      </w:r>
    </w:p>
    <w:p w14:paraId="3C155B91" w14:textId="77777777" w:rsidR="0020702A" w:rsidRDefault="0020702A">
      <w:pPr>
        <w:numPr>
          <w:ilvl w:val="0"/>
          <w:numId w:val="19"/>
        </w:numPr>
        <w:spacing w:before="100" w:beforeAutospacing="1" w:after="100" w:afterAutospacing="1"/>
        <w:divId w:val="1419013937"/>
        <w:rPr>
          <w:rFonts w:eastAsia="Times New Roman"/>
          <w:lang w:val="fr-FR"/>
        </w:rPr>
      </w:pPr>
      <w:r>
        <w:rPr>
          <w:rFonts w:eastAsia="Times New Roman"/>
          <w:lang w:val="fr-FR"/>
        </w:rPr>
        <w:t>Une chute à domicile, une complication aiguë du diabète, une infection de la plaie d’amputation — le médecin généraliste de garde ne connaît pas le dossier.</w:t>
      </w:r>
    </w:p>
    <w:p w14:paraId="1A66967B" w14:textId="77777777" w:rsidR="0020702A" w:rsidRDefault="0020702A">
      <w:pPr>
        <w:numPr>
          <w:ilvl w:val="0"/>
          <w:numId w:val="19"/>
        </w:numPr>
        <w:spacing w:before="100" w:beforeAutospacing="1" w:after="100" w:afterAutospacing="1"/>
        <w:divId w:val="1419013937"/>
        <w:rPr>
          <w:rFonts w:eastAsia="Times New Roman"/>
          <w:lang w:val="fr-FR"/>
        </w:rPr>
      </w:pPr>
      <w:r>
        <w:rPr>
          <w:rFonts w:eastAsia="Times New Roman"/>
          <w:lang w:val="fr-FR"/>
        </w:rPr>
        <w:t>Le praticien doit prendre une décision sur la base d’informations limitées, sans connaître les antécédents d’amputation, sans la liste des médicaments, sans les besoins spécifiques en matière de soins de la plaie.</w:t>
      </w:r>
    </w:p>
    <w:p w14:paraId="6CA7A720" w14:textId="77777777" w:rsidR="0020702A" w:rsidRDefault="0020702A">
      <w:pPr>
        <w:numPr>
          <w:ilvl w:val="0"/>
          <w:numId w:val="19"/>
        </w:numPr>
        <w:spacing w:before="100" w:beforeAutospacing="1" w:after="100" w:afterAutospacing="1"/>
        <w:divId w:val="1419013937"/>
        <w:rPr>
          <w:rFonts w:eastAsia="Times New Roman"/>
          <w:lang w:val="fr-FR"/>
        </w:rPr>
      </w:pPr>
      <w:r>
        <w:rPr>
          <w:rFonts w:eastAsia="Times New Roman"/>
          <w:lang w:val="fr-FR"/>
        </w:rPr>
        <w:t>Le patient doit expliquer lui-même le contexte — dans une situation d’urgence, il peut ne pas être en mesure de le faire.</w:t>
      </w:r>
    </w:p>
    <w:p w14:paraId="76C36A89" w14:textId="77777777" w:rsidR="0020702A" w:rsidRDefault="0020702A">
      <w:pPr>
        <w:numPr>
          <w:ilvl w:val="0"/>
          <w:numId w:val="19"/>
        </w:numPr>
        <w:spacing w:before="100" w:beforeAutospacing="1" w:after="100" w:afterAutospacing="1"/>
        <w:divId w:val="1419013937"/>
        <w:rPr>
          <w:rFonts w:eastAsia="Times New Roman"/>
          <w:lang w:val="fr-FR"/>
        </w:rPr>
      </w:pPr>
      <w:r>
        <w:rPr>
          <w:rFonts w:eastAsia="Times New Roman"/>
          <w:lang w:val="fr-FR"/>
        </w:rPr>
        <w:t>En cas d’admission d’urgence dans une clinique néerlandaise : pas de dossier, pas d’antécédents médicamenteux, pas de protocole de soins de la plaie.</w:t>
      </w:r>
    </w:p>
    <w:p w14:paraId="41DB09F9" w14:textId="77777777" w:rsidR="0020702A" w:rsidRDefault="0020702A">
      <w:pPr>
        <w:pStyle w:val="Normaalweb"/>
        <w:divId w:val="1419013937"/>
        <w:rPr>
          <w:lang w:val="fr-FR"/>
        </w:rPr>
      </w:pPr>
      <w:r>
        <w:rPr>
          <w:lang w:val="fr-FR"/>
        </w:rPr>
        <w:t>Dans le dossier, on a explicitement tenté de résoudre ce problème par le biais d’une inscription purement informative auprès d’un cabinet de médecine générale néerlandais. Pas de traitement actif, seulement la prise en compte du dossier sur le territoire néerlandais, afin qu’un service de garde ou un médecin urgentiste puisse voir de quoi il s’agit.</w:t>
      </w:r>
    </w:p>
    <w:p w14:paraId="0B1A6735" w14:textId="77777777" w:rsidR="0020702A" w:rsidRDefault="0020702A">
      <w:pPr>
        <w:pStyle w:val="Normaalweb"/>
        <w:divId w:val="1419013937"/>
        <w:rPr>
          <w:lang w:val="fr-FR"/>
        </w:rPr>
      </w:pPr>
      <w:r>
        <w:rPr>
          <w:lang w:val="fr-FR"/>
        </w:rPr>
        <w:t>Cette demande a été rejetée. Le cabinet a reconnu par téléphone que, dans un monde idéal, ce serait la bonne solution, mais que la loi ne le permettait pas. Une inscription sans relation thérapeutique active n’est pas juridiquement possible. La lettre a confirmé ce blocage du système sans laisser de place à un réexamen.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C16F230"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EF61640" w14:textId="77777777" w:rsidR="0020702A" w:rsidRDefault="0020702A">
            <w:pPr>
              <w:pStyle w:val="Normaalweb"/>
              <w:spacing w:before="120"/>
              <w:jc w:val="center"/>
              <w:rPr>
                <w:sz w:val="21"/>
                <w:szCs w:val="21"/>
              </w:rPr>
            </w:pPr>
            <w:r>
              <w:rPr>
                <w:noProof/>
                <w:sz w:val="21"/>
                <w:szCs w:val="21"/>
              </w:rPr>
              <w:drawing>
                <wp:inline distT="0" distB="0" distL="0" distR="0" wp14:anchorId="2544FA08" wp14:editId="57D2AF34">
                  <wp:extent cx="3810000" cy="1104900"/>
                  <wp:effectExtent l="0" t="0" r="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11C05F5B" w14:textId="77777777" w:rsidR="0020702A" w:rsidRDefault="0020702A">
            <w:pPr>
              <w:pStyle w:val="caption"/>
              <w:spacing w:after="120" w:afterAutospacing="0"/>
            </w:pPr>
            <w:r>
              <w:rPr>
                <w:rStyle w:val="Zwaar"/>
              </w:rPr>
              <w:t>Figure XIX.2 — Réponse du cabinet médical.</w:t>
            </w:r>
            <w:r>
              <w:t xml:space="preserve"> Le cabinet médical a reconnu qu'une inscription à titre informatif serait, en théorie, la solution idéale, mais que la loi interdit la double inscription transfrontalière. Le cabinet ne peut pas inscrire un patient sans relation thérapeutique active.</w:t>
            </w:r>
          </w:p>
        </w:tc>
      </w:tr>
    </w:tbl>
    <w:p w14:paraId="3755E3E5" w14:textId="77777777" w:rsidR="0020702A" w:rsidRDefault="0020702A">
      <w:pPr>
        <w:pStyle w:val="Kop3"/>
        <w:divId w:val="1419013937"/>
        <w:rPr>
          <w:rFonts w:eastAsia="Times New Roman"/>
          <w:lang w:val="fr-FR"/>
        </w:rPr>
      </w:pPr>
      <w:bookmarkStart w:id="103" w:name="_Toc242103343"/>
      <w:r>
        <w:rPr>
          <w:rFonts w:eastAsia="Times New Roman"/>
          <w:lang w:val="fr-FR"/>
        </w:rPr>
        <w:t>Partie C — La loi qui protège la famille et la paralyse</w:t>
      </w:r>
      <w:bookmarkEnd w:id="103"/>
    </w:p>
    <w:p w14:paraId="75149477" w14:textId="77777777" w:rsidR="0020702A" w:rsidRDefault="0020702A">
      <w:pPr>
        <w:pStyle w:val="Normaalweb"/>
        <w:divId w:val="1419013937"/>
        <w:rPr>
          <w:lang w:val="fr-FR"/>
        </w:rPr>
      </w:pPr>
      <w:r>
        <w:rPr>
          <w:lang w:val="fr-FR"/>
        </w:rPr>
        <w:t>La règle selon laquelle un patient ne peut être inscrit que dans un seul cabinet médical vise à garantir la qualité et la continuité des soins. Pour les citoyens ordinaires, cette règle fonctionne. Pour les travailleurs frontaliers qui ont toute leur vie médicale dans un autre pays, cette même règle crée une faille dans la sécurité.</w:t>
      </w:r>
    </w:p>
    <w:p w14:paraId="319095FD" w14:textId="77777777" w:rsidR="0020702A" w:rsidRDefault="0020702A">
      <w:pPr>
        <w:pStyle w:val="Normaalweb"/>
        <w:divId w:val="1419013937"/>
        <w:rPr>
          <w:lang w:val="fr-FR"/>
        </w:rPr>
      </w:pPr>
      <w:r>
        <w:rPr>
          <w:lang w:val="fr-FR"/>
        </w:rPr>
        <w:t>L’Union européenne reconnaît le droit à la libre circulation. Elle reconnaît également le droit aux soins médicaux à l’étranger. Mais elle n’apporte pas de solution au patient dont le dossier médical se trouve dans un État membre et qui réside dans un autre. La loi protège la continuité au sein d’un même pays. Elle ne prévoit pas de continuité au-delà des frontières.</w:t>
      </w:r>
    </w:p>
    <w:p w14:paraId="12D6CF06" w14:textId="77777777" w:rsidR="0020702A" w:rsidRDefault="0020702A">
      <w:pPr>
        <w:pStyle w:val="Normaalweb"/>
        <w:divId w:val="1419013937"/>
        <w:rPr>
          <w:lang w:val="fr-FR"/>
        </w:rPr>
      </w:pPr>
      <w:r>
        <w:rPr>
          <w:lang w:val="fr-FR"/>
        </w:rPr>
        <w:t>Il ne reste donc à la famille qu’une solution pragmatique : le patient emporte avec lui son dossier médical, sous forme physique ou numérique. En cas de consultation d’urgence chez un médecin néerlandais, il doit être en mesure d’expliquer lui-même sa situation. En cas d’hospitalisation aux Pays-Bas, il doit fournir lui-même ses dossiers belges. Il est non seulement le centre de données pour l’administration, mais aussi pour sa propre sécurité médicale en situation d’urgence.</w:t>
      </w:r>
    </w:p>
    <w:p w14:paraId="55D0D0ED" w14:textId="77777777" w:rsidR="0020702A" w:rsidRDefault="0020702A">
      <w:pPr>
        <w:pStyle w:val="Kop3"/>
        <w:divId w:val="1419013937"/>
        <w:rPr>
          <w:rFonts w:eastAsia="Times New Roman"/>
          <w:lang w:val="fr-FR"/>
        </w:rPr>
      </w:pPr>
      <w:bookmarkStart w:id="104" w:name="_Toc242103344"/>
      <w:r>
        <w:rPr>
          <w:rFonts w:eastAsia="Times New Roman"/>
          <w:lang w:val="fr-FR"/>
        </w:rPr>
        <w:t>Partie D — Le paradoxe</w:t>
      </w:r>
      <w:bookmarkEnd w:id="104"/>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D9A5670"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6EBF355" w14:textId="77777777" w:rsidR="0020702A" w:rsidRDefault="0020702A">
            <w:pPr>
              <w:pStyle w:val="Normaalweb"/>
              <w:spacing w:before="120"/>
              <w:jc w:val="center"/>
              <w:rPr>
                <w:sz w:val="21"/>
                <w:szCs w:val="21"/>
              </w:rPr>
            </w:pPr>
            <w:r>
              <w:rPr>
                <w:noProof/>
                <w:sz w:val="21"/>
                <w:szCs w:val="21"/>
              </w:rPr>
              <w:drawing>
                <wp:inline distT="0" distB="0" distL="0" distR="0" wp14:anchorId="38B52EDB" wp14:editId="6ABFB6BF">
                  <wp:extent cx="3810000" cy="1104900"/>
                  <wp:effectExtent l="0" t="0" r="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64E2D88C" w14:textId="77777777" w:rsidR="0020702A" w:rsidRDefault="0020702A">
            <w:pPr>
              <w:pStyle w:val="caption"/>
              <w:spacing w:after="120" w:afterAutospacing="0"/>
            </w:pPr>
            <w:r>
              <w:rPr>
                <w:rStyle w:val="Zwaar"/>
              </w:rPr>
              <w:t>Figure XIX.3 — Le paradoxe.</w:t>
            </w:r>
            <w:r>
              <w:t xml:space="preserve"> </w:t>
            </w:r>
            <w:r>
              <w:t>La loi protège la continuité des soins au sein d’un même pays. Elle ne prévoit pas de continuité au-delà des frontières. Pour un citoyen lambda, cette règle fonctionne. Pour un travailleur frontalier, cette même règle crée une faille en matière de sécurité.</w:t>
            </w:r>
          </w:p>
        </w:tc>
      </w:tr>
    </w:tbl>
    <w:p w14:paraId="54F2EFE3" w14:textId="77777777" w:rsidR="0020702A" w:rsidRDefault="0020702A">
      <w:pPr>
        <w:pStyle w:val="Kop3"/>
        <w:divId w:val="1419013937"/>
        <w:rPr>
          <w:rFonts w:eastAsia="Times New Roman"/>
          <w:lang w:val="fr-FR"/>
        </w:rPr>
      </w:pPr>
      <w:bookmarkStart w:id="105" w:name="_Toc242103345"/>
      <w:r>
        <w:rPr>
          <w:rFonts w:eastAsia="Times New Roman"/>
          <w:lang w:val="fr-FR"/>
        </w:rPr>
        <w:t>Ce que ce chapitre met en évidence</w:t>
      </w:r>
      <w:bookmarkEnd w:id="105"/>
    </w:p>
    <w:p w14:paraId="06E9B235" w14:textId="77777777" w:rsidR="0020702A" w:rsidRDefault="0020702A">
      <w:pPr>
        <w:pStyle w:val="Normaalweb"/>
        <w:divId w:val="1419013937"/>
        <w:rPr>
          <w:lang w:val="fr-FR"/>
        </w:rPr>
      </w:pPr>
      <w:r>
        <w:rPr>
          <w:lang w:val="fr-FR"/>
        </w:rPr>
        <w:t>Le patient réside aux Pays-Bas, mais l’intégralité de son dossier médical se trouve en Belgique. La loi néerlandaise interdit la double inscription auprès de médecins généralistes. Le patient ne peut donc pas s’ancrer médicalement dans le pays où il réside. Et en cas d’urgence, aucun médecin ne connaît son dossier.</w:t>
      </w:r>
    </w:p>
    <w:p w14:paraId="4E664D75" w14:textId="77777777" w:rsidR="0020702A" w:rsidRDefault="0020702A">
      <w:pPr>
        <w:pStyle w:val="Normaalweb"/>
        <w:divId w:val="1419013937"/>
        <w:rPr>
          <w:lang w:val="fr-FR"/>
        </w:rPr>
      </w:pPr>
      <w:r>
        <w:rPr>
          <w:lang w:val="fr-FR"/>
        </w:rPr>
        <w:t>Le cabinet médical contacté à ce sujet a reconnu que, dans un monde idéal, ce serait la bonne solution. La loi l’interdit. L’Union européenne reconnaît la libre circulation et les soins médicaux transfrontaliers, mais ne prévoit pas la continuité des soins au-delà des frontières. La famille résout le problème en demandant au patient de transporter lui-même son dossier. Encore une fois : non pas parce que le système le veut, mais parce qu’il n’y a pas d’autre solution.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0D54FC6"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5B64FCE"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voici</w:t>
            </w:r>
            <w:r>
              <w:rPr>
                <w:rFonts w:eastAsia="Times New Roman"/>
                <w:szCs w:val="22"/>
              </w:rPr>
              <w:t xml:space="preserve"> trois choses à savoir : </w:t>
            </w:r>
          </w:p>
          <w:p w14:paraId="7E20648E" w14:textId="77777777" w:rsidR="0020702A" w:rsidRDefault="0020702A">
            <w:pPr>
              <w:numPr>
                <w:ilvl w:val="0"/>
                <w:numId w:val="20"/>
              </w:numPr>
              <w:spacing w:before="100" w:beforeAutospacing="1" w:after="100" w:afterAutospacing="1"/>
              <w:rPr>
                <w:rFonts w:eastAsia="Times New Roman"/>
                <w:szCs w:val="22"/>
              </w:rPr>
            </w:pPr>
            <w:r>
              <w:rPr>
                <w:rFonts w:eastAsia="Times New Roman"/>
                <w:szCs w:val="22"/>
              </w:rPr>
              <w:t>Une inscription à titre informatif auprès d’un cabinet de médecine générale néerlandais n’est pas légalement possible. Demandez à votre médecin généraliste belge un passeport médical à jour sur papier (liste des médicaments, diagnostics, praticiens).</w:t>
            </w:r>
          </w:p>
          <w:p w14:paraId="3BBE89CE" w14:textId="77777777" w:rsidR="0020702A" w:rsidRDefault="0020702A">
            <w:pPr>
              <w:numPr>
                <w:ilvl w:val="0"/>
                <w:numId w:val="20"/>
              </w:numPr>
              <w:spacing w:before="100" w:beforeAutospacing="1" w:after="100" w:afterAutospacing="1"/>
              <w:rPr>
                <w:rFonts w:eastAsia="Times New Roman"/>
                <w:szCs w:val="22"/>
              </w:rPr>
            </w:pPr>
            <w:r>
              <w:rPr>
                <w:rFonts w:eastAsia="Times New Roman"/>
                <w:szCs w:val="22"/>
              </w:rPr>
              <w:t>Ayez ce passeport sur vous, même en cas d’urgence. Si nécessaire, glissez dans votre portefeuille une carte d’urgence contenant vos principales informations médicales.</w:t>
            </w:r>
          </w:p>
          <w:p w14:paraId="17B9852C" w14:textId="77777777" w:rsidR="0020702A" w:rsidRDefault="0020702A">
            <w:pPr>
              <w:numPr>
                <w:ilvl w:val="0"/>
                <w:numId w:val="20"/>
              </w:numPr>
              <w:spacing w:before="100" w:beforeAutospacing="1" w:after="100" w:afterAutospacing="1"/>
              <w:rPr>
                <w:rFonts w:eastAsia="Times New Roman"/>
                <w:szCs w:val="22"/>
              </w:rPr>
            </w:pPr>
            <w:r>
              <w:rPr>
                <w:rFonts w:eastAsia="Times New Roman"/>
                <w:szCs w:val="22"/>
              </w:rPr>
              <w:t>Conservez une version numérique des rapports les plus importants sur une clé USB ou dans un cloud sécurisé, afin de pouvoir les fournir immédiatement en cas d’hospitalisation aux Pays-Bas.</w:t>
            </w:r>
          </w:p>
          <w:p w14:paraId="43369A96" w14:textId="77777777" w:rsidR="0020702A" w:rsidRDefault="0020702A">
            <w:pPr>
              <w:spacing w:after="0"/>
              <w:rPr>
                <w:rFonts w:eastAsia="Times New Roman"/>
                <w:szCs w:val="22"/>
              </w:rPr>
            </w:pPr>
            <w:r>
              <w:rPr>
                <w:rFonts w:eastAsia="Times New Roman"/>
                <w:szCs w:val="22"/>
              </w:rPr>
              <w:t xml:space="preserve">Concernant les solutions structurelles à long terme : il s’agit là d’un des points pour lesquels l’Union européenne n’a pas encore trouvé de solution. Votre signalement contribue à faire pression pour que cela change. </w:t>
            </w:r>
          </w:p>
        </w:tc>
      </w:tr>
    </w:tbl>
    <w:p w14:paraId="32622C42"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Les faits sont bas</w:t>
      </w:r>
      <w:r>
        <w:rPr>
          <w:rFonts w:cs="Aptos"/>
          <w:lang w:val="fr-FR"/>
        </w:rPr>
        <w:t>é</w:t>
      </w:r>
      <w:r>
        <w:rPr>
          <w:lang w:val="fr-FR"/>
        </w:rPr>
        <w:t>s sur le document B. Ce chapitre ne constitue pas un avis juridique ou m</w:t>
      </w:r>
      <w:r>
        <w:rPr>
          <w:rFonts w:cs="Aptos"/>
          <w:lang w:val="fr-FR"/>
        </w:rPr>
        <w:t>é</w:t>
      </w:r>
      <w:r>
        <w:rPr>
          <w:lang w:val="fr-FR"/>
        </w:rPr>
        <w:t>dical.</w:t>
      </w:r>
    </w:p>
    <w:p w14:paraId="098979FC" w14:textId="77777777" w:rsidR="0020702A" w:rsidRDefault="0020702A">
      <w:pPr>
        <w:pStyle w:val="marker"/>
        <w:ind w:left="800" w:right="800"/>
        <w:divId w:val="1419013937"/>
        <w:rPr>
          <w:lang w:val="fr-FR"/>
        </w:rPr>
      </w:pPr>
      <w:r>
        <w:br w:type="page"/>
      </w:r>
    </w:p>
    <w:p w14:paraId="2CE87CCF" w14:textId="77777777" w:rsidR="0020702A" w:rsidRDefault="0020702A">
      <w:pPr>
        <w:pStyle w:val="Kop2"/>
        <w:divId w:val="1419013937"/>
        <w:rPr>
          <w:rFonts w:eastAsia="Times New Roman"/>
          <w:lang w:val="fr-FR"/>
        </w:rPr>
      </w:pPr>
      <w:bookmarkStart w:id="106" w:name="_Toc242103346"/>
      <w:r>
        <w:rPr>
          <w:rFonts w:eastAsia="Times New Roman"/>
          <w:lang w:val="fr-FR"/>
        </w:rPr>
        <w:t>Le fonds commun</w:t>
      </w:r>
      <w:bookmarkEnd w:id="106"/>
    </w:p>
    <w:p w14:paraId="6E08EDBC" w14:textId="77777777" w:rsidR="0020702A" w:rsidRDefault="0020702A">
      <w:pPr>
        <w:pStyle w:val="lead"/>
        <w:divId w:val="1419013937"/>
        <w:rPr>
          <w:lang w:val="fr-FR"/>
        </w:rPr>
      </w:pPr>
      <w:r>
        <w:rPr>
          <w:lang w:val="fr-FR"/>
        </w:rPr>
        <w:t>Tous les chapitres précédents ont décrit des instances qui refusent d’agir, des procédures qui s’enlisent et des systèmes qui ne tiennent pas compte de la réalité. Ce chapitre en présente le résultat. Lorsque les prestations ne sont pas versées, que les allocations restent à zéro, que les frais médicaux ne cessent d’augmenter et que personne ne comble le déficit, il ne reste plus qu’un seul acteur : le marché privé. La banque. Le fournisseur d’énergie. Le gestionnaire de réseau. Et ceux-ci ne fonctionnent p</w:t>
      </w:r>
      <w:r>
        <w:rPr>
          <w:lang w:val="fr-FR"/>
        </w:rPr>
        <w:t>as selon des protocoles, mais selon des délais de recouvrement.</w:t>
      </w:r>
    </w:p>
    <w:p w14:paraId="67952BA6" w14:textId="77777777" w:rsidR="0020702A" w:rsidRDefault="0020702A">
      <w:pPr>
        <w:pStyle w:val="Kop3"/>
        <w:divId w:val="1419013937"/>
        <w:rPr>
          <w:rFonts w:eastAsia="Times New Roman"/>
          <w:lang w:val="fr-FR"/>
        </w:rPr>
      </w:pPr>
      <w:bookmarkStart w:id="107" w:name="_Toc242103347"/>
      <w:r>
        <w:rPr>
          <w:rFonts w:eastAsia="Times New Roman"/>
          <w:lang w:val="fr-FR"/>
        </w:rPr>
        <w:t>Partie A — Le compte bancaire comme réserve</w:t>
      </w:r>
      <w:bookmarkEnd w:id="10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D9854E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0B85DF0" w14:textId="77777777" w:rsidR="0020702A" w:rsidRDefault="0020702A">
            <w:pPr>
              <w:pStyle w:val="Normaalweb"/>
              <w:spacing w:before="120"/>
              <w:jc w:val="center"/>
              <w:rPr>
                <w:sz w:val="21"/>
                <w:szCs w:val="21"/>
              </w:rPr>
            </w:pPr>
            <w:r>
              <w:rPr>
                <w:noProof/>
                <w:sz w:val="21"/>
                <w:szCs w:val="21"/>
              </w:rPr>
              <w:drawing>
                <wp:inline distT="0" distB="0" distL="0" distR="0" wp14:anchorId="5BE22805" wp14:editId="7C127281">
                  <wp:extent cx="3810000" cy="1593850"/>
                  <wp:effectExtent l="0" t="0" r="0" b="635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1BF8A9D7" w14:textId="77777777" w:rsidR="0020702A" w:rsidRDefault="0020702A">
            <w:pPr>
              <w:pStyle w:val="caption"/>
              <w:spacing w:after="120" w:afterAutospacing="0"/>
            </w:pPr>
            <w:r>
              <w:rPr>
                <w:rStyle w:val="Zwaar"/>
              </w:rPr>
              <w:t>Figure XX.1 — Le compte bancaire comme réservoir.</w:t>
            </w:r>
            <w:r>
              <w:t xml:space="preserve"> Ce qui n’entre pas sous forme de prestations et d’allocations, et ce qui s’écoule en frais médicaux, crée un déficit sur le compte bancaire. Ce déficit est comblé par des acteurs commerciaux : la banque, le fournisseur d’énergie, l’agence de recouvrement. Moyennant des intérêts, des pénalités et des conditions strictes.</w:t>
            </w:r>
          </w:p>
        </w:tc>
      </w:tr>
    </w:tbl>
    <w:p w14:paraId="47FEEE4D" w14:textId="77777777" w:rsidR="0020702A" w:rsidRDefault="0020702A">
      <w:pPr>
        <w:pStyle w:val="Kop3"/>
        <w:divId w:val="1419013937"/>
        <w:rPr>
          <w:rFonts w:eastAsia="Times New Roman"/>
          <w:lang w:val="fr-FR"/>
        </w:rPr>
      </w:pPr>
      <w:bookmarkStart w:id="108" w:name="_Toc242103348"/>
      <w:r>
        <w:rPr>
          <w:rFonts w:eastAsia="Times New Roman"/>
          <w:lang w:val="fr-FR"/>
        </w:rPr>
        <w:t>Partie B — Les trois portes privées</w:t>
      </w:r>
      <w:bookmarkEnd w:id="108"/>
    </w:p>
    <w:p w14:paraId="1A08D086" w14:textId="77777777" w:rsidR="0020702A" w:rsidRDefault="0020702A">
      <w:pPr>
        <w:pStyle w:val="Kop4"/>
        <w:divId w:val="1419013937"/>
        <w:rPr>
          <w:rFonts w:eastAsia="Times New Roman"/>
          <w:lang w:val="fr-FR"/>
        </w:rPr>
      </w:pPr>
      <w:r>
        <w:rPr>
          <w:rFonts w:eastAsia="Times New Roman"/>
          <w:lang w:val="fr-FR"/>
        </w:rPr>
        <w:t>ING — La banque comme bouée de sauvetage</w:t>
      </w:r>
    </w:p>
    <w:p w14:paraId="5F346245" w14:textId="77777777" w:rsidR="0020702A" w:rsidRDefault="0020702A">
      <w:pPr>
        <w:pStyle w:val="Normaalweb"/>
        <w:divId w:val="1419013937"/>
        <w:rPr>
          <w:lang w:val="fr-FR"/>
        </w:rPr>
      </w:pPr>
      <w:r>
        <w:rPr>
          <w:lang w:val="fr-FR"/>
        </w:rPr>
        <w:t>Lorsque les versements de l’État cessent et que les frais médicaux continuent de s’accumuler, le compte bancaire commun passe dans le rouge. La carte de crédit atteint sa limite. ING propose un plan de remboursement : la totalité de la dette est transférée sur un compte distinct et remboursée en vingt-quatre mois.</w:t>
      </w:r>
    </w:p>
    <w:p w14:paraId="77AAD6BE" w14:textId="77777777" w:rsidR="0020702A" w:rsidRDefault="0020702A">
      <w:pPr>
        <w:pStyle w:val="Normaalweb"/>
        <w:divId w:val="1419013937"/>
        <w:rPr>
          <w:lang w:val="fr-FR"/>
        </w:rPr>
      </w:pPr>
      <w:r>
        <w:rPr>
          <w:lang w:val="fr-FR"/>
        </w:rPr>
        <w:t>Ce que la banque impose : interdiction de dépasser le solde disponible pendant trois mois. Pas de carte de crédit pendant douze mois. Remboursement mensuel de 286,55 €. Quiconque ne respecte pas ces conditions perd le bénéfice de cet accord.</w:t>
      </w:r>
    </w:p>
    <w:p w14:paraId="6FFD2384" w14:textId="77777777" w:rsidR="0020702A" w:rsidRDefault="0020702A">
      <w:pPr>
        <w:pStyle w:val="Normaalweb"/>
        <w:divId w:val="1419013937"/>
        <w:rPr>
          <w:lang w:val="fr-FR"/>
        </w:rPr>
      </w:pPr>
      <w:r>
        <w:rPr>
          <w:lang w:val="fr-FR"/>
        </w:rPr>
        <w:t>La banque n’agit pas ici de mauvaise foi. Elle applique une logique commerciale. Mais la logique du marché n’est pas celle du droit social. Les autorités publiques qui sont à l’origine du déficit n’assument aucune responsabilité quant aux intérêts et aux pénalités que la famille doit payer.</w:t>
      </w:r>
    </w:p>
    <w:p w14:paraId="5D487FC1" w14:textId="77777777" w:rsidR="0020702A" w:rsidRDefault="0020702A">
      <w:pPr>
        <w:pStyle w:val="Kop4"/>
        <w:divId w:val="1419013937"/>
        <w:rPr>
          <w:rFonts w:eastAsia="Times New Roman"/>
          <w:lang w:val="fr-FR"/>
        </w:rPr>
      </w:pPr>
      <w:r>
        <w:rPr>
          <w:rFonts w:eastAsia="Times New Roman"/>
          <w:lang w:val="fr-FR"/>
        </w:rPr>
        <w:t>Vattenfall — le fournisseur d’énergie</w:t>
      </w:r>
    </w:p>
    <w:p w14:paraId="4159F23E" w14:textId="77777777" w:rsidR="0020702A" w:rsidRDefault="0020702A">
      <w:pPr>
        <w:pStyle w:val="Normaalweb"/>
        <w:divId w:val="1419013937"/>
        <w:rPr>
          <w:lang w:val="fr-FR"/>
        </w:rPr>
      </w:pPr>
      <w:r>
        <w:rPr>
          <w:lang w:val="fr-FR"/>
        </w:rPr>
        <w:t>Le fournisseur d’énergie constate que les arriérés de paiement s’accumulent. Des plans de paiement sont conclus, rompus, puis rétablis. Les mensualités sont augmentées pour éviter un rappel de paiement. Et lorsque le patient invoque le statut de protection de « consommateur médicalement vulnérable », Vattenfall exige une attestation d’un médecin néerlandais indépendant.</w:t>
      </w:r>
    </w:p>
    <w:p w14:paraId="32AF1A47" w14:textId="77777777" w:rsidR="0020702A" w:rsidRDefault="0020702A">
      <w:pPr>
        <w:pStyle w:val="Normaalweb"/>
        <w:divId w:val="1419013937"/>
        <w:rPr>
          <w:lang w:val="fr-FR"/>
        </w:rPr>
      </w:pPr>
      <w:r>
        <w:rPr>
          <w:lang w:val="fr-FR"/>
        </w:rPr>
        <w:t>Cette exigence est impossible à satisfaire pour un travailleur frontalier. Les médecins généralistes refusent, le GGD refuse, le secteur privé demande des tarifs exorbitants pour un examen à distance. La famille envoie un certificat médical belge. Vattenfall refuse de la reconnaître. Ce n’est qu’après plusieurs mois que le fournisseur admet que cette exigence était injustifiée et que la compétence revient au gestionnaire de réseau.</w:t>
      </w:r>
    </w:p>
    <w:p w14:paraId="028FE2E6" w14:textId="77777777" w:rsidR="0020702A" w:rsidRDefault="0020702A">
      <w:pPr>
        <w:pStyle w:val="Normaalweb"/>
        <w:divId w:val="1419013937"/>
        <w:rPr>
          <w:lang w:val="fr-FR"/>
        </w:rPr>
      </w:pPr>
      <w:r>
        <w:rPr>
          <w:lang w:val="fr-FR"/>
        </w:rPr>
        <w:t>Finalement, la créance impayée est confiée à l’agence de recouvrement Flanderijn. La dette totale s’élève à plus de 2 300 €.</w:t>
      </w:r>
    </w:p>
    <w:p w14:paraId="65004182" w14:textId="77777777" w:rsidR="0020702A" w:rsidRDefault="0020702A">
      <w:pPr>
        <w:pStyle w:val="Kop4"/>
        <w:divId w:val="1419013937"/>
        <w:rPr>
          <w:rFonts w:eastAsia="Times New Roman"/>
          <w:lang w:val="fr-FR"/>
        </w:rPr>
      </w:pPr>
      <w:r>
        <w:rPr>
          <w:rFonts w:eastAsia="Times New Roman"/>
          <w:lang w:val="fr-FR"/>
        </w:rPr>
        <w:t>Stedin — le gestionnaire de réseau</w:t>
      </w:r>
    </w:p>
    <w:p w14:paraId="55DDFBA8" w14:textId="77777777" w:rsidR="0020702A" w:rsidRDefault="0020702A">
      <w:pPr>
        <w:pStyle w:val="Normaalweb"/>
        <w:divId w:val="1419013937"/>
        <w:rPr>
          <w:lang w:val="fr-FR"/>
        </w:rPr>
      </w:pPr>
      <w:r>
        <w:rPr>
          <w:lang w:val="fr-FR"/>
        </w:rPr>
        <w:t>Après le renvoi tardif de Vattenfall, le dossier aboutit chez le gestionnaire de réseau. Stedin est légalement responsable de la fourniture physique. Le patient doit présenter à nouveau l’intégralité des justificatifs médicaux à un nouvel organisme privé. Aucun transfert de données, aucune reconnaissance des documents déjà fournis.</w:t>
      </w:r>
    </w:p>
    <w:p w14:paraId="400C4E4C" w14:textId="77777777" w:rsidR="0020702A" w:rsidRDefault="0020702A">
      <w:pPr>
        <w:pStyle w:val="Normaalweb"/>
        <w:divId w:val="1419013937"/>
        <w:rPr>
          <w:lang w:val="fr-FR"/>
        </w:rPr>
      </w:pPr>
      <w:r>
        <w:rPr>
          <w:lang w:val="fr-FR"/>
        </w:rPr>
        <w:t>Stedin est l’organisme capable de garantir l’alimentation électrique, ce qui est crucial pour le stockage réfrigéré de l’insuline. Mais là encore, le patient doit reconstituer l’intégralité de son dossier médical, sans que la demande antérieure auprès de Vattenfall ne soit prise en compte.</w:t>
      </w:r>
    </w:p>
    <w:p w14:paraId="33249386" w14:textId="77777777" w:rsidR="0020702A" w:rsidRDefault="0020702A">
      <w:pPr>
        <w:pStyle w:val="Kop3"/>
        <w:divId w:val="1419013937"/>
        <w:rPr>
          <w:rFonts w:eastAsia="Times New Roman"/>
          <w:lang w:val="fr-FR"/>
        </w:rPr>
      </w:pPr>
      <w:bookmarkStart w:id="109" w:name="_Toc242103349"/>
      <w:r>
        <w:rPr>
          <w:rFonts w:eastAsia="Times New Roman"/>
          <w:lang w:val="fr-FR"/>
        </w:rPr>
        <w:t>Partie C — La banque en tant que créancier de facto de l’État-providence</w:t>
      </w:r>
      <w:bookmarkEnd w:id="109"/>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82B450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D3C5453" w14:textId="77777777" w:rsidR="0020702A" w:rsidRDefault="0020702A">
            <w:pPr>
              <w:pStyle w:val="Normaalweb"/>
              <w:spacing w:before="120"/>
              <w:jc w:val="center"/>
              <w:rPr>
                <w:sz w:val="21"/>
                <w:szCs w:val="21"/>
              </w:rPr>
            </w:pPr>
            <w:r>
              <w:rPr>
                <w:noProof/>
                <w:sz w:val="21"/>
                <w:szCs w:val="21"/>
              </w:rPr>
              <w:drawing>
                <wp:inline distT="0" distB="0" distL="0" distR="0" wp14:anchorId="6AE8590B" wp14:editId="081DD8CA">
                  <wp:extent cx="3810000" cy="1454150"/>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2E7BA30F" w14:textId="77777777" w:rsidR="0020702A" w:rsidRDefault="0020702A">
            <w:pPr>
              <w:pStyle w:val="caption"/>
              <w:spacing w:after="120" w:afterAutospacing="0"/>
            </w:pPr>
            <w:r>
              <w:rPr>
                <w:rStyle w:val="Zwaar"/>
              </w:rPr>
              <w:t>Figure XX.2 — Qui supporte la dette ?</w:t>
            </w:r>
            <w:r>
              <w:t xml:space="preserve"> L’État est à l’origine du déficit et n’en assume aucune responsabilité. Le marché privé comble le déficit et encaisse les intérêts. La famille en subit les conséquences : perte de revenus, perte d’allocations, intérêts croissants, frais de recouvrement, appauvrissement accru.</w:t>
            </w:r>
          </w:p>
        </w:tc>
      </w:tr>
    </w:tbl>
    <w:p w14:paraId="0F04CBF5" w14:textId="77777777" w:rsidR="0020702A" w:rsidRDefault="0020702A">
      <w:pPr>
        <w:pStyle w:val="Kop3"/>
        <w:divId w:val="1419013937"/>
        <w:rPr>
          <w:rFonts w:eastAsia="Times New Roman"/>
          <w:lang w:val="fr-FR"/>
        </w:rPr>
      </w:pPr>
      <w:bookmarkStart w:id="110" w:name="_Toc242103350"/>
      <w:r>
        <w:rPr>
          <w:rFonts w:eastAsia="Times New Roman"/>
          <w:lang w:val="fr-FR"/>
        </w:rPr>
        <w:t>Ce que ce chapitre met en évidence</w:t>
      </w:r>
      <w:bookmarkEnd w:id="110"/>
    </w:p>
    <w:p w14:paraId="46112D60" w14:textId="77777777" w:rsidR="0020702A" w:rsidRDefault="0020702A">
      <w:pPr>
        <w:pStyle w:val="Normaalweb"/>
        <w:divId w:val="1419013937"/>
        <w:rPr>
          <w:lang w:val="fr-FR"/>
        </w:rPr>
      </w:pPr>
      <w:r>
        <w:rPr>
          <w:lang w:val="fr-FR"/>
        </w:rPr>
        <w:t>La chaîne des défaillances des instances publiques aboutit finalement à un seul point central : le compte bancaire. Ce qui n’y entre pas, et ce qui en s’en échappe, détermine jusqu’où la famille s’enfonce. Et ce que la famille ne peut pas absorber est pris en charge par le marché commercial — moyennant des intérêts, des pénalités et des frais de recouvrement.</w:t>
      </w:r>
    </w:p>
    <w:p w14:paraId="1C069EA2" w14:textId="77777777" w:rsidR="0020702A" w:rsidRDefault="0020702A">
      <w:pPr>
        <w:pStyle w:val="Normaalweb"/>
        <w:divId w:val="1419013937"/>
        <w:rPr>
          <w:lang w:val="fr-FR"/>
        </w:rPr>
      </w:pPr>
      <w:r>
        <w:rPr>
          <w:lang w:val="fr-FR"/>
        </w:rPr>
        <w:t>Les acteurs privés ne sont pas les coupables dans cette affaire. Ils appliquent une logique commerciale. Ce que ce chapitre montre, c’est que l’État s’est soustrait à une partie de ses responsabilités. Le vide qu’il laisse est comblé par le marché. Mais le marché ne comble pas les lacunes par solidarité. Le marché comble ces lacunes à un certain prix.</w:t>
      </w:r>
    </w:p>
    <w:p w14:paraId="45006FC3" w14:textId="77777777" w:rsidR="0020702A" w:rsidRDefault="0020702A">
      <w:pPr>
        <w:pStyle w:val="Normaalweb"/>
        <w:divId w:val="1419013937"/>
        <w:rPr>
          <w:lang w:val="fr-FR"/>
        </w:rPr>
      </w:pPr>
      <w:r>
        <w:rPr>
          <w:lang w:val="fr-FR"/>
        </w:rPr>
        <w:t>Et ce prix est payé par la famille qui n’a déjà aucun revenu. Par les parents qui ne perçoivent déjà aucune allocation. Par le patient dont les amputations ne sont indemnisées par personne. Par l’enfant qui ne joue aucun rôle dans ce jeu mais qui en subit les conséquences.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3959059"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3CCC6D8C"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la chaîne commerciale se moque bien de la cause de la dette. Ce qui peut vous aider : </w:t>
            </w:r>
          </w:p>
          <w:p w14:paraId="0993684F" w14:textId="77777777" w:rsidR="0020702A" w:rsidRDefault="0020702A">
            <w:pPr>
              <w:numPr>
                <w:ilvl w:val="0"/>
                <w:numId w:val="21"/>
              </w:numPr>
              <w:spacing w:before="100" w:beforeAutospacing="1" w:after="100" w:afterAutospacing="1"/>
              <w:rPr>
                <w:rFonts w:eastAsia="Times New Roman"/>
                <w:szCs w:val="22"/>
              </w:rPr>
            </w:pPr>
            <w:r>
              <w:rPr>
                <w:rFonts w:eastAsia="Times New Roman"/>
                <w:szCs w:val="22"/>
              </w:rPr>
              <w:t>Rassemblez des preuves de chaque refus des pouvoirs publics ayant conduit à la dette. Prouvez que la dette n’est pas le résultat de vos propres choix, mais de la défaillance des autorités.</w:t>
            </w:r>
          </w:p>
          <w:p w14:paraId="77154702" w14:textId="77777777" w:rsidR="0020702A" w:rsidRDefault="0020702A">
            <w:pPr>
              <w:numPr>
                <w:ilvl w:val="0"/>
                <w:numId w:val="21"/>
              </w:numPr>
              <w:spacing w:before="100" w:beforeAutospacing="1" w:after="100" w:afterAutospacing="1"/>
              <w:rPr>
                <w:rFonts w:eastAsia="Times New Roman"/>
                <w:szCs w:val="22"/>
              </w:rPr>
            </w:pPr>
            <w:r>
              <w:rPr>
                <w:rFonts w:eastAsia="Times New Roman"/>
                <w:szCs w:val="22"/>
              </w:rPr>
              <w:t>Demandez à la commune une aide sociale exceptionnelle pour les dettes contractées. Si la commune refuse, déposez un recours formel et invoquez la chaîne causale.</w:t>
            </w:r>
          </w:p>
          <w:p w14:paraId="06520D4B" w14:textId="77777777" w:rsidR="0020702A" w:rsidRDefault="0020702A">
            <w:pPr>
              <w:numPr>
                <w:ilvl w:val="0"/>
                <w:numId w:val="21"/>
              </w:numPr>
              <w:spacing w:before="100" w:beforeAutospacing="1" w:after="100" w:afterAutospacing="1"/>
              <w:rPr>
                <w:rFonts w:eastAsia="Times New Roman"/>
                <w:szCs w:val="22"/>
              </w:rPr>
            </w:pPr>
            <w:r>
              <w:rPr>
                <w:rFonts w:eastAsia="Times New Roman"/>
                <w:szCs w:val="22"/>
              </w:rPr>
              <w:t>Contactez le service d’aide au désendettement de votre commune (via le « Loket Schuldhulpverlening »). Demandez un règlement à l’amiable de la dette qui tienne compte de la cause de celle-ci.</w:t>
            </w:r>
          </w:p>
          <w:p w14:paraId="14D4A993" w14:textId="77777777" w:rsidR="0020702A" w:rsidRDefault="0020702A">
            <w:pPr>
              <w:numPr>
                <w:ilvl w:val="0"/>
                <w:numId w:val="21"/>
              </w:numPr>
              <w:spacing w:before="100" w:beforeAutospacing="1" w:after="100" w:afterAutospacing="1"/>
              <w:rPr>
                <w:rFonts w:eastAsia="Times New Roman"/>
                <w:szCs w:val="22"/>
              </w:rPr>
            </w:pPr>
            <w:r>
              <w:rPr>
                <w:rFonts w:eastAsia="Times New Roman"/>
                <w:szCs w:val="22"/>
              </w:rPr>
              <w:t>Faites appel à un conseiller social ou à un conseiller juridique (via le syndicat ou le « Juridisch Loket ») pour négocier avec les parties commerciales.</w:t>
            </w:r>
          </w:p>
          <w:p w14:paraId="3D7A3023" w14:textId="77777777" w:rsidR="0020702A" w:rsidRDefault="0020702A">
            <w:pPr>
              <w:spacing w:after="0"/>
              <w:rPr>
                <w:rFonts w:eastAsia="Times New Roman"/>
                <w:szCs w:val="22"/>
              </w:rPr>
            </w:pPr>
            <w:r>
              <w:rPr>
                <w:rFonts w:eastAsia="Times New Roman"/>
                <w:szCs w:val="22"/>
              </w:rPr>
              <w:t xml:space="preserve">Le secteur privé n’est pas tenu de prendre en compte la cause. Toutefois, l’établissement d’une chaîne causale peut modifier la position de négociation. </w:t>
            </w:r>
          </w:p>
        </w:tc>
      </w:tr>
    </w:tbl>
    <w:p w14:paraId="6BCF73CE"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Les faits et les montants sont bas</w:t>
      </w:r>
      <w:r>
        <w:rPr>
          <w:rFonts w:cs="Aptos"/>
          <w:lang w:val="fr-FR"/>
        </w:rPr>
        <w:t>é</w:t>
      </w:r>
      <w:r>
        <w:rPr>
          <w:lang w:val="fr-FR"/>
        </w:rPr>
        <w:t>s sur le document B. Ce chapitre ne constitue pas un conseil juridique ou financier.</w:t>
      </w:r>
    </w:p>
    <w:p w14:paraId="3DF2C11A" w14:textId="77777777" w:rsidR="0020702A" w:rsidRDefault="0020702A">
      <w:pPr>
        <w:pStyle w:val="marker"/>
        <w:ind w:left="800" w:right="800"/>
        <w:divId w:val="1419013937"/>
        <w:rPr>
          <w:lang w:val="fr-FR"/>
        </w:rPr>
      </w:pPr>
      <w:r>
        <w:br w:type="page"/>
      </w:r>
    </w:p>
    <w:p w14:paraId="16D26B8A" w14:textId="77777777" w:rsidR="0020702A" w:rsidRDefault="0020702A">
      <w:pPr>
        <w:pStyle w:val="Kop1"/>
        <w:divId w:val="1419013937"/>
        <w:rPr>
          <w:rFonts w:eastAsia="Times New Roman"/>
          <w:lang w:val="fr-FR"/>
        </w:rPr>
      </w:pPr>
      <w:bookmarkStart w:id="111" w:name="_Toc242103351"/>
      <w:r>
        <w:rPr>
          <w:rFonts w:eastAsia="Times New Roman"/>
          <w:lang w:val="fr-FR"/>
        </w:rPr>
        <w:t>V. Europe</w:t>
      </w:r>
      <w:bookmarkEnd w:id="111"/>
    </w:p>
    <w:p w14:paraId="21744AE0" w14:textId="77777777" w:rsidR="0020702A" w:rsidRDefault="0020702A">
      <w:pPr>
        <w:pStyle w:val="Kop2"/>
        <w:divId w:val="1419013937"/>
        <w:rPr>
          <w:rFonts w:eastAsia="Times New Roman"/>
          <w:lang w:val="fr-FR"/>
        </w:rPr>
      </w:pPr>
      <w:bookmarkStart w:id="112" w:name="_Toc242103352"/>
      <w:r>
        <w:rPr>
          <w:rFonts w:eastAsia="Times New Roman"/>
          <w:lang w:val="fr-FR"/>
        </w:rPr>
        <w:t>Le niveau européen</w:t>
      </w:r>
      <w:bookmarkEnd w:id="112"/>
    </w:p>
    <w:p w14:paraId="056940A1" w14:textId="77777777" w:rsidR="0020702A" w:rsidRDefault="0020702A">
      <w:pPr>
        <w:pStyle w:val="lead"/>
        <w:divId w:val="1419013937"/>
        <w:rPr>
          <w:lang w:val="fr-FR"/>
        </w:rPr>
      </w:pPr>
      <w:r>
        <w:rPr>
          <w:lang w:val="fr-FR"/>
        </w:rPr>
        <w:t>Lorsque les voies nationales sont épuisées et que la politique nationale n’intervient pas, il reste encore un niveau : l’Europe. En théorie, l’Europe devrait apporter la solution à un problème transfrontalier. Dans la pratique, il s’avère que la plupart des instances européennes ne disposent pas du mandat nécessaire pour débloquer une chaîne nationale enlisée. Mais deux exceptions sont apparues dans ce dossier. Deux ouvertures auxquelles personne ne s’attendait.</w:t>
      </w:r>
    </w:p>
    <w:p w14:paraId="31E11E61" w14:textId="77777777" w:rsidR="0020702A" w:rsidRDefault="0020702A">
      <w:pPr>
        <w:pStyle w:val="Kop3"/>
        <w:divId w:val="1419013937"/>
        <w:rPr>
          <w:rFonts w:eastAsia="Times New Roman"/>
          <w:lang w:val="fr-FR"/>
        </w:rPr>
      </w:pPr>
      <w:bookmarkStart w:id="113" w:name="_Toc242103353"/>
      <w:r>
        <w:rPr>
          <w:rFonts w:eastAsia="Times New Roman"/>
          <w:lang w:val="fr-FR"/>
        </w:rPr>
        <w:t>Partie A — Les niveaux européen et international</w:t>
      </w:r>
      <w:bookmarkEnd w:id="11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A30239B"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4574A6E" w14:textId="77777777" w:rsidR="0020702A" w:rsidRDefault="0020702A">
            <w:pPr>
              <w:pStyle w:val="Normaalweb"/>
              <w:spacing w:before="120"/>
              <w:jc w:val="center"/>
              <w:rPr>
                <w:sz w:val="21"/>
                <w:szCs w:val="21"/>
              </w:rPr>
            </w:pPr>
            <w:r>
              <w:rPr>
                <w:noProof/>
                <w:sz w:val="21"/>
                <w:szCs w:val="21"/>
              </w:rPr>
              <w:drawing>
                <wp:inline distT="0" distB="0" distL="0" distR="0" wp14:anchorId="78931A4B" wp14:editId="148331E5">
                  <wp:extent cx="3816350" cy="1987550"/>
                  <wp:effectExtent l="0" t="0" r="0"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816350" cy="1987550"/>
                          </a:xfrm>
                          <a:prstGeom prst="rect">
                            <a:avLst/>
                          </a:prstGeom>
                          <a:noFill/>
                          <a:ln>
                            <a:noFill/>
                          </a:ln>
                        </pic:spPr>
                      </pic:pic>
                    </a:graphicData>
                  </a:graphic>
                </wp:inline>
              </w:drawing>
            </w:r>
          </w:p>
          <w:p w14:paraId="43CF139C" w14:textId="77777777" w:rsidR="0020702A" w:rsidRDefault="0020702A">
            <w:pPr>
              <w:pStyle w:val="caption"/>
              <w:spacing w:after="120" w:afterAutospacing="0"/>
            </w:pPr>
            <w:r>
              <w:rPr>
                <w:rStyle w:val="Zwaar"/>
              </w:rPr>
              <w:t>Figure XXII.1 — Les niveaux européen et international.</w:t>
            </w:r>
            <w:r>
              <w:t xml:space="preserve"> </w:t>
            </w:r>
            <w:r>
              <w:t>Chacun avec son propre mandat, chacun avec ses propres limites. Deux exceptions se démarquent : le Parlement européen, où la pétition n° 1034/2026 a été rendue publique et est ouverte aux cosignataires, et la Commission, qui examine depuis 2022 plusieurs plaintes pour infraction contre la Belgique et la Flandre.</w:t>
            </w:r>
          </w:p>
        </w:tc>
      </w:tr>
    </w:tbl>
    <w:p w14:paraId="23D2ECA5" w14:textId="77777777" w:rsidR="0020702A" w:rsidRDefault="0020702A">
      <w:pPr>
        <w:pStyle w:val="Kop3"/>
        <w:divId w:val="1419013937"/>
        <w:rPr>
          <w:rFonts w:eastAsia="Times New Roman"/>
          <w:lang w:val="fr-FR"/>
        </w:rPr>
      </w:pPr>
      <w:bookmarkStart w:id="114" w:name="_Toc242103354"/>
      <w:r>
        <w:rPr>
          <w:rFonts w:eastAsia="Times New Roman"/>
          <w:lang w:val="fr-FR"/>
        </w:rPr>
        <w:t>Partie B — Le cercle vicieux</w:t>
      </w:r>
      <w:bookmarkEnd w:id="114"/>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F1FC1E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DCD28D1" w14:textId="77777777" w:rsidR="0020702A" w:rsidRDefault="0020702A">
            <w:pPr>
              <w:pStyle w:val="Normaalweb"/>
              <w:spacing w:before="120"/>
              <w:jc w:val="center"/>
              <w:rPr>
                <w:sz w:val="21"/>
                <w:szCs w:val="21"/>
              </w:rPr>
            </w:pPr>
            <w:r>
              <w:rPr>
                <w:noProof/>
                <w:sz w:val="21"/>
                <w:szCs w:val="21"/>
              </w:rPr>
              <w:drawing>
                <wp:inline distT="0" distB="0" distL="0" distR="0" wp14:anchorId="38E7D24D" wp14:editId="081E7BE2">
                  <wp:extent cx="3810000" cy="1784350"/>
                  <wp:effectExtent l="0" t="0" r="0" b="635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72A3C093" w14:textId="77777777" w:rsidR="0020702A" w:rsidRDefault="0020702A">
            <w:pPr>
              <w:pStyle w:val="caption"/>
              <w:spacing w:after="120" w:afterAutospacing="0"/>
            </w:pPr>
            <w:r>
              <w:rPr>
                <w:rStyle w:val="Zwaar"/>
              </w:rPr>
              <w:t>Figure XXII.2 — Le renvoi circulaire.</w:t>
            </w:r>
            <w:r>
              <w:t xml:space="preserve"> Les institutions européennes se renvoient les unes aux autres. La Commission attend les États membres. Les États membres attendent la Commission. SOLVIT attend qu’une violation manifeste soit constatée. Le ELA attend une demande des États. Le Parlement ne peut pas réviser les décisions nationales. La CEDH attend les procédures judiciaires nationales.</w:t>
            </w:r>
          </w:p>
        </w:tc>
      </w:tr>
    </w:tbl>
    <w:p w14:paraId="505EE0E2" w14:textId="77777777" w:rsidR="0020702A" w:rsidRDefault="0020702A">
      <w:pPr>
        <w:pStyle w:val="Kop3"/>
        <w:divId w:val="1419013937"/>
        <w:rPr>
          <w:rFonts w:eastAsia="Times New Roman"/>
          <w:lang w:val="fr-FR"/>
        </w:rPr>
      </w:pPr>
      <w:bookmarkStart w:id="115" w:name="_Toc242103355"/>
      <w:r>
        <w:rPr>
          <w:rFonts w:eastAsia="Times New Roman"/>
          <w:lang w:val="fr-FR"/>
        </w:rPr>
        <w:t>Partie C — Les deux ouvertures</w:t>
      </w:r>
      <w:bookmarkEnd w:id="115"/>
    </w:p>
    <w:p w14:paraId="62E624C0" w14:textId="77777777" w:rsidR="0020702A" w:rsidRDefault="0020702A">
      <w:pPr>
        <w:pStyle w:val="Normaalweb"/>
        <w:divId w:val="1419013937"/>
        <w:rPr>
          <w:lang w:val="fr-FR"/>
        </w:rPr>
      </w:pPr>
      <w:r>
        <w:rPr>
          <w:lang w:val="fr-FR"/>
        </w:rPr>
        <w:t>Dans ce cercle apparemment fermé, deux ouvertures inattendues sont apparues en septembre 2026.</w:t>
      </w:r>
    </w:p>
    <w:p w14:paraId="321CD41C" w14:textId="77777777" w:rsidR="0020702A" w:rsidRDefault="0020702A">
      <w:pPr>
        <w:pStyle w:val="Kop4"/>
        <w:divId w:val="1419013937"/>
        <w:rPr>
          <w:rFonts w:eastAsia="Times New Roman"/>
          <w:lang w:val="fr-FR"/>
        </w:rPr>
      </w:pPr>
      <w:r>
        <w:rPr>
          <w:rFonts w:eastAsia="Times New Roman"/>
          <w:lang w:val="fr-FR"/>
        </w:rPr>
        <w:t>Brèche n° 1 — PETI 1034/2026 ouverte aux cosignataires</w:t>
      </w:r>
    </w:p>
    <w:p w14:paraId="17020167" w14:textId="77777777" w:rsidR="0020702A" w:rsidRDefault="0020702A">
      <w:pPr>
        <w:pStyle w:val="Normaalweb"/>
        <w:divId w:val="1419013937"/>
        <w:rPr>
          <w:lang w:val="fr-FR"/>
        </w:rPr>
      </w:pPr>
      <w:r>
        <w:rPr>
          <w:lang w:val="fr-FR"/>
        </w:rPr>
        <w:t>Le Parlement européen a pris en examen la pétition 1034/2026. Le 25 septembre 2026, son statut a été modifié pour passer à « ouverte aux cosignataires ». Cela signifie que la pétition a fait l’objet d’un résumé parlementaire officiel et qu’elle a été rendue publique sur le portail des pétitions du Parlement européen.</w:t>
      </w:r>
    </w:p>
    <w:p w14:paraId="42FC8DFB" w14:textId="77777777" w:rsidR="0020702A" w:rsidRDefault="0020702A">
      <w:pPr>
        <w:pStyle w:val="Normaalweb"/>
        <w:divId w:val="1419013937"/>
        <w:rPr>
          <w:lang w:val="fr-FR"/>
        </w:rPr>
      </w:pPr>
      <w:r>
        <w:rPr>
          <w:lang w:val="fr-FR"/>
        </w:rPr>
        <w:t>Le résumé a été publié dans les domaines politiques suivants : Marché intérieur, Emploi, Santé, Affaires sociales et Droits fondamentaux, en mentionnant la Belgique et les Pays-Bas comme États membres concernés. La pétition met en évidence le manquement structurel de ces deux États membres concernant l’arrêt Vester, le refus de totaliser les périodes d’assurance et les conditions de séjour. Elle demande à la Commission européenne d’engager une procédure d’infraction.</w:t>
      </w:r>
    </w:p>
    <w:p w14:paraId="6DDFAD8C" w14:textId="77777777" w:rsidR="0020702A" w:rsidRDefault="0020702A">
      <w:pPr>
        <w:pStyle w:val="Normaalweb"/>
        <w:divId w:val="1419013937"/>
        <w:rPr>
          <w:lang w:val="fr-FR"/>
        </w:rPr>
      </w:pPr>
      <w:r>
        <w:rPr>
          <w:lang w:val="fr-FR"/>
        </w:rPr>
        <w:t>Ce que cela signifie : la pétition n’est plus une simple plainte privée envoyée à une boîte postale. Il s’agit d’un dossier parlementaire officiel que tout citoyen de l’UE peut signer. Cela modifie le statut politique du dossier.</w:t>
      </w:r>
    </w:p>
    <w:p w14:paraId="3911CC1F" w14:textId="77777777" w:rsidR="0020702A" w:rsidRDefault="0020702A">
      <w:pPr>
        <w:pStyle w:val="Kop4"/>
        <w:divId w:val="1419013937"/>
        <w:rPr>
          <w:rFonts w:eastAsia="Times New Roman"/>
          <w:lang w:val="fr-FR"/>
        </w:rPr>
      </w:pPr>
      <w:r>
        <w:rPr>
          <w:rFonts w:eastAsia="Times New Roman"/>
          <w:lang w:val="fr-FR"/>
        </w:rPr>
        <w:t>Début 2 — La Commission mène une enquête depuis 2022</w:t>
      </w:r>
    </w:p>
    <w:p w14:paraId="7AD08944" w14:textId="77777777" w:rsidR="0020702A" w:rsidRDefault="0020702A">
      <w:pPr>
        <w:pStyle w:val="Normaalweb"/>
        <w:divId w:val="1419013937"/>
        <w:rPr>
          <w:lang w:val="fr-FR"/>
        </w:rPr>
      </w:pPr>
      <w:r>
        <w:rPr>
          <w:lang w:val="fr-FR"/>
        </w:rPr>
        <w:t>Le 25 septembre 2026, une lettre officielle de la Commission européenne (DG EMPL) a été versée au dossier. Il en ressort que la Commission examine depuis 2022 et 2023 plusieurs plaintes pour infraction à l’encontre de la Belgique et de la Flandre. Il s’agit de plaintes concernant le « jobbonus » flamand, le financement des études et le « Groeipakket » — ces trois mesures relevant du règlement n° 492/2011 sur la libre circulation des travailleurs.</w:t>
      </w:r>
    </w:p>
    <w:p w14:paraId="2D2EE4E6" w14:textId="77777777" w:rsidR="0020702A" w:rsidRDefault="0020702A">
      <w:pPr>
        <w:pStyle w:val="Normaalweb"/>
        <w:divId w:val="1419013937"/>
        <w:rPr>
          <w:lang w:val="fr-FR"/>
        </w:rPr>
      </w:pPr>
      <w:r>
        <w:rPr>
          <w:lang w:val="fr-FR"/>
        </w:rPr>
        <w:t>La Commission n’a pris aucune décision définitive au cours de toutes ces années. Cela ne signifie pas que les plaintes ont été rejetées. Cela signifie qu’elles sont en cours d’examen. Et que la plainte de cette famille s’inscrit dans une série de plaintes que la Commission examine déjà.</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9C22B42"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B10144F" w14:textId="77777777" w:rsidR="0020702A" w:rsidRDefault="0020702A">
            <w:pPr>
              <w:pStyle w:val="Normaalweb"/>
              <w:spacing w:before="120"/>
              <w:jc w:val="center"/>
              <w:rPr>
                <w:sz w:val="21"/>
                <w:szCs w:val="21"/>
              </w:rPr>
            </w:pPr>
            <w:r>
              <w:rPr>
                <w:noProof/>
                <w:sz w:val="21"/>
                <w:szCs w:val="21"/>
              </w:rPr>
              <w:drawing>
                <wp:inline distT="0" distB="0" distL="0" distR="0" wp14:anchorId="1010610B" wp14:editId="504BD45B">
                  <wp:extent cx="3810000" cy="1460500"/>
                  <wp:effectExtent l="0" t="0" r="0" b="635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32E802DA" w14:textId="77777777" w:rsidR="0020702A" w:rsidRDefault="0020702A">
            <w:pPr>
              <w:pStyle w:val="caption"/>
              <w:spacing w:after="120" w:afterAutospacing="0"/>
            </w:pPr>
            <w:r>
              <w:rPr>
                <w:rStyle w:val="Zwaar"/>
              </w:rPr>
              <w:t>Figure XXII.3 — Les deux volets.</w:t>
            </w:r>
            <w:r>
              <w:t xml:space="preserve"> D’une part, la pétition au Parlement européen est publique et ouverte aux cosignataires. D’autre part, il apparaît que la Commission européenne examine depuis 2022 plusieurs plaintes contre la Belgique et la Flandre sans parvenir à une décision. La plainte de cette famille n’est pas un cas isolé.</w:t>
            </w:r>
          </w:p>
        </w:tc>
      </w:tr>
    </w:tbl>
    <w:p w14:paraId="79023015" w14:textId="77777777" w:rsidR="0020702A" w:rsidRDefault="0020702A">
      <w:pPr>
        <w:pStyle w:val="Kop3"/>
        <w:divId w:val="1419013937"/>
        <w:rPr>
          <w:rFonts w:eastAsia="Times New Roman"/>
          <w:lang w:val="fr-FR"/>
        </w:rPr>
      </w:pPr>
      <w:bookmarkStart w:id="116" w:name="_Toc242103356"/>
      <w:r>
        <w:rPr>
          <w:rFonts w:eastAsia="Times New Roman"/>
          <w:lang w:val="fr-FR"/>
        </w:rPr>
        <w:t>Partie D — La procédure d’infraction qui ne vient pas</w:t>
      </w:r>
      <w:bookmarkEnd w:id="116"/>
    </w:p>
    <w:p w14:paraId="63FB7CCE" w14:textId="77777777" w:rsidR="0020702A" w:rsidRDefault="0020702A">
      <w:pPr>
        <w:pStyle w:val="Normaalweb"/>
        <w:divId w:val="1419013937"/>
        <w:rPr>
          <w:lang w:val="fr-FR"/>
        </w:rPr>
      </w:pPr>
      <w:r>
        <w:rPr>
          <w:lang w:val="fr-FR"/>
        </w:rPr>
        <w:t>La Commission européenne dispose d’un seul instrument contraignant : la procédure d’infraction. Lorsqu’un État membre enfreint de manière structurelle le droit de l’Union, la Commission peut engager une procédure qui aboutit en fin de compte à un arrêt de la Cour de justice et, en théorie, à des sanctions financières à l’encontre de l’État membre.</w:t>
      </w:r>
    </w:p>
    <w:p w14:paraId="41EFC952" w14:textId="77777777" w:rsidR="0020702A" w:rsidRDefault="0020702A">
      <w:pPr>
        <w:pStyle w:val="Normaalweb"/>
        <w:divId w:val="1419013937"/>
        <w:rPr>
          <w:lang w:val="fr-FR"/>
        </w:rPr>
      </w:pPr>
      <w:r>
        <w:rPr>
          <w:lang w:val="fr-FR"/>
        </w:rPr>
        <w:t>Dans la pratique, il s’agit d’une décision politique, et non d’un automatisme juridique. La Commission évalue si l’ouverture d’une procédure d’infraction est politiquement opportune. Dans ce dossier, la plainte a été enregistrée sous la référence CPLT(2026)01544 et regroupée avec d’autres plaintes sous la référence Ares(2026)5891709. La Commission n’a pas encore engagé de procédure d’infraction.</w:t>
      </w:r>
    </w:p>
    <w:p w14:paraId="270B2A81" w14:textId="77777777" w:rsidR="0020702A" w:rsidRDefault="0020702A">
      <w:pPr>
        <w:pStyle w:val="Normaalweb"/>
        <w:divId w:val="1419013937"/>
        <w:rPr>
          <w:lang w:val="fr-FR"/>
        </w:rPr>
      </w:pPr>
      <w:r>
        <w:rPr>
          <w:lang w:val="fr-FR"/>
        </w:rPr>
        <w:t>Les raisons pour lesquelles elle ne le fait pas sont d’ordre structurel :</w:t>
      </w:r>
    </w:p>
    <w:p w14:paraId="726A56ED" w14:textId="77777777" w:rsidR="0020702A" w:rsidRDefault="0020702A">
      <w:pPr>
        <w:numPr>
          <w:ilvl w:val="0"/>
          <w:numId w:val="22"/>
        </w:numPr>
        <w:spacing w:before="100" w:beforeAutospacing="1" w:after="100" w:afterAutospacing="1"/>
        <w:divId w:val="1419013937"/>
        <w:rPr>
          <w:rFonts w:eastAsia="Times New Roman"/>
          <w:lang w:val="fr-FR"/>
        </w:rPr>
      </w:pPr>
      <w:r>
        <w:rPr>
          <w:rFonts w:eastAsia="Times New Roman"/>
          <w:lang w:val="fr-FR"/>
        </w:rPr>
        <w:t>La Commission reçoit des milliers de plaintes chaque année. Elle ne peut pas engager une procédure pour chaque plainte.</w:t>
      </w:r>
    </w:p>
    <w:p w14:paraId="7495A78C" w14:textId="77777777" w:rsidR="0020702A" w:rsidRDefault="0020702A">
      <w:pPr>
        <w:numPr>
          <w:ilvl w:val="0"/>
          <w:numId w:val="22"/>
        </w:numPr>
        <w:spacing w:before="100" w:beforeAutospacing="1" w:after="100" w:afterAutospacing="1"/>
        <w:divId w:val="1419013937"/>
        <w:rPr>
          <w:rFonts w:eastAsia="Times New Roman"/>
          <w:lang w:val="fr-FR"/>
        </w:rPr>
      </w:pPr>
      <w:r>
        <w:rPr>
          <w:rFonts w:eastAsia="Times New Roman"/>
          <w:lang w:val="fr-FR"/>
        </w:rPr>
        <w:t>La coordination de la sécurité sociale relève formellement d’une compétence partagée. Les États membres disposent d’une large marge d’appréciation.</w:t>
      </w:r>
    </w:p>
    <w:p w14:paraId="2C49A3F7" w14:textId="77777777" w:rsidR="0020702A" w:rsidRDefault="0020702A">
      <w:pPr>
        <w:numPr>
          <w:ilvl w:val="0"/>
          <w:numId w:val="22"/>
        </w:numPr>
        <w:spacing w:before="100" w:beforeAutospacing="1" w:after="100" w:afterAutospacing="1"/>
        <w:divId w:val="1419013937"/>
        <w:rPr>
          <w:rFonts w:eastAsia="Times New Roman"/>
          <w:lang w:val="fr-FR"/>
        </w:rPr>
      </w:pPr>
      <w:r>
        <w:rPr>
          <w:rFonts w:eastAsia="Times New Roman"/>
          <w:lang w:val="fr-FR"/>
        </w:rPr>
        <w:t>Une procédure d’infraction dure en moyenne quatre à six ans avant qu’une décision ne soit rendue.</w:t>
      </w:r>
    </w:p>
    <w:p w14:paraId="2024092F" w14:textId="77777777" w:rsidR="0020702A" w:rsidRDefault="0020702A">
      <w:pPr>
        <w:numPr>
          <w:ilvl w:val="0"/>
          <w:numId w:val="22"/>
        </w:numPr>
        <w:spacing w:before="100" w:beforeAutospacing="1" w:after="100" w:afterAutospacing="1"/>
        <w:divId w:val="1419013937"/>
        <w:rPr>
          <w:rFonts w:eastAsia="Times New Roman"/>
          <w:lang w:val="fr-FR"/>
        </w:rPr>
      </w:pPr>
      <w:r>
        <w:rPr>
          <w:rFonts w:eastAsia="Times New Roman"/>
          <w:lang w:val="fr-FR"/>
        </w:rPr>
        <w:t>Un arrêt constate la violation, mais n’impose pas toujours une solution pour le dossier individuel.</w:t>
      </w:r>
    </w:p>
    <w:p w14:paraId="21810A5F" w14:textId="77777777" w:rsidR="0020702A" w:rsidRDefault="0020702A">
      <w:pPr>
        <w:pStyle w:val="Normaalweb"/>
        <w:divId w:val="1419013937"/>
        <w:rPr>
          <w:lang w:val="fr-FR"/>
        </w:rPr>
      </w:pPr>
      <w:r>
        <w:rPr>
          <w:lang w:val="fr-FR"/>
        </w:rPr>
        <w:t>Ce que cela signifie pour le citoyen : même si la Commission intervenait, la procédure prendrait des années. Et même si la Cour constatait une violation, cela ne résoudrait pas immédiatement le dossier individuel.</w:t>
      </w:r>
    </w:p>
    <w:p w14:paraId="6E779E20" w14:textId="77777777" w:rsidR="0020702A" w:rsidRDefault="0020702A">
      <w:pPr>
        <w:pStyle w:val="Kop3"/>
        <w:divId w:val="1419013937"/>
        <w:rPr>
          <w:rFonts w:eastAsia="Times New Roman"/>
          <w:lang w:val="fr-FR"/>
        </w:rPr>
      </w:pPr>
      <w:bookmarkStart w:id="117" w:name="_Toc242103357"/>
      <w:r>
        <w:rPr>
          <w:rFonts w:eastAsia="Times New Roman"/>
          <w:lang w:val="fr-FR"/>
        </w:rPr>
        <w:t>Partie E — La contradiction européenne</w:t>
      </w:r>
      <w:bookmarkEnd w:id="11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E627E77"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DFA13A1" w14:textId="77777777" w:rsidR="0020702A" w:rsidRDefault="0020702A">
            <w:pPr>
              <w:pStyle w:val="Normaalweb"/>
              <w:spacing w:before="120"/>
              <w:jc w:val="center"/>
              <w:rPr>
                <w:sz w:val="21"/>
                <w:szCs w:val="21"/>
              </w:rPr>
            </w:pPr>
            <w:r>
              <w:rPr>
                <w:noProof/>
                <w:sz w:val="21"/>
                <w:szCs w:val="21"/>
              </w:rPr>
              <w:drawing>
                <wp:inline distT="0" distB="0" distL="0" distR="0" wp14:anchorId="27266D8C" wp14:editId="126F3B8A">
                  <wp:extent cx="3810000" cy="1333500"/>
                  <wp:effectExtent l="0" t="0" r="0" b="0"/>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7DCFF7CD" w14:textId="77777777" w:rsidR="0020702A" w:rsidRDefault="0020702A">
            <w:pPr>
              <w:pStyle w:val="caption"/>
              <w:spacing w:after="120" w:afterAutospacing="0"/>
            </w:pPr>
            <w:r>
              <w:rPr>
                <w:rStyle w:val="Zwaar"/>
              </w:rPr>
              <w:t>Figure XXII.4 — La contradiction européenne.</w:t>
            </w:r>
            <w:r>
              <w:t xml:space="preserve"> </w:t>
            </w:r>
            <w:r>
              <w:t>L’UE coordonne la sécurité sociale, mais ne l’harmonise pas. Tant que cette situation perdurera, toute solution dépendra des autorités nationales.</w:t>
            </w:r>
          </w:p>
        </w:tc>
      </w:tr>
    </w:tbl>
    <w:p w14:paraId="139A72F9" w14:textId="77777777" w:rsidR="0020702A" w:rsidRDefault="0020702A">
      <w:pPr>
        <w:pStyle w:val="Kop3"/>
        <w:divId w:val="1419013937"/>
        <w:rPr>
          <w:rFonts w:eastAsia="Times New Roman"/>
          <w:lang w:val="fr-FR"/>
        </w:rPr>
      </w:pPr>
      <w:bookmarkStart w:id="118" w:name="_Toc242103358"/>
      <w:r>
        <w:rPr>
          <w:rFonts w:eastAsia="Times New Roman"/>
          <w:lang w:val="fr-FR"/>
        </w:rPr>
        <w:t>Ce que ce chapitre met en évidence</w:t>
      </w:r>
      <w:bookmarkEnd w:id="118"/>
    </w:p>
    <w:p w14:paraId="273988D5" w14:textId="77777777" w:rsidR="0020702A" w:rsidRDefault="0020702A">
      <w:pPr>
        <w:pStyle w:val="Normaalweb"/>
        <w:divId w:val="1419013937"/>
        <w:rPr>
          <w:lang w:val="fr-FR"/>
        </w:rPr>
      </w:pPr>
      <w:r>
        <w:rPr>
          <w:lang w:val="fr-FR"/>
        </w:rPr>
        <w:t>Le niveau européen a créé l’architecture dans laquelle la sécurité sociale transfrontalière devrait être régie. Il a fixé les règles, mis en place les réseaux de médiation et créé les organismes de coordination. Et elle s’est chargée elle-même de veiller au respect de ces règles.</w:t>
      </w:r>
    </w:p>
    <w:p w14:paraId="65432D11" w14:textId="77777777" w:rsidR="0020702A" w:rsidRDefault="0020702A">
      <w:pPr>
        <w:pStyle w:val="Normaalweb"/>
        <w:divId w:val="1419013937"/>
        <w:rPr>
          <w:lang w:val="fr-FR"/>
        </w:rPr>
      </w:pPr>
      <w:r>
        <w:rPr>
          <w:lang w:val="fr-FR"/>
        </w:rPr>
        <w:t>Mais le niveau européen a négligé de faire respecter cette architecture. La plupart des instances ne peuvent qu’observer, servir de médiateurs, rendre compte — sans disposer d’un pouvoir coercitif. Et la voie judiciaire est longue.</w:t>
      </w:r>
    </w:p>
    <w:p w14:paraId="5D24CF46" w14:textId="77777777" w:rsidR="0020702A" w:rsidRDefault="0020702A">
      <w:pPr>
        <w:pStyle w:val="Normaalweb"/>
        <w:divId w:val="1419013937"/>
        <w:rPr>
          <w:lang w:val="fr-FR"/>
        </w:rPr>
      </w:pPr>
      <w:r>
        <w:rPr>
          <w:lang w:val="fr-FR"/>
        </w:rPr>
        <w:t>Deux éléments retiennent l’attention. La pétition déposée au Parlement européen a été rendue publique et est ouverte aux cosignataires. Cela modifie le statut politique du dossier : il ne s’agit plus d’une plainte privée. Et la Commission européenne examine depuis 2022 plusieurs plaintes pour infraction contre la Belgique et la Flandre. La plainte de cette famille s’inscrit dans une série de procédures déjà en cours.</w:t>
      </w:r>
    </w:p>
    <w:p w14:paraId="6830920F" w14:textId="77777777" w:rsidR="0020702A" w:rsidRDefault="0020702A">
      <w:pPr>
        <w:pStyle w:val="Normaalweb"/>
        <w:divId w:val="1419013937"/>
        <w:rPr>
          <w:lang w:val="fr-FR"/>
        </w:rPr>
      </w:pPr>
      <w:r>
        <w:rPr>
          <w:lang w:val="fr-FR"/>
        </w:rPr>
        <w:t xml:space="preserve">Il ne reste plus qu’un citoyen qui a frappé à toutes les portes européennes et qui, à chaque fois, s’est vu répondre la même chose : « </w:t>
      </w:r>
      <w:r>
        <w:rPr>
          <w:rStyle w:val="Nadruk"/>
          <w:lang w:val="fr-FR"/>
        </w:rPr>
        <w:t>Nous ne sommes pas compétents pour traiter votre cas individuel.</w:t>
      </w:r>
      <w:r>
        <w:rPr>
          <w:lang w:val="fr-FR"/>
        </w:rPr>
        <w:t xml:space="preserve"> » Mais là où les portes sont restées fermées, deux se sont entrouvertes. Pour un dossier qui n’a été entendu par personne pendant dix ans, ce n’est pas rien.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E751012"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A603D4A"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le chemin européen est long, mais il n’est pas sans issue. </w:t>
            </w:r>
          </w:p>
          <w:p w14:paraId="491C12AE" w14:textId="77777777" w:rsidR="0020702A" w:rsidRDefault="0020702A">
            <w:pPr>
              <w:numPr>
                <w:ilvl w:val="0"/>
                <w:numId w:val="23"/>
              </w:numPr>
              <w:spacing w:before="100" w:beforeAutospacing="1" w:after="100" w:afterAutospacing="1"/>
              <w:rPr>
                <w:rFonts w:eastAsia="Times New Roman"/>
                <w:szCs w:val="22"/>
              </w:rPr>
            </w:pPr>
            <w:r>
              <w:rPr>
                <w:rStyle w:val="Nadruk"/>
                <w:rFonts w:eastAsia="Times New Roman"/>
                <w:szCs w:val="22"/>
              </w:rPr>
              <w:t>Déposez une pétition auprès du Parlement européen (PETI).</w:t>
            </w:r>
            <w:r>
              <w:rPr>
                <w:rFonts w:eastAsia="Times New Roman"/>
                <w:szCs w:val="22"/>
              </w:rPr>
              <w:t xml:space="preserve"> Une fois jugée recevable et rendue publique, la pétition sera visible sur le portail des pétitions. Vous pouvez demander à d’autres citoyens de la cosigner. Cela modifie son statut politique.</w:t>
            </w:r>
          </w:p>
          <w:p w14:paraId="55056C09" w14:textId="77777777" w:rsidR="0020702A" w:rsidRDefault="0020702A">
            <w:pPr>
              <w:numPr>
                <w:ilvl w:val="0"/>
                <w:numId w:val="23"/>
              </w:numPr>
              <w:spacing w:before="100" w:beforeAutospacing="1" w:after="100" w:afterAutospacing="1"/>
              <w:rPr>
                <w:rFonts w:eastAsia="Times New Roman"/>
                <w:szCs w:val="22"/>
              </w:rPr>
            </w:pPr>
            <w:r>
              <w:rPr>
                <w:rStyle w:val="Nadruk"/>
                <w:rFonts w:eastAsia="Times New Roman"/>
                <w:szCs w:val="22"/>
              </w:rPr>
              <w:t>Enregistrez la plainte auprès de la Commission (DG EMPL).</w:t>
            </w:r>
            <w:r>
              <w:rPr>
                <w:rFonts w:eastAsia="Times New Roman"/>
                <w:szCs w:val="22"/>
              </w:rPr>
              <w:t xml:space="preserve"> Chaque plainte est enregistrée. Plusieurs plaintes portant sur le même sujet peuvent être regroupées en un seul dossier.</w:t>
            </w:r>
          </w:p>
          <w:p w14:paraId="4C0E7268" w14:textId="77777777" w:rsidR="0020702A" w:rsidRDefault="0020702A">
            <w:pPr>
              <w:numPr>
                <w:ilvl w:val="0"/>
                <w:numId w:val="23"/>
              </w:numPr>
              <w:spacing w:before="100" w:beforeAutospacing="1" w:after="100" w:afterAutospacing="1"/>
              <w:rPr>
                <w:rFonts w:eastAsia="Times New Roman"/>
                <w:szCs w:val="22"/>
              </w:rPr>
            </w:pPr>
            <w:r>
              <w:rPr>
                <w:rStyle w:val="Nadruk"/>
                <w:rFonts w:eastAsia="Times New Roman"/>
                <w:szCs w:val="22"/>
              </w:rPr>
              <w:t>Soyez prudent avec la CEDH.</w:t>
            </w:r>
            <w:r>
              <w:rPr>
                <w:rFonts w:eastAsia="Times New Roman"/>
                <w:szCs w:val="22"/>
              </w:rPr>
              <w:t xml:space="preserve"> La Cour déclare les requêtes irrecevables tant que les voies de recours nationales n’ont pas été épuisées. Engagez d’abord une procédure au niveau national.</w:t>
            </w:r>
          </w:p>
          <w:p w14:paraId="6147D127" w14:textId="77777777" w:rsidR="0020702A" w:rsidRDefault="0020702A">
            <w:pPr>
              <w:numPr>
                <w:ilvl w:val="0"/>
                <w:numId w:val="23"/>
              </w:numPr>
              <w:spacing w:before="100" w:beforeAutospacing="1" w:after="100" w:afterAutospacing="1"/>
              <w:rPr>
                <w:rFonts w:eastAsia="Times New Roman"/>
                <w:szCs w:val="22"/>
              </w:rPr>
            </w:pPr>
            <w:r>
              <w:rPr>
                <w:rStyle w:val="Nadruk"/>
                <w:rFonts w:eastAsia="Times New Roman"/>
                <w:szCs w:val="22"/>
              </w:rPr>
              <w:t>N’utilisez pas directement le ELA.</w:t>
            </w:r>
            <w:r>
              <w:rPr>
                <w:rFonts w:eastAsia="Times New Roman"/>
                <w:szCs w:val="22"/>
              </w:rPr>
              <w:t xml:space="preserve"> Le ELA n’intervient qu’à la demande des États membres. Il faut passer par le SOLVIT, à condition que cet organe accepte de renvoyer l’affaire — ce qui n’a pas été le cas dans ce dossier.</w:t>
            </w:r>
          </w:p>
          <w:p w14:paraId="1B2FA90D" w14:textId="77777777" w:rsidR="0020702A" w:rsidRDefault="0020702A">
            <w:pPr>
              <w:spacing w:after="0"/>
              <w:rPr>
                <w:rFonts w:eastAsia="Times New Roman"/>
                <w:szCs w:val="22"/>
              </w:rPr>
            </w:pPr>
            <w:r>
              <w:rPr>
                <w:rFonts w:eastAsia="Times New Roman"/>
                <w:szCs w:val="22"/>
              </w:rPr>
              <w:t xml:space="preserve">La voie européenne existe. Il existe également deux possibilités. C'est au citoyen de les utiliser. </w:t>
            </w:r>
          </w:p>
        </w:tc>
      </w:tr>
    </w:tbl>
    <w:p w14:paraId="3BF64CCB"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La base juridique des différentes procédures repose sur les traités de l’Union européenne (articles 258 et 259 du TFUE pour la procédure d’infraction), les règlements du Parlement européen (procédure PETI) et le Statut du Conseil de l’Europe (CEDH). Les informations relatives aux procédures de plainte s’appuient sur le document B. Ce chapitre ne constitue pas un avis juridique.</w:t>
      </w:r>
    </w:p>
    <w:p w14:paraId="443F54FD" w14:textId="77777777" w:rsidR="0020702A" w:rsidRDefault="0020702A">
      <w:pPr>
        <w:pStyle w:val="marker"/>
        <w:ind w:left="800" w:right="800"/>
        <w:divId w:val="1419013937"/>
        <w:rPr>
          <w:lang w:val="fr-FR"/>
        </w:rPr>
      </w:pPr>
      <w:r>
        <w:br w:type="page"/>
      </w:r>
    </w:p>
    <w:p w14:paraId="049FA8C8" w14:textId="77777777" w:rsidR="0020702A" w:rsidRDefault="0020702A">
      <w:pPr>
        <w:pStyle w:val="Kop1"/>
        <w:divId w:val="1419013937"/>
        <w:rPr>
          <w:rFonts w:eastAsia="Times New Roman"/>
          <w:lang w:val="fr-FR"/>
        </w:rPr>
      </w:pPr>
      <w:bookmarkStart w:id="119" w:name="_Toc242103359"/>
      <w:r>
        <w:rPr>
          <w:rFonts w:eastAsia="Times New Roman"/>
          <w:lang w:val="fr-FR"/>
        </w:rPr>
        <w:t>VI. Qui supervise ?</w:t>
      </w:r>
      <w:bookmarkEnd w:id="119"/>
    </w:p>
    <w:p w14:paraId="7C1AA764" w14:textId="77777777" w:rsidR="0020702A" w:rsidRDefault="0020702A">
      <w:pPr>
        <w:pStyle w:val="Kop2"/>
        <w:divId w:val="1419013937"/>
        <w:rPr>
          <w:rFonts w:eastAsia="Times New Roman"/>
          <w:lang w:val="fr-FR"/>
        </w:rPr>
      </w:pPr>
      <w:bookmarkStart w:id="120" w:name="_Toc242103360"/>
      <w:r>
        <w:rPr>
          <w:rFonts w:eastAsia="Times New Roman"/>
          <w:lang w:val="fr-FR"/>
        </w:rPr>
        <w:t>Le niveau de contrôle et de médiation</w:t>
      </w:r>
      <w:bookmarkEnd w:id="120"/>
    </w:p>
    <w:p w14:paraId="2594A403" w14:textId="77777777" w:rsidR="0020702A" w:rsidRDefault="0020702A">
      <w:pPr>
        <w:pStyle w:val="lead"/>
        <w:divId w:val="1419013937"/>
        <w:rPr>
          <w:lang w:val="fr-FR"/>
        </w:rPr>
      </w:pPr>
      <w:r>
        <w:rPr>
          <w:lang w:val="fr-FR"/>
        </w:rPr>
        <w:t>Lorsqu’une autorité d’exécution refuse d’agir, il existe un niveau censé intervenir : les médiateurs, les services de médiation, les réseaux européens. Dans ce dossier, ce niveau a été sollicité. Il a écouté, enquêté et constaté, à chaque niveau, qu’il ne pouvait pas intervenir. Au final, il s’avère que la voie de médiation la plus contraignante — l’Autorité européenne du travail — n’est même pas accessible.</w:t>
      </w:r>
    </w:p>
    <w:p w14:paraId="5264C428" w14:textId="77777777" w:rsidR="0020702A" w:rsidRDefault="0020702A">
      <w:pPr>
        <w:pStyle w:val="Kop3"/>
        <w:divId w:val="1419013937"/>
        <w:rPr>
          <w:rFonts w:eastAsia="Times New Roman"/>
          <w:lang w:val="fr-FR"/>
        </w:rPr>
      </w:pPr>
      <w:bookmarkStart w:id="121" w:name="_Toc242103361"/>
      <w:r>
        <w:rPr>
          <w:rFonts w:eastAsia="Times New Roman"/>
          <w:lang w:val="fr-FR"/>
        </w:rPr>
        <w:t>Partie A — Les quatre médiateurs</w:t>
      </w:r>
      <w:bookmarkEnd w:id="12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B91427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EC60DCA" w14:textId="77777777" w:rsidR="0020702A" w:rsidRDefault="0020702A">
            <w:pPr>
              <w:pStyle w:val="Normaalweb"/>
              <w:spacing w:before="120"/>
              <w:jc w:val="center"/>
              <w:rPr>
                <w:sz w:val="21"/>
                <w:szCs w:val="21"/>
              </w:rPr>
            </w:pPr>
            <w:r>
              <w:rPr>
                <w:noProof/>
                <w:sz w:val="21"/>
                <w:szCs w:val="21"/>
              </w:rPr>
              <w:drawing>
                <wp:inline distT="0" distB="0" distL="0" distR="0" wp14:anchorId="6AA81C88" wp14:editId="19FCCDC8">
                  <wp:extent cx="3810000" cy="1974850"/>
                  <wp:effectExtent l="0" t="0" r="0" b="635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0F0C07BB" w14:textId="77777777" w:rsidR="0020702A" w:rsidRDefault="0020702A">
            <w:pPr>
              <w:pStyle w:val="caption"/>
              <w:spacing w:after="120" w:afterAutospacing="0"/>
            </w:pPr>
            <w:r>
              <w:rPr>
                <w:rStyle w:val="Zwaar"/>
              </w:rPr>
              <w:t>Figure XV.1 — Quatre médiateurs, quatre limites.</w:t>
            </w:r>
            <w:r>
              <w:t xml:space="preserve"> Le Médiateur fédéral peut intervenir dans des affaires en cours, mais ne peut pas contraindre. Le Médiateur national ne peut pas intervenir tant qu’un recours administratif est en instance. SOLVIT ne peut pas imposer de mesures et se retire lorsque des procédures sont en cours. Le GIP ne peut que fournir des informations et refuse de signaler une erreur du système.</w:t>
            </w:r>
          </w:p>
        </w:tc>
      </w:tr>
    </w:tbl>
    <w:p w14:paraId="6EAF852D" w14:textId="77777777" w:rsidR="0020702A" w:rsidRDefault="0020702A">
      <w:pPr>
        <w:pStyle w:val="Kop3"/>
        <w:divId w:val="1419013937"/>
        <w:rPr>
          <w:rFonts w:eastAsia="Times New Roman"/>
          <w:lang w:val="fr-FR"/>
        </w:rPr>
      </w:pPr>
      <w:bookmarkStart w:id="122" w:name="_Toc242103362"/>
      <w:r>
        <w:rPr>
          <w:rFonts w:eastAsia="Times New Roman"/>
          <w:lang w:val="fr-FR"/>
        </w:rPr>
        <w:t>Partie B — La différence entre les deux médiateurs</w:t>
      </w:r>
      <w:bookmarkEnd w:id="122"/>
    </w:p>
    <w:p w14:paraId="5E950728" w14:textId="77777777" w:rsidR="0020702A" w:rsidRDefault="0020702A">
      <w:pPr>
        <w:pStyle w:val="Normaalweb"/>
        <w:divId w:val="1419013937"/>
        <w:rPr>
          <w:lang w:val="fr-FR"/>
        </w:rPr>
      </w:pPr>
      <w:r>
        <w:rPr>
          <w:lang w:val="fr-FR"/>
        </w:rPr>
        <w:t>Les médiateurs belge et néerlandais se ressemblent, mais leurs cadres juridiques sont fondamentalement différents.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D57048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6407475" w14:textId="77777777" w:rsidR="0020702A" w:rsidRDefault="0020702A">
            <w:pPr>
              <w:pStyle w:val="Normaalweb"/>
              <w:spacing w:before="120"/>
              <w:jc w:val="center"/>
              <w:rPr>
                <w:sz w:val="21"/>
                <w:szCs w:val="21"/>
              </w:rPr>
            </w:pPr>
            <w:r>
              <w:rPr>
                <w:noProof/>
                <w:sz w:val="21"/>
                <w:szCs w:val="21"/>
              </w:rPr>
              <w:drawing>
                <wp:inline distT="0" distB="0" distL="0" distR="0" wp14:anchorId="297409EC" wp14:editId="6202A18F">
                  <wp:extent cx="3810000" cy="1314450"/>
                  <wp:effectExtent l="0" t="0" r="0" b="0"/>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810000" cy="1314450"/>
                          </a:xfrm>
                          <a:prstGeom prst="rect">
                            <a:avLst/>
                          </a:prstGeom>
                          <a:noFill/>
                          <a:ln>
                            <a:noFill/>
                          </a:ln>
                        </pic:spPr>
                      </pic:pic>
                    </a:graphicData>
                  </a:graphic>
                </wp:inline>
              </w:drawing>
            </w:r>
          </w:p>
          <w:p w14:paraId="41C067B3" w14:textId="77777777" w:rsidR="0020702A" w:rsidRDefault="0020702A">
            <w:pPr>
              <w:pStyle w:val="caption"/>
              <w:spacing w:after="120" w:afterAutospacing="0"/>
            </w:pPr>
            <w:r>
              <w:rPr>
                <w:rStyle w:val="Zwaar"/>
              </w:rPr>
              <w:t>Figure XV.2 — Les deux médiateurs.</w:t>
            </w:r>
            <w:r>
              <w:t xml:space="preserve"> Le Médiateur fédéral peut intervenir dans des affaires administratives en cours. Le Médiateur national est légalement exclu de toute intervention tant qu’un recours administratif est en cours.</w:t>
            </w:r>
          </w:p>
        </w:tc>
      </w:tr>
    </w:tbl>
    <w:p w14:paraId="5E55D2AF" w14:textId="77777777" w:rsidR="0020702A" w:rsidRDefault="0020702A">
      <w:pPr>
        <w:pStyle w:val="Kop3"/>
        <w:divId w:val="1419013937"/>
        <w:rPr>
          <w:rFonts w:eastAsia="Times New Roman"/>
          <w:lang w:val="fr-FR"/>
        </w:rPr>
      </w:pPr>
      <w:bookmarkStart w:id="123" w:name="_Toc242103363"/>
      <w:r>
        <w:rPr>
          <w:rFonts w:eastAsia="Times New Roman"/>
          <w:lang w:val="fr-FR"/>
        </w:rPr>
        <w:t>Partie C — La référence circulaire entre les deux centres SOLVIT</w:t>
      </w:r>
      <w:bookmarkEnd w:id="123"/>
    </w:p>
    <w:p w14:paraId="1D807864" w14:textId="77777777" w:rsidR="0020702A" w:rsidRDefault="0020702A">
      <w:pPr>
        <w:pStyle w:val="Normaalweb"/>
        <w:divId w:val="1419013937"/>
        <w:rPr>
          <w:lang w:val="fr-FR"/>
        </w:rPr>
      </w:pPr>
      <w:r>
        <w:rPr>
          <w:lang w:val="fr-FR"/>
        </w:rPr>
        <w:t>Dans l’architecture européenne, SOLVIT est l’organe chargé d’intervenir lorsque les administrations nationales enfreignent le droit de l’Union européenne. Dans ce dossier, deux centres SOLVIT sont concernés : SOLVIT Pays-Bas et SOLVIT Belgique. Ce qui suit est un schéma de renvois réciproques — jusqu’à ce que les deux centres se désengagent.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C58A7AA"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4974E9F" w14:textId="77777777" w:rsidR="0020702A" w:rsidRDefault="0020702A">
            <w:pPr>
              <w:pStyle w:val="Normaalweb"/>
              <w:spacing w:before="120"/>
              <w:jc w:val="center"/>
              <w:rPr>
                <w:sz w:val="21"/>
                <w:szCs w:val="21"/>
              </w:rPr>
            </w:pPr>
            <w:r>
              <w:rPr>
                <w:noProof/>
                <w:sz w:val="21"/>
                <w:szCs w:val="21"/>
              </w:rPr>
              <w:drawing>
                <wp:inline distT="0" distB="0" distL="0" distR="0" wp14:anchorId="107451E1" wp14:editId="3BDE80DE">
                  <wp:extent cx="3810000" cy="1524000"/>
                  <wp:effectExtent l="0" t="0" r="0" b="0"/>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1BB00FBE" w14:textId="77777777" w:rsidR="0020702A" w:rsidRDefault="0020702A">
            <w:pPr>
              <w:pStyle w:val="caption"/>
              <w:spacing w:after="120" w:afterAutospacing="0"/>
            </w:pPr>
            <w:r>
              <w:rPr>
                <w:rStyle w:val="Zwaar"/>
              </w:rPr>
              <w:t>Figure XV.3 — Le renvoi circulaire entre SOLVIT NL et SOLVIT BE.</w:t>
            </w:r>
            <w:r>
              <w:t xml:space="preserve"> Les deux centres se renvoient l’un à l’autre. Et lorsque le patient demande à être orienté vers l’Autorité européenne du travail, les deux refusent : SOLVIT NL parce qu’aucune violation n’a été constatée, SOLVIT BE parce que l’orientation ne relèverait pas de sa mission.</w:t>
            </w:r>
          </w:p>
        </w:tc>
      </w:tr>
    </w:tbl>
    <w:p w14:paraId="00251514" w14:textId="77777777" w:rsidR="0020702A" w:rsidRDefault="0020702A">
      <w:pPr>
        <w:pStyle w:val="Kop3"/>
        <w:divId w:val="1419013937"/>
        <w:rPr>
          <w:rFonts w:eastAsia="Times New Roman"/>
          <w:lang w:val="fr-FR"/>
        </w:rPr>
      </w:pPr>
      <w:bookmarkStart w:id="124" w:name="_Toc242103364"/>
      <w:r>
        <w:rPr>
          <w:rFonts w:eastAsia="Times New Roman"/>
          <w:lang w:val="fr-FR"/>
        </w:rPr>
        <w:t>Partie D — Le ELA : la voie qui ne s'ouvre pas</w:t>
      </w:r>
      <w:bookmarkEnd w:id="124"/>
    </w:p>
    <w:p w14:paraId="29A65E75" w14:textId="77777777" w:rsidR="0020702A" w:rsidRDefault="0020702A">
      <w:pPr>
        <w:pStyle w:val="Normaalweb"/>
        <w:divId w:val="1419013937"/>
        <w:rPr>
          <w:lang w:val="fr-FR"/>
        </w:rPr>
      </w:pPr>
      <w:r>
        <w:rPr>
          <w:lang w:val="fr-FR"/>
        </w:rPr>
        <w:t>Lorsque SOLVIT n’apporte pas de solution, il reste un seul organisme européen spécialement créé pour les litiges transfrontaliers : l’Autorité européenne du travail (ELA). La ELA a été créée pour promouvoir une mobilité professionnelle équitable et faciliter la médiation entre les États membres en cas de problèmes transfrontaliers liés à la sécurité sociale.</w:t>
      </w:r>
    </w:p>
    <w:p w14:paraId="6E827F33" w14:textId="77777777" w:rsidR="0020702A" w:rsidRDefault="0020702A">
      <w:pPr>
        <w:pStyle w:val="Normaalweb"/>
        <w:divId w:val="1419013937"/>
        <w:rPr>
          <w:lang w:val="fr-FR"/>
        </w:rPr>
      </w:pPr>
      <w:r>
        <w:rPr>
          <w:lang w:val="fr-FR"/>
        </w:rPr>
        <w:t>En théorie, la ELA devrait être l’instance qui intervient lorsque les autorités nationales ne parviennent pas à s’entendre. Dans la pratique, la ELA s’avère inaccessible pour un citoyen individuel.</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C37D797"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F56C7CF" w14:textId="77777777" w:rsidR="0020702A" w:rsidRDefault="0020702A">
            <w:pPr>
              <w:pStyle w:val="Normaalweb"/>
              <w:spacing w:before="120"/>
              <w:jc w:val="center"/>
              <w:rPr>
                <w:sz w:val="21"/>
                <w:szCs w:val="21"/>
              </w:rPr>
            </w:pPr>
            <w:r>
              <w:rPr>
                <w:noProof/>
                <w:sz w:val="21"/>
                <w:szCs w:val="21"/>
              </w:rPr>
              <w:drawing>
                <wp:inline distT="0" distB="0" distL="0" distR="0" wp14:anchorId="1C897E66" wp14:editId="129010BB">
                  <wp:extent cx="3810000" cy="1384300"/>
                  <wp:effectExtent l="0" t="0" r="0" b="6350"/>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10000" cy="1384300"/>
                          </a:xfrm>
                          <a:prstGeom prst="rect">
                            <a:avLst/>
                          </a:prstGeom>
                          <a:noFill/>
                          <a:ln>
                            <a:noFill/>
                          </a:ln>
                        </pic:spPr>
                      </pic:pic>
                    </a:graphicData>
                  </a:graphic>
                </wp:inline>
              </w:drawing>
            </w:r>
          </w:p>
          <w:p w14:paraId="5F3C0279" w14:textId="77777777" w:rsidR="0020702A" w:rsidRDefault="0020702A">
            <w:pPr>
              <w:pStyle w:val="caption"/>
              <w:spacing w:after="120" w:afterAutospacing="0"/>
            </w:pPr>
            <w:r>
              <w:rPr>
                <w:rStyle w:val="Zwaar"/>
              </w:rPr>
              <w:t>Figure XV.4 — Le ELA, une porte fermée.</w:t>
            </w:r>
            <w:r>
              <w:t xml:space="preserve"> Le ELA n’intervient qu’à la demande des États membres. Les demandes directes des citoyens sont déclarées irrecevables. Et les intermédiaires censés les transmettre (SOLVIT NL et BE) refusent de le faire. L’organe spécialement créé pour ce type de situations reste inaccessible à ceux qui en ont le plus besoin.</w:t>
            </w:r>
          </w:p>
        </w:tc>
      </w:tr>
    </w:tbl>
    <w:p w14:paraId="25568A75" w14:textId="77777777" w:rsidR="0020702A" w:rsidRDefault="0020702A">
      <w:pPr>
        <w:pStyle w:val="Kop3"/>
        <w:divId w:val="1419013937"/>
        <w:rPr>
          <w:rFonts w:eastAsia="Times New Roman"/>
          <w:lang w:val="fr-FR"/>
        </w:rPr>
      </w:pPr>
      <w:bookmarkStart w:id="125" w:name="_Toc242103365"/>
      <w:r>
        <w:rPr>
          <w:rFonts w:eastAsia="Times New Roman"/>
          <w:lang w:val="fr-FR"/>
        </w:rPr>
        <w:t>Partie E — Le schéma</w:t>
      </w:r>
      <w:bookmarkEnd w:id="125"/>
    </w:p>
    <w:p w14:paraId="040A72BD" w14:textId="77777777" w:rsidR="0020702A" w:rsidRDefault="0020702A">
      <w:pPr>
        <w:pStyle w:val="Normaalweb"/>
        <w:divId w:val="1419013937"/>
        <w:rPr>
          <w:lang w:val="fr-FR"/>
        </w:rPr>
      </w:pPr>
      <w:r>
        <w:rPr>
          <w:lang w:val="fr-FR"/>
        </w:rPr>
        <w:t xml:space="preserve">Tous les médiateurs ont en commun une caractéristique fondamentale : ils peuvent enquêter, formuler des recommandations et établir des rapports, mais </w:t>
      </w:r>
      <w:r>
        <w:rPr>
          <w:rStyle w:val="Zwaar"/>
          <w:lang w:val="fr-FR"/>
        </w:rPr>
        <w:t>ils</w:t>
      </w:r>
      <w:r>
        <w:rPr>
          <w:lang w:val="fr-FR"/>
        </w:rPr>
        <w:t xml:space="preserve"> ne </w:t>
      </w:r>
      <w:r>
        <w:rPr>
          <w:rStyle w:val="Zwaar"/>
          <w:lang w:val="fr-FR"/>
        </w:rPr>
        <w:t>peuvent</w:t>
      </w:r>
      <w:r>
        <w:rPr>
          <w:lang w:val="fr-FR"/>
        </w:rPr>
        <w:t xml:space="preserve"> pas </w:t>
      </w:r>
      <w:r>
        <w:rPr>
          <w:rStyle w:val="Zwaar"/>
          <w:lang w:val="fr-FR"/>
        </w:rPr>
        <w:t>contraindre</w:t>
      </w:r>
      <w:r>
        <w:rPr>
          <w:lang w:val="fr-FR"/>
        </w:rPr>
        <w:t>. Aucun médiateur ne peut obliger une autorité d’exécution à revoir une décision, à accorder une prestation ou à procéder à un enregistrement.</w:t>
      </w:r>
    </w:p>
    <w:p w14:paraId="1FE07409" w14:textId="77777777" w:rsidR="0020702A" w:rsidRDefault="0020702A">
      <w:pPr>
        <w:pStyle w:val="Normaalweb"/>
        <w:divId w:val="1419013937"/>
        <w:rPr>
          <w:lang w:val="fr-FR"/>
        </w:rPr>
      </w:pPr>
      <w:r>
        <w:rPr>
          <w:lang w:val="fr-FR"/>
        </w:rPr>
        <w:t xml:space="preserve">À cela s’ajoute une deuxième caractéristique : chaque médiateur a son propre seuil à partir </w:t>
      </w:r>
      <w:r>
        <w:rPr>
          <w:rStyle w:val="Zwaar"/>
          <w:lang w:val="fr-FR"/>
        </w:rPr>
        <w:t>duquel</w:t>
      </w:r>
      <w:r>
        <w:rPr>
          <w:lang w:val="fr-FR"/>
        </w:rPr>
        <w:t xml:space="preserve"> il est autorisé à intervenir. Le Médiateur fédéral peut le faire dans le cadre d’affaires en cours. Le Médiateur national ne le peut pas. SOLVIT ne le peut pas dans le cadre de procédures judiciaires en cours. Le GIP ne peut jamais le faire. Le ELA ne peut le faire qu’à la demande des États membres. La CEDH ne peut le faire qu’après épuisement de tous les recours nationaux.</w:t>
      </w:r>
    </w:p>
    <w:p w14:paraId="00D039AA" w14:textId="77777777" w:rsidR="0020702A" w:rsidRDefault="0020702A">
      <w:pPr>
        <w:pStyle w:val="Normaalweb"/>
        <w:divId w:val="1419013937"/>
        <w:rPr>
          <w:lang w:val="fr-FR"/>
        </w:rPr>
      </w:pPr>
      <w:r>
        <w:rPr>
          <w:lang w:val="fr-FR"/>
        </w:rPr>
        <w:t>Et dans ce dossier, il apparaît que la voie de médiation la plus contraignante — l’Autorité européenne du travail — n’est pas seulement restreinte, mais totalement fermée. Le ELA a été conçu pour des situations comme celle-ci, mais n’est pas accessible à un citoyen individuel. Et les seules instances intermédiaires qui pourraient accorder cet accès (SOLVIT NL et BE) refusent de le faire.</w:t>
      </w:r>
    </w:p>
    <w:p w14:paraId="4F40F1AB" w14:textId="77777777" w:rsidR="0020702A" w:rsidRDefault="0020702A">
      <w:pPr>
        <w:pStyle w:val="Normaalweb"/>
        <w:divId w:val="1419013937"/>
        <w:rPr>
          <w:lang w:val="fr-FR"/>
        </w:rPr>
      </w:pPr>
      <w:r>
        <w:rPr>
          <w:lang w:val="fr-FR"/>
        </w:rPr>
        <w:t>Il en résulte que le système de médiation fonctionne comme une série de filtres. Chaque plainte est enregistrée, examinée, puis transmise à une autre instance qui, elle aussi, ne peut intervenir. Et lorsque l’on atteint la dernière instance, celle-ci se révèle également inaccessible.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5CE632C"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9840ED5"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w:t>
            </w:r>
          </w:p>
          <w:p w14:paraId="2A39BAED" w14:textId="77777777" w:rsidR="0020702A" w:rsidRDefault="0020702A">
            <w:pPr>
              <w:numPr>
                <w:ilvl w:val="0"/>
                <w:numId w:val="24"/>
              </w:numPr>
              <w:spacing w:before="100" w:beforeAutospacing="1" w:after="100" w:afterAutospacing="1"/>
              <w:rPr>
                <w:rFonts w:eastAsia="Times New Roman"/>
                <w:szCs w:val="22"/>
              </w:rPr>
            </w:pPr>
            <w:r>
              <w:rPr>
                <w:rStyle w:val="Nadruk"/>
                <w:rFonts w:eastAsia="Times New Roman"/>
                <w:szCs w:val="22"/>
              </w:rPr>
              <w:t>Le Médiateur fédéral (BE)</w:t>
            </w:r>
            <w:r>
              <w:rPr>
                <w:rFonts w:eastAsia="Times New Roman"/>
                <w:szCs w:val="22"/>
              </w:rPr>
              <w:t xml:space="preserve"> est le seul médiateur pouvant intervenir dans des affaires en cours sans qu’une procédure judiciaire soit nécessaire au préalable. Déposez-y une plainte si vous vous heurtez à un blocage auprès d’un service public fédéral.</w:t>
            </w:r>
          </w:p>
          <w:p w14:paraId="03C4DCC2" w14:textId="77777777" w:rsidR="0020702A" w:rsidRDefault="0020702A">
            <w:pPr>
              <w:numPr>
                <w:ilvl w:val="0"/>
                <w:numId w:val="24"/>
              </w:numPr>
              <w:spacing w:before="100" w:beforeAutospacing="1" w:after="100" w:afterAutospacing="1"/>
              <w:rPr>
                <w:rFonts w:eastAsia="Times New Roman"/>
                <w:szCs w:val="22"/>
              </w:rPr>
            </w:pPr>
            <w:r>
              <w:rPr>
                <w:rStyle w:val="Nadruk"/>
                <w:rFonts w:eastAsia="Times New Roman"/>
                <w:szCs w:val="22"/>
              </w:rPr>
              <w:t>Le Médiateur national (NL)</w:t>
            </w:r>
            <w:r>
              <w:rPr>
                <w:rFonts w:eastAsia="Times New Roman"/>
                <w:szCs w:val="22"/>
              </w:rPr>
              <w:t xml:space="preserve"> ne peut intervenir qu’une fois toutes les procédures administratives épuisées. Ne commencez donc pas par le Médiateur, mais adressez-vous d’abord à l’instance concernée, puis au juge.</w:t>
            </w:r>
          </w:p>
          <w:p w14:paraId="3255BCF8" w14:textId="77777777" w:rsidR="0020702A" w:rsidRDefault="0020702A">
            <w:pPr>
              <w:numPr>
                <w:ilvl w:val="0"/>
                <w:numId w:val="24"/>
              </w:numPr>
              <w:spacing w:before="100" w:beforeAutospacing="1" w:after="100" w:afterAutospacing="1"/>
              <w:rPr>
                <w:rFonts w:eastAsia="Times New Roman"/>
                <w:szCs w:val="22"/>
              </w:rPr>
            </w:pPr>
            <w:r>
              <w:rPr>
                <w:rStyle w:val="Nadruk"/>
                <w:rFonts w:eastAsia="Times New Roman"/>
                <w:szCs w:val="22"/>
              </w:rPr>
              <w:t>Le SOLVIT</w:t>
            </w:r>
            <w:r>
              <w:rPr>
                <w:rFonts w:eastAsia="Times New Roman"/>
                <w:szCs w:val="22"/>
              </w:rPr>
              <w:t xml:space="preserve"> est utile pour obtenir des informations et pour documenter un problème structurel. Dans ce dossier, les deux centres ont toutefois refusé de renvoyer l'affaire vers le ELA. Ne vous attendez donc pas à une avancée par cette voie.</w:t>
            </w:r>
          </w:p>
          <w:p w14:paraId="1E3F3C4E" w14:textId="77777777" w:rsidR="0020702A" w:rsidRDefault="0020702A">
            <w:pPr>
              <w:numPr>
                <w:ilvl w:val="0"/>
                <w:numId w:val="24"/>
              </w:numPr>
              <w:spacing w:before="100" w:beforeAutospacing="1" w:after="100" w:afterAutospacing="1"/>
              <w:rPr>
                <w:rFonts w:eastAsia="Times New Roman"/>
                <w:szCs w:val="22"/>
              </w:rPr>
            </w:pPr>
            <w:r>
              <w:rPr>
                <w:rStyle w:val="Nadruk"/>
                <w:rFonts w:eastAsia="Times New Roman"/>
                <w:szCs w:val="22"/>
              </w:rPr>
              <w:t>Le ELA</w:t>
            </w:r>
            <w:r>
              <w:rPr>
                <w:rFonts w:eastAsia="Times New Roman"/>
                <w:szCs w:val="22"/>
              </w:rPr>
              <w:t xml:space="preserve"> n’est pas directement accessible aux citoyens. On ne peut y accéder que par l’intermédiaire des centres SOLVIT. Or, dans ce dossier, ceux-ci refusent systématiquement de le faire.</w:t>
            </w:r>
          </w:p>
          <w:p w14:paraId="7AF93760" w14:textId="77777777" w:rsidR="0020702A" w:rsidRDefault="0020702A">
            <w:pPr>
              <w:spacing w:after="0"/>
              <w:rPr>
                <w:rFonts w:eastAsia="Times New Roman"/>
                <w:szCs w:val="22"/>
              </w:rPr>
            </w:pPr>
            <w:r>
              <w:rPr>
                <w:rFonts w:eastAsia="Times New Roman"/>
                <w:szCs w:val="22"/>
              </w:rPr>
              <w:t xml:space="preserve">La voie de la médiation vient compléter la voie judiciaire, elle ne la remplace pas. Et parfois, même cette voie complémentaire est fermée. </w:t>
            </w:r>
          </w:p>
        </w:tc>
      </w:tr>
    </w:tbl>
    <w:p w14:paraId="19BF6E39"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Les faits sont basés sur le document B. Les cadres juridiques s’appuient sur les communications officielles des instances concernées. Ce chapitre ne constitue pas un avis juridique.</w:t>
      </w:r>
    </w:p>
    <w:p w14:paraId="09859433" w14:textId="77777777" w:rsidR="0020702A" w:rsidRDefault="0020702A">
      <w:pPr>
        <w:pStyle w:val="marker"/>
        <w:ind w:left="800" w:right="800"/>
        <w:divId w:val="1419013937"/>
        <w:rPr>
          <w:lang w:val="fr-FR"/>
        </w:rPr>
      </w:pPr>
      <w:r>
        <w:br w:type="page"/>
      </w:r>
    </w:p>
    <w:p w14:paraId="35BC69AC" w14:textId="77777777" w:rsidR="0020702A" w:rsidRDefault="0020702A">
      <w:pPr>
        <w:pStyle w:val="Kop2"/>
        <w:divId w:val="1419013937"/>
        <w:rPr>
          <w:rFonts w:eastAsia="Times New Roman"/>
          <w:lang w:val="fr-FR"/>
        </w:rPr>
      </w:pPr>
      <w:bookmarkStart w:id="126" w:name="_Toc242103366"/>
      <w:r>
        <w:rPr>
          <w:rFonts w:eastAsia="Times New Roman"/>
          <w:lang w:val="fr-FR"/>
        </w:rPr>
        <w:t>Les tribunaux</w:t>
      </w:r>
      <w:bookmarkEnd w:id="126"/>
    </w:p>
    <w:p w14:paraId="182EAE53" w14:textId="77777777" w:rsidR="0020702A" w:rsidRDefault="0020702A">
      <w:pPr>
        <w:pStyle w:val="lead"/>
        <w:divId w:val="1419013937"/>
        <w:rPr>
          <w:lang w:val="fr-FR"/>
        </w:rPr>
      </w:pPr>
      <w:r>
        <w:rPr>
          <w:lang w:val="fr-FR"/>
        </w:rPr>
        <w:t>Lorsque plus aucune instance n’intervient, il ne reste que le juge. En théorie, c’est là qu’une décision peut être imposée. Dans la pratique, l’accès à ce juge s’avère être un obstacle en soi — et cet obstacle est précisément le problème que le juge était censé résoudre.</w:t>
      </w:r>
    </w:p>
    <w:p w14:paraId="51E25A87" w14:textId="77777777" w:rsidR="0020702A" w:rsidRDefault="0020702A">
      <w:pPr>
        <w:pStyle w:val="Kop3"/>
        <w:divId w:val="1419013937"/>
        <w:rPr>
          <w:rFonts w:eastAsia="Times New Roman"/>
          <w:lang w:val="fr-FR"/>
        </w:rPr>
      </w:pPr>
      <w:bookmarkStart w:id="127" w:name="_Toc242103367"/>
      <w:r>
        <w:rPr>
          <w:rFonts w:eastAsia="Times New Roman"/>
          <w:lang w:val="fr-FR"/>
        </w:rPr>
        <w:t>Partie A — Les deux voies de recours</w:t>
      </w:r>
      <w:bookmarkEnd w:id="12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8E58640"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3B7C59B" w14:textId="77777777" w:rsidR="0020702A" w:rsidRDefault="0020702A">
            <w:pPr>
              <w:pStyle w:val="Normaalweb"/>
              <w:spacing w:before="120"/>
              <w:jc w:val="center"/>
              <w:rPr>
                <w:sz w:val="21"/>
                <w:szCs w:val="21"/>
              </w:rPr>
            </w:pPr>
            <w:r>
              <w:rPr>
                <w:noProof/>
                <w:sz w:val="21"/>
                <w:szCs w:val="21"/>
              </w:rPr>
              <w:drawing>
                <wp:inline distT="0" distB="0" distL="0" distR="0" wp14:anchorId="0BD25D5C" wp14:editId="4DA6C994">
                  <wp:extent cx="3810000" cy="1644650"/>
                  <wp:effectExtent l="0" t="0" r="0" b="0"/>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6C24BFF8" w14:textId="77777777" w:rsidR="0020702A" w:rsidRDefault="0020702A">
            <w:pPr>
              <w:pStyle w:val="caption"/>
              <w:spacing w:after="120" w:afterAutospacing="0"/>
            </w:pPr>
            <w:r>
              <w:rPr>
                <w:rStyle w:val="Zwaar"/>
              </w:rPr>
              <w:t>Figure XVI.1 — Les deux voies de recours.</w:t>
            </w:r>
            <w:r>
              <w:t xml:space="preserve"> </w:t>
            </w:r>
            <w:r>
              <w:t>En Belgique, le tribunal du travail est accessible par le biais d’une simple requête, sans droit d’enregistrement ni frais de procédure pour le citoyen. Les seuls frais à supporter sont les honoraires de l’avocat. Aux Pays-Bas, la procédure commence par un recours auprès de l’instance concernée, suivi d’un recours devant le juge administratif, avec des frais de greffe et des honoraires d’avocat.</w:t>
            </w:r>
          </w:p>
        </w:tc>
      </w:tr>
    </w:tbl>
    <w:p w14:paraId="785C3A82" w14:textId="77777777" w:rsidR="0020702A" w:rsidRDefault="0020702A">
      <w:pPr>
        <w:pStyle w:val="Kop3"/>
        <w:divId w:val="1419013937"/>
        <w:rPr>
          <w:rFonts w:eastAsia="Times New Roman"/>
          <w:lang w:val="fr-FR"/>
        </w:rPr>
      </w:pPr>
      <w:bookmarkStart w:id="128" w:name="_Toc242103368"/>
      <w:r>
        <w:rPr>
          <w:rFonts w:eastAsia="Times New Roman"/>
          <w:lang w:val="fr-FR"/>
        </w:rPr>
        <w:t>Partie B — Le seuil d’accès à l’aide juridictionnelle</w:t>
      </w:r>
      <w:bookmarkEnd w:id="128"/>
    </w:p>
    <w:p w14:paraId="053D97B3" w14:textId="77777777" w:rsidR="0020702A" w:rsidRDefault="0020702A">
      <w:pPr>
        <w:pStyle w:val="Normaalweb"/>
        <w:divId w:val="1419013937"/>
        <w:rPr>
          <w:lang w:val="fr-FR"/>
        </w:rPr>
      </w:pPr>
      <w:r>
        <w:rPr>
          <w:lang w:val="fr-FR"/>
        </w:rPr>
        <w:t>Les deux pays disposent d’un système d’aide juridictionnelle : « pro deo » en Belgique, « toevoeging » aux Pays-Bas. Toute personne dont les revenus sont inférieurs à un certain seuil se voit attribuer un avocat dont les frais sont (en grande partie) pris en charge par l’État. Mais ces seuils posent problème pour un travailleur frontalier confronté à une urgence médicale.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45FDA88"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6F154EB" w14:textId="77777777" w:rsidR="0020702A" w:rsidRDefault="0020702A">
            <w:pPr>
              <w:pStyle w:val="Normaalweb"/>
              <w:spacing w:before="120"/>
              <w:jc w:val="center"/>
              <w:rPr>
                <w:sz w:val="21"/>
                <w:szCs w:val="21"/>
              </w:rPr>
            </w:pPr>
            <w:r>
              <w:rPr>
                <w:noProof/>
                <w:sz w:val="21"/>
                <w:szCs w:val="21"/>
              </w:rPr>
              <w:drawing>
                <wp:inline distT="0" distB="0" distL="0" distR="0" wp14:anchorId="5E0CE313" wp14:editId="5443F1F9">
                  <wp:extent cx="3810000" cy="1593850"/>
                  <wp:effectExtent l="0" t="0" r="0" b="635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13537944" w14:textId="77777777" w:rsidR="0020702A" w:rsidRDefault="0020702A">
            <w:pPr>
              <w:pStyle w:val="caption"/>
              <w:spacing w:after="120" w:afterAutospacing="0"/>
            </w:pPr>
            <w:r>
              <w:rPr>
                <w:rStyle w:val="Zwaar"/>
              </w:rPr>
              <w:t>Figure XVI.2 — Les seuils d’aide juridictionnelle.</w:t>
            </w:r>
            <w:r>
              <w:t xml:space="preserve"> En Belgique, l’évaluation se fonde sur le revenu mensuel net de deux ans auparavant (l’année de référence). Aux Pays-Bas, c’est le revenu annuel brut des deux années précédentes qui est pris en compte. Dans les deux pays, le revenu réel est tombé à zéro pendant la crise sanitaire, mais le revenu de l’année de référence reste basé sur la période antérieure à la crise. Sur le papier, le citoyen gagne trop, alors qu’en réalité, il n’a plus rien.</w:t>
            </w:r>
          </w:p>
        </w:tc>
      </w:tr>
    </w:tbl>
    <w:p w14:paraId="6C4F490D" w14:textId="77777777" w:rsidR="0020702A" w:rsidRDefault="0020702A">
      <w:pPr>
        <w:pStyle w:val="Kop3"/>
        <w:divId w:val="1419013937"/>
        <w:rPr>
          <w:rFonts w:eastAsia="Times New Roman"/>
          <w:lang w:val="fr-FR"/>
        </w:rPr>
      </w:pPr>
      <w:bookmarkStart w:id="129" w:name="_Toc242103369"/>
      <w:r>
        <w:rPr>
          <w:rFonts w:eastAsia="Times New Roman"/>
          <w:lang w:val="fr-FR"/>
        </w:rPr>
        <w:t>Partie C — L’ironie de l’année de référence</w:t>
      </w:r>
      <w:bookmarkEnd w:id="129"/>
    </w:p>
    <w:p w14:paraId="38B27A06" w14:textId="77777777" w:rsidR="0020702A" w:rsidRDefault="0020702A">
      <w:pPr>
        <w:pStyle w:val="Normaalweb"/>
        <w:divId w:val="1419013937"/>
        <w:rPr>
          <w:lang w:val="fr-FR"/>
        </w:rPr>
      </w:pPr>
      <w:r>
        <w:rPr>
          <w:lang w:val="fr-FR"/>
        </w:rPr>
        <w:t xml:space="preserve">Le cœur du problème réside dans </w:t>
      </w:r>
      <w:r>
        <w:rPr>
          <w:rStyle w:val="Zwaar"/>
          <w:lang w:val="fr-FR"/>
        </w:rPr>
        <w:t>l’année</w:t>
      </w:r>
      <w:r>
        <w:rPr>
          <w:lang w:val="fr-FR"/>
        </w:rPr>
        <w:t xml:space="preserve"> </w:t>
      </w:r>
      <w:r>
        <w:rPr>
          <w:rStyle w:val="Zwaar"/>
          <w:lang w:val="fr-FR"/>
        </w:rPr>
        <w:t>de référence</w:t>
      </w:r>
      <w:r>
        <w:rPr>
          <w:lang w:val="fr-FR"/>
        </w:rPr>
        <w:t>. Les deux pays évaluent le droit à l’aide juridictionnelle en fonction des revenus de deux ans auparavant. Cette mesure vise à prévenir la fraude : toute personne qui réduit rapidement ses revenus pour être éligible est exclue. Mais le système ne tient pas compte d’une baisse soudaine et involontaire des revenus due à la maladie.</w:t>
      </w:r>
    </w:p>
    <w:p w14:paraId="32000D39" w14:textId="77777777" w:rsidR="0020702A" w:rsidRDefault="0020702A">
      <w:pPr>
        <w:pStyle w:val="Normaalweb"/>
        <w:divId w:val="1419013937"/>
        <w:rPr>
          <w:lang w:val="fr-FR"/>
        </w:rPr>
      </w:pPr>
      <w:r>
        <w:rPr>
          <w:lang w:val="fr-FR"/>
        </w:rPr>
        <w:t>Extrait du dossier de l’utilisateur :</w:t>
      </w:r>
    </w:p>
    <w:p w14:paraId="470823C4" w14:textId="77777777" w:rsidR="0020702A" w:rsidRDefault="0020702A">
      <w:pPr>
        <w:numPr>
          <w:ilvl w:val="0"/>
          <w:numId w:val="25"/>
        </w:numPr>
        <w:spacing w:before="100" w:beforeAutospacing="1" w:after="100" w:afterAutospacing="1"/>
        <w:divId w:val="1419013937"/>
        <w:rPr>
          <w:rFonts w:eastAsia="Times New Roman"/>
          <w:lang w:val="fr-FR"/>
        </w:rPr>
      </w:pPr>
      <w:r>
        <w:rPr>
          <w:rFonts w:eastAsia="Times New Roman"/>
          <w:lang w:val="fr-FR"/>
        </w:rPr>
        <w:t>Il y a deux ans, les revenus étaient encore normaux : le père travaillait, la crise médicale n’avait pas encore commencé.</w:t>
      </w:r>
    </w:p>
    <w:p w14:paraId="1E50EACD" w14:textId="77777777" w:rsidR="0020702A" w:rsidRDefault="0020702A">
      <w:pPr>
        <w:numPr>
          <w:ilvl w:val="0"/>
          <w:numId w:val="25"/>
        </w:numPr>
        <w:spacing w:before="100" w:beforeAutospacing="1" w:after="100" w:afterAutospacing="1"/>
        <w:divId w:val="1419013937"/>
        <w:rPr>
          <w:rFonts w:eastAsia="Times New Roman"/>
          <w:lang w:val="fr-FR"/>
        </w:rPr>
      </w:pPr>
      <w:r>
        <w:rPr>
          <w:rFonts w:eastAsia="Times New Roman"/>
          <w:lang w:val="fr-FR"/>
        </w:rPr>
        <w:t>Aujourd’hui, le revenu réel est nul : les indemnités de maladie sont bloquées, la WIA a été refusée, les allocations sont à zéro.</w:t>
      </w:r>
    </w:p>
    <w:p w14:paraId="214C70B9" w14:textId="77777777" w:rsidR="0020702A" w:rsidRDefault="0020702A">
      <w:pPr>
        <w:numPr>
          <w:ilvl w:val="0"/>
          <w:numId w:val="25"/>
        </w:numPr>
        <w:spacing w:before="100" w:beforeAutospacing="1" w:after="100" w:afterAutospacing="1"/>
        <w:divId w:val="1419013937"/>
        <w:rPr>
          <w:rFonts w:eastAsia="Times New Roman"/>
          <w:lang w:val="fr-FR"/>
        </w:rPr>
      </w:pPr>
      <w:r>
        <w:rPr>
          <w:rFonts w:eastAsia="Times New Roman"/>
          <w:lang w:val="fr-FR"/>
        </w:rPr>
        <w:t>Les frais médicaux ont entièrement épuisé le revenu disponible.</w:t>
      </w:r>
    </w:p>
    <w:p w14:paraId="0C8D302B" w14:textId="77777777" w:rsidR="0020702A" w:rsidRDefault="0020702A">
      <w:pPr>
        <w:numPr>
          <w:ilvl w:val="0"/>
          <w:numId w:val="25"/>
        </w:numPr>
        <w:spacing w:before="100" w:beforeAutospacing="1" w:after="100" w:afterAutospacing="1"/>
        <w:divId w:val="1419013937"/>
        <w:rPr>
          <w:rFonts w:eastAsia="Times New Roman"/>
          <w:lang w:val="fr-FR"/>
        </w:rPr>
      </w:pPr>
      <w:r>
        <w:rPr>
          <w:rFonts w:eastAsia="Times New Roman"/>
          <w:lang w:val="fr-FR"/>
        </w:rPr>
        <w:t>Mais le revenu de référence reste l’ancien revenu normal.</w:t>
      </w:r>
    </w:p>
    <w:p w14:paraId="1F7D95A0" w14:textId="77777777" w:rsidR="0020702A" w:rsidRDefault="0020702A">
      <w:pPr>
        <w:pStyle w:val="Normaalweb"/>
        <w:divId w:val="1419013937"/>
        <w:rPr>
          <w:lang w:val="fr-FR"/>
        </w:rPr>
      </w:pPr>
      <w:r>
        <w:rPr>
          <w:lang w:val="fr-FR"/>
        </w:rPr>
        <w:t>Conséquence : sur le papier, le citoyen gagne trop pour bénéficier de l’aide juridictionnelle, alors qu’en réalité, il n’a pas les moyens de payer un avocat. Le seuil censé protéger les plus vulnérables exclut justement ceux qui se sont retrouvés en difficulté à la suite d’une crise soudaine.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6CDDE82"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FE1D0DA" w14:textId="77777777" w:rsidR="0020702A" w:rsidRDefault="0020702A">
            <w:pPr>
              <w:pStyle w:val="Normaalweb"/>
              <w:spacing w:before="120"/>
              <w:jc w:val="center"/>
              <w:rPr>
                <w:sz w:val="21"/>
                <w:szCs w:val="21"/>
              </w:rPr>
            </w:pPr>
            <w:r>
              <w:rPr>
                <w:noProof/>
                <w:sz w:val="21"/>
                <w:szCs w:val="21"/>
              </w:rPr>
              <w:drawing>
                <wp:inline distT="0" distB="0" distL="0" distR="0" wp14:anchorId="015C5D64" wp14:editId="0A46AC12">
                  <wp:extent cx="3810000" cy="1250950"/>
                  <wp:effectExtent l="0" t="0" r="0" b="635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0515F7BE" w14:textId="77777777" w:rsidR="0020702A" w:rsidRDefault="0020702A">
            <w:pPr>
              <w:pStyle w:val="caption"/>
              <w:spacing w:after="120" w:afterAutospacing="0"/>
            </w:pPr>
            <w:r>
              <w:rPr>
                <w:rStyle w:val="Zwaar"/>
              </w:rPr>
              <w:t>Figure XVI.3 — L’ironie de l’année de référence.</w:t>
            </w:r>
            <w:r>
              <w:t xml:space="preserve"> Le système se base sur le revenu d’il y a deux ans. En cas de crise médicale, ce revenu n’est plus représentatif. Sur le papier, le citoyen gagne trop pour bénéficier de l’aide juridictionnelle, alors que son revenu réel est nul. Le seuil censé protéger les plus vulnérables exclut justement ceux qui se sont retrouvés en difficulté à la suite d’une crise soudaine.</w:t>
            </w:r>
          </w:p>
        </w:tc>
      </w:tr>
    </w:tbl>
    <w:p w14:paraId="12DDFAB2" w14:textId="77777777" w:rsidR="0020702A" w:rsidRDefault="0020702A">
      <w:pPr>
        <w:pStyle w:val="Kop3"/>
        <w:divId w:val="1419013937"/>
        <w:rPr>
          <w:rFonts w:eastAsia="Times New Roman"/>
          <w:lang w:val="fr-FR"/>
        </w:rPr>
      </w:pPr>
      <w:bookmarkStart w:id="130" w:name="_Toc242103370"/>
      <w:r>
        <w:rPr>
          <w:rFonts w:eastAsia="Times New Roman"/>
          <w:lang w:val="fr-FR"/>
        </w:rPr>
        <w:t>Partie D — Ce que cela signifie</w:t>
      </w:r>
      <w:bookmarkEnd w:id="130"/>
    </w:p>
    <w:p w14:paraId="68E72D7E" w14:textId="77777777" w:rsidR="0020702A" w:rsidRDefault="0020702A">
      <w:pPr>
        <w:pStyle w:val="Normaalweb"/>
        <w:divId w:val="1419013937"/>
        <w:rPr>
          <w:lang w:val="fr-FR"/>
        </w:rPr>
      </w:pPr>
      <w:r>
        <w:rPr>
          <w:lang w:val="fr-FR"/>
        </w:rPr>
        <w:t>La voie judiciaire est, en théorie, la solution ultime. Le juge peut contraindre une instance à revoir sa décision. Dans la pratique, l’accès à ce juge s’avère lui-même constituer un obstacle. Et cet obstacle est précisément le problème que le juge était censé résoudre.</w:t>
      </w:r>
    </w:p>
    <w:p w14:paraId="07C928C6" w14:textId="77777777" w:rsidR="0020702A" w:rsidRDefault="0020702A">
      <w:pPr>
        <w:pStyle w:val="Normaalweb"/>
        <w:divId w:val="1419013937"/>
        <w:rPr>
          <w:lang w:val="fr-FR"/>
        </w:rPr>
      </w:pPr>
      <w:r>
        <w:rPr>
          <w:lang w:val="fr-FR"/>
        </w:rPr>
        <w:t>Le citoyen qui n’a pas les moyens de payer un avocat ne peut pas engager une procédure judiciaire. Le citoyen qui ne bénéficie pas d’une aide juridictionnelle parce que son revenu de référence est trop élevé ne peut pas engager une procédure judiciaire. Le citoyen qui n’a pas de revenus parce que ses allocations ont été bloquées ne peut pas engager de procédure judiciaire. Le système renvoie vers le juge, mais celui-ci est inaccessible à ceux qui en ont le plus besoin.</w:t>
      </w:r>
    </w:p>
    <w:p w14:paraId="4B2DD9EB" w14:textId="77777777" w:rsidR="0020702A" w:rsidRDefault="0020702A">
      <w:pPr>
        <w:pStyle w:val="Normaalweb"/>
        <w:divId w:val="1419013937"/>
        <w:rPr>
          <w:lang w:val="fr-FR"/>
        </w:rPr>
      </w:pPr>
      <w:r>
        <w:rPr>
          <w:lang w:val="fr-FR"/>
        </w:rPr>
        <w:t>En Belgique, le seuil est moins élevé : la requête est simple et gratuite, et les seuls frais à supporter sont les honoraires de l’avocat. Mais même ces honoraires sont inabordables pour beaucoup de gens. Aux Pays-Bas, le seuil est plus élevé : frais de greffe, honoraires d’avocat et un cadre d’évaluation encore plus strict.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DC6E578"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390DE9BC"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la voie judiciaire n’est pas impossible, mais l’accès est limité par l’année de référence. Trois choses à savoir : </w:t>
            </w:r>
          </w:p>
          <w:p w14:paraId="65CC9135" w14:textId="77777777" w:rsidR="0020702A" w:rsidRDefault="0020702A">
            <w:pPr>
              <w:numPr>
                <w:ilvl w:val="0"/>
                <w:numId w:val="26"/>
              </w:numPr>
              <w:spacing w:before="100" w:beforeAutospacing="1" w:after="100" w:afterAutospacing="1"/>
              <w:rPr>
                <w:rFonts w:eastAsia="Times New Roman"/>
                <w:szCs w:val="22"/>
              </w:rPr>
            </w:pPr>
            <w:r>
              <w:rPr>
                <w:rFonts w:eastAsia="Times New Roman"/>
                <w:szCs w:val="22"/>
              </w:rPr>
              <w:t xml:space="preserve">Demandez au Bureau d’aide juridique (BE) ou au Conseil de l’aide juridique (NL) un </w:t>
            </w:r>
            <w:r>
              <w:rPr>
                <w:rStyle w:val="Zwaar"/>
                <w:rFonts w:eastAsia="Times New Roman"/>
                <w:szCs w:val="22"/>
              </w:rPr>
              <w:t>report de l’année de référence</w:t>
            </w:r>
            <w:r>
              <w:rPr>
                <w:rFonts w:eastAsia="Times New Roman"/>
                <w:szCs w:val="22"/>
              </w:rPr>
              <w:t>. Aux Pays-Bas, cela est possible si les revenus ont baissé d’au moins 15 % par rapport à ceux enregistrés deux ans auparavant. En Belgique, le Bureau d’aide juridique peut également tenir compte des ressources actuelles.</w:t>
            </w:r>
          </w:p>
          <w:p w14:paraId="73EB9C21" w14:textId="77777777" w:rsidR="0020702A" w:rsidRDefault="0020702A">
            <w:pPr>
              <w:numPr>
                <w:ilvl w:val="0"/>
                <w:numId w:val="26"/>
              </w:numPr>
              <w:spacing w:before="100" w:beforeAutospacing="1" w:after="100" w:afterAutospacing="1"/>
              <w:rPr>
                <w:rFonts w:eastAsia="Times New Roman"/>
                <w:szCs w:val="22"/>
              </w:rPr>
            </w:pPr>
            <w:r>
              <w:rPr>
                <w:rFonts w:eastAsia="Times New Roman"/>
                <w:szCs w:val="22"/>
              </w:rPr>
              <w:t>En Belgique, la requête auprès du tribunal du travail est gratuite. Vous pouvez la rédiger vous-même, sans avocat. Un syndicat ou une organisation sociale peut vous aider.</w:t>
            </w:r>
          </w:p>
          <w:p w14:paraId="30D1A430" w14:textId="77777777" w:rsidR="0020702A" w:rsidRDefault="0020702A">
            <w:pPr>
              <w:numPr>
                <w:ilvl w:val="0"/>
                <w:numId w:val="26"/>
              </w:numPr>
              <w:spacing w:before="100" w:beforeAutospacing="1" w:after="100" w:afterAutospacing="1"/>
              <w:rPr>
                <w:rFonts w:eastAsia="Times New Roman"/>
                <w:szCs w:val="22"/>
              </w:rPr>
            </w:pPr>
            <w:r>
              <w:rPr>
                <w:rFonts w:eastAsia="Times New Roman"/>
                <w:szCs w:val="22"/>
              </w:rPr>
              <w:t>Aux Pays-Bas, le recours auprès de l’organisme concerné est gratuit. Si cela ne donne pas de résultat, l’étape suivante consiste à saisir le tribunal administratif, mais cela entraîne des frais. Demandez une aide juridictionnelle si vos revenus de l’année en cours sont faibles — même si les revenus de l’année de référence étaient plus élevés.</w:t>
            </w:r>
          </w:p>
          <w:p w14:paraId="75948533" w14:textId="77777777" w:rsidR="0020702A" w:rsidRDefault="0020702A">
            <w:pPr>
              <w:spacing w:after="0"/>
              <w:rPr>
                <w:rFonts w:eastAsia="Times New Roman"/>
                <w:szCs w:val="22"/>
              </w:rPr>
            </w:pPr>
            <w:r>
              <w:rPr>
                <w:rFonts w:eastAsia="Times New Roman"/>
                <w:szCs w:val="22"/>
              </w:rPr>
              <w:t xml:space="preserve">La voie judiciaire est le dernier recours. Mais elle n’est pas accessible à tous de la même manière. </w:t>
            </w:r>
          </w:p>
        </w:tc>
      </w:tr>
    </w:tbl>
    <w:p w14:paraId="325E14D2"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plafonds de revenus pour l’aide juridictionnelle et l’aide aux frais de justice sont basés sur les communications officielles des instances concernées (advocaat.be, Conseil de l’aide juridictionnelle). Ce chapitre ne constitue pas un avis juridique. En cas de doute, consultez un service spécialisé ou un avocat.</w:t>
      </w:r>
    </w:p>
    <w:p w14:paraId="7BA318A7" w14:textId="77777777" w:rsidR="0020702A" w:rsidRDefault="0020702A">
      <w:pPr>
        <w:pStyle w:val="marker"/>
        <w:ind w:left="800" w:right="800"/>
        <w:divId w:val="1419013937"/>
        <w:rPr>
          <w:lang w:val="fr-FR"/>
        </w:rPr>
      </w:pPr>
      <w:r>
        <w:br w:type="page"/>
      </w:r>
    </w:p>
    <w:p w14:paraId="7907F808" w14:textId="77777777" w:rsidR="0020702A" w:rsidRDefault="0020702A">
      <w:pPr>
        <w:pStyle w:val="Kop2"/>
        <w:divId w:val="1419013937"/>
        <w:rPr>
          <w:rFonts w:eastAsia="Times New Roman"/>
          <w:lang w:val="fr-FR"/>
        </w:rPr>
      </w:pPr>
      <w:bookmarkStart w:id="131" w:name="_Toc242103371"/>
      <w:r>
        <w:rPr>
          <w:rFonts w:eastAsia="Times New Roman"/>
          <w:lang w:val="fr-FR"/>
        </w:rPr>
        <w:t>La politique</w:t>
      </w:r>
      <w:bookmarkEnd w:id="131"/>
    </w:p>
    <w:p w14:paraId="41C33AB3" w14:textId="77777777" w:rsidR="0020702A" w:rsidRDefault="0020702A">
      <w:pPr>
        <w:pStyle w:val="lead"/>
        <w:divId w:val="1419013937"/>
        <w:rPr>
          <w:lang w:val="fr-FR"/>
        </w:rPr>
      </w:pPr>
      <w:r>
        <w:rPr>
          <w:lang w:val="fr-FR"/>
        </w:rPr>
        <w:t>La politique a le pouvoir de modifier les lois, d’allouer des budgets et d’orienter les organismes d’exécution. En théorie, c’est le pouvoir correctif ultime. Dans la pratique, il s’avère que la classe politique n’exerce ce pouvoir que lorsque le problème est présenté comme une défaillance systémique collective — et non lorsqu’il s’agit d’une plainte individuelle.</w:t>
      </w:r>
    </w:p>
    <w:p w14:paraId="79AFBF2A" w14:textId="77777777" w:rsidR="0020702A" w:rsidRDefault="0020702A">
      <w:pPr>
        <w:pStyle w:val="Kop3"/>
        <w:divId w:val="1419013937"/>
        <w:rPr>
          <w:rFonts w:eastAsia="Times New Roman"/>
          <w:lang w:val="fr-FR"/>
        </w:rPr>
      </w:pPr>
      <w:bookmarkStart w:id="132" w:name="_Toc242103372"/>
      <w:r>
        <w:rPr>
          <w:rFonts w:eastAsia="Times New Roman"/>
          <w:lang w:val="fr-FR"/>
        </w:rPr>
        <w:t>Partie A — La séparation des pouvoirs</w:t>
      </w:r>
      <w:bookmarkEnd w:id="13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776F6E5"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6459BCD" w14:textId="77777777" w:rsidR="0020702A" w:rsidRDefault="0020702A">
            <w:pPr>
              <w:pStyle w:val="Normaalweb"/>
              <w:spacing w:before="120"/>
              <w:jc w:val="center"/>
              <w:rPr>
                <w:sz w:val="21"/>
                <w:szCs w:val="21"/>
              </w:rPr>
            </w:pPr>
            <w:r>
              <w:rPr>
                <w:noProof/>
                <w:sz w:val="21"/>
                <w:szCs w:val="21"/>
              </w:rPr>
              <w:drawing>
                <wp:inline distT="0" distB="0" distL="0" distR="0" wp14:anchorId="368A5B30" wp14:editId="2A8D501A">
                  <wp:extent cx="3810000" cy="1784350"/>
                  <wp:effectExtent l="0" t="0" r="0" b="635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tc>
      </w:tr>
    </w:tbl>
    <w:p w14:paraId="49EA667D" w14:textId="77777777" w:rsidR="0020702A" w:rsidRDefault="0020702A">
      <w:pPr>
        <w:pStyle w:val="caption"/>
        <w:spacing w:after="120" w:afterAutospacing="0"/>
        <w:divId w:val="1419013937"/>
        <w:rPr>
          <w:lang w:val="fr-FR"/>
        </w:rPr>
      </w:pPr>
      <w:r>
        <w:rPr>
          <w:rStyle w:val="Zwaar"/>
          <w:lang w:val="fr-FR"/>
        </w:rPr>
        <w:t>Figure XVII.1 — La séparation des pouvoirs.</w:t>
      </w:r>
      <w:r>
        <w:rPr>
          <w:lang w:val="fr-FR"/>
        </w:rPr>
        <w:t xml:space="preserve"> La Belgique connaît une trias politica classique, consacrée par les articles 33, 36, 37 et 40 de la Constitution. Les Pays-Bas ne connaissent pas de séparation stricte, mais un système de freins et contrepoids, dont la responsabilité ministérielle (art. 42) et l’obligation d’information (art. 68) constituent les éléments centraux.</w:t>
      </w:r>
    </w:p>
    <w:p w14:paraId="406AA533" w14:textId="77777777" w:rsidR="0020702A" w:rsidRDefault="0020702A">
      <w:pPr>
        <w:pStyle w:val="Kop3"/>
        <w:divId w:val="1419013937"/>
        <w:rPr>
          <w:rFonts w:eastAsia="Times New Roman"/>
          <w:lang w:val="fr-FR"/>
        </w:rPr>
      </w:pPr>
      <w:bookmarkStart w:id="133" w:name="_Toc242103373"/>
      <w:r>
        <w:rPr>
          <w:rFonts w:eastAsia="Times New Roman"/>
          <w:lang w:val="fr-FR"/>
        </w:rPr>
        <w:t>Partie B — Ce que la politique peut et ne peut pas faire</w:t>
      </w:r>
      <w:bookmarkEnd w:id="13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B4C911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6505C8F" w14:textId="77777777" w:rsidR="0020702A" w:rsidRDefault="0020702A">
            <w:pPr>
              <w:pStyle w:val="Normaalweb"/>
              <w:spacing w:before="120"/>
              <w:jc w:val="center"/>
              <w:rPr>
                <w:sz w:val="21"/>
                <w:szCs w:val="21"/>
              </w:rPr>
            </w:pPr>
            <w:r>
              <w:rPr>
                <w:noProof/>
                <w:sz w:val="21"/>
                <w:szCs w:val="21"/>
              </w:rPr>
              <w:drawing>
                <wp:inline distT="0" distB="0" distL="0" distR="0" wp14:anchorId="491998B9" wp14:editId="4FC74420">
                  <wp:extent cx="3810000" cy="1593850"/>
                  <wp:effectExtent l="0" t="0" r="0" b="635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63FBBB47" w14:textId="77777777" w:rsidR="0020702A" w:rsidRDefault="0020702A">
            <w:pPr>
              <w:pStyle w:val="caption"/>
              <w:spacing w:after="120" w:afterAutospacing="0"/>
            </w:pPr>
            <w:r>
              <w:rPr>
                <w:rStyle w:val="Zwaar"/>
              </w:rPr>
              <w:t>Figure XVII.2 — Ce que la politique peut et ne peut pas faire.</w:t>
            </w:r>
            <w:r>
              <w:t xml:space="preserve"> La politique peut adopter et modifier des lois, mais ne peut pas réviser une décision individuelle. Elle peut confier de nouvelles missions à un organe d'exécution, mais ne peut ni ouvrir ni clore un dossier individuel. La séparation des pouvoirs interdit toute ingérence dans des affaires concrètes.</w:t>
            </w:r>
          </w:p>
        </w:tc>
      </w:tr>
    </w:tbl>
    <w:p w14:paraId="5368358A" w14:textId="77777777" w:rsidR="0020702A" w:rsidRDefault="0020702A">
      <w:pPr>
        <w:pStyle w:val="Kop3"/>
        <w:divId w:val="1419013937"/>
        <w:rPr>
          <w:rFonts w:eastAsia="Times New Roman"/>
          <w:lang w:val="fr-FR"/>
        </w:rPr>
      </w:pPr>
      <w:bookmarkStart w:id="134" w:name="_Toc242103374"/>
      <w:r>
        <w:rPr>
          <w:rFonts w:eastAsia="Times New Roman"/>
          <w:lang w:val="fr-FR"/>
        </w:rPr>
        <w:t>Partie C — La pratique parlementaire belge</w:t>
      </w:r>
      <w:bookmarkEnd w:id="134"/>
    </w:p>
    <w:p w14:paraId="5FDAE2D2" w14:textId="77777777" w:rsidR="0020702A" w:rsidRDefault="0020702A">
      <w:pPr>
        <w:pStyle w:val="Normaalweb"/>
        <w:divId w:val="1419013937"/>
        <w:rPr>
          <w:lang w:val="fr-FR"/>
        </w:rPr>
      </w:pPr>
      <w:r>
        <w:rPr>
          <w:lang w:val="fr-FR"/>
        </w:rPr>
        <w:t>En Belgique, la Chambre des représentants dispose d’un vaste arsenal d’instruments de contrôle. Les commissions permanentes — dont la commission des Affaires sociales, de l’Emploi et des Retraites — préparent la législation et contrôlent le gouvernement. Au sein de ces commissions, les députés peuvent poser des questions écrites et orales, et mener des interpellations pouvant déboucher sur des motions de recommandation ou de censure.</w:t>
      </w:r>
    </w:p>
    <w:p w14:paraId="6B3C7D82" w14:textId="77777777" w:rsidR="0020702A" w:rsidRDefault="0020702A">
      <w:pPr>
        <w:pStyle w:val="Normaalweb"/>
        <w:divId w:val="1419013937"/>
        <w:rPr>
          <w:lang w:val="fr-FR"/>
        </w:rPr>
      </w:pPr>
      <w:r>
        <w:rPr>
          <w:lang w:val="fr-FR"/>
        </w:rPr>
        <w:t>Il existe par ailleurs la Commission des pétitions. Tout citoyen peut y déposer une pétition. La commission vérifie si la pétition est recevable, puis la transmet à la commission compétente ou au ministre compétent. Ce dernier est tenu de fournir des explications par écrit dans un délai de six semaines. La commission peut ensuite décider de classer la pétition, de la renvoyer ou d’organiser une audition.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B368F07"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AA7E1A9" w14:textId="77777777" w:rsidR="0020702A" w:rsidRDefault="0020702A">
            <w:pPr>
              <w:pStyle w:val="Normaalweb"/>
              <w:spacing w:before="120"/>
              <w:jc w:val="center"/>
              <w:rPr>
                <w:sz w:val="21"/>
                <w:szCs w:val="21"/>
              </w:rPr>
            </w:pPr>
            <w:r>
              <w:rPr>
                <w:noProof/>
                <w:sz w:val="21"/>
                <w:szCs w:val="21"/>
              </w:rPr>
              <w:drawing>
                <wp:inline distT="0" distB="0" distL="0" distR="0" wp14:anchorId="2F72EE1B" wp14:editId="46B2ADED">
                  <wp:extent cx="3810000" cy="1644650"/>
                  <wp:effectExtent l="0" t="0" r="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6588C691" w14:textId="77777777" w:rsidR="0020702A" w:rsidRDefault="0020702A">
            <w:pPr>
              <w:pStyle w:val="caption"/>
              <w:spacing w:after="120" w:afterAutospacing="0"/>
            </w:pPr>
            <w:r>
              <w:rPr>
                <w:rStyle w:val="Zwaar"/>
              </w:rPr>
              <w:t>Figure XVII.3 — La voie belge.</w:t>
            </w:r>
            <w:r>
              <w:t xml:space="preserve"> Le citoyen dépose une pétition. La Commission des pétitions la déclare recevable et la transmet à la commission compétente et au ministre. Le ministre fournit des explications dans un délai de six semaines. La procédure s’arrête là. Dans ce dossier : déclarée recevable, transmise, aucune réponse sur le fond.</w:t>
            </w:r>
          </w:p>
        </w:tc>
      </w:tr>
    </w:tbl>
    <w:p w14:paraId="0719DE08" w14:textId="77777777" w:rsidR="0020702A" w:rsidRDefault="0020702A">
      <w:pPr>
        <w:pStyle w:val="Kop3"/>
        <w:divId w:val="1419013937"/>
        <w:rPr>
          <w:rFonts w:eastAsia="Times New Roman"/>
          <w:lang w:val="fr-FR"/>
        </w:rPr>
      </w:pPr>
      <w:bookmarkStart w:id="135" w:name="_Toc242103375"/>
      <w:r>
        <w:rPr>
          <w:rFonts w:eastAsia="Times New Roman"/>
          <w:lang w:val="fr-FR"/>
        </w:rPr>
        <w:t>Partie D — La pratique parlementaire néerlandaise</w:t>
      </w:r>
      <w:bookmarkEnd w:id="135"/>
    </w:p>
    <w:p w14:paraId="06678E42" w14:textId="77777777" w:rsidR="0020702A" w:rsidRDefault="0020702A">
      <w:pPr>
        <w:pStyle w:val="Normaalweb"/>
        <w:divId w:val="1419013937"/>
        <w:rPr>
          <w:lang w:val="fr-FR"/>
        </w:rPr>
      </w:pPr>
      <w:r>
        <w:rPr>
          <w:lang w:val="fr-FR"/>
        </w:rPr>
        <w:t>La Chambre des représentants dispose d’un ensemble d’outils similaires. Les députés peuvent poser des questions écrites, des questions orales, procéder à des interpellations et déposer des motions. La commission permanente des Affaires sociales et de l’Emploi (SZW) est compétente pour le contrôle du ministère des Affaires sociales et de l’Emploi (SZW) et des organismes d’exécution qui en relèvent.</w:t>
      </w:r>
    </w:p>
    <w:p w14:paraId="4DC93A0A" w14:textId="77777777" w:rsidR="0020702A" w:rsidRDefault="0020702A">
      <w:pPr>
        <w:pStyle w:val="Normaalweb"/>
        <w:divId w:val="1419013937"/>
        <w:rPr>
          <w:lang w:val="fr-FR"/>
        </w:rPr>
      </w:pPr>
      <w:r>
        <w:rPr>
          <w:lang w:val="fr-FR"/>
        </w:rPr>
        <w:t>Ce qui distingue les Pays-Bas, c’est l’enquête parlementaire. Il s’agit de l’instrument d’enquête le plus puissant : une commission qui peut entendre des témoins sous serment, exiger la production de documents et publier un rapport public. L’affaire des allocations est l’exemple le plus récent du fonctionnement de cet instrument — et du temps qu’il faut avant qu’il ne soit mis en œuvre.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74E60E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BC47716" w14:textId="77777777" w:rsidR="0020702A" w:rsidRDefault="0020702A">
            <w:pPr>
              <w:pStyle w:val="Normaalweb"/>
              <w:spacing w:before="120"/>
              <w:jc w:val="center"/>
              <w:rPr>
                <w:sz w:val="21"/>
                <w:szCs w:val="21"/>
              </w:rPr>
            </w:pPr>
            <w:r>
              <w:rPr>
                <w:noProof/>
                <w:sz w:val="21"/>
                <w:szCs w:val="21"/>
              </w:rPr>
              <w:drawing>
                <wp:inline distT="0" distB="0" distL="0" distR="0" wp14:anchorId="1A76F7D0" wp14:editId="79A8402B">
                  <wp:extent cx="3810000" cy="1644650"/>
                  <wp:effectExtent l="0" t="0" r="0" b="0"/>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7B195E95" w14:textId="77777777" w:rsidR="0020702A" w:rsidRDefault="0020702A">
            <w:pPr>
              <w:pStyle w:val="caption"/>
              <w:spacing w:after="120" w:afterAutospacing="0"/>
            </w:pPr>
            <w:r>
              <w:rPr>
                <w:rStyle w:val="Zwaar"/>
              </w:rPr>
              <w:t>Figure XVII.4 — La voie néerlandaise.</w:t>
            </w:r>
            <w:r>
              <w:t xml:space="preserve"> La Chambre des représentants ne traite pas les plaintes individuelles. La commission SZW peut mettre un dossier en attente. L’instrument le plus puissant — l’enquête parlementaire — nécessite une majorité et n’est utilisé qu’en cas de crises systémiques majeures. L’affaire des allocations montre combien de temps cela prend.</w:t>
            </w:r>
          </w:p>
        </w:tc>
      </w:tr>
    </w:tbl>
    <w:p w14:paraId="34E96C65" w14:textId="77777777" w:rsidR="0020702A" w:rsidRDefault="0020702A">
      <w:pPr>
        <w:pStyle w:val="Kop3"/>
        <w:divId w:val="1419013937"/>
        <w:rPr>
          <w:rFonts w:eastAsia="Times New Roman"/>
          <w:lang w:val="fr-FR"/>
        </w:rPr>
      </w:pPr>
      <w:bookmarkStart w:id="136" w:name="_Toc242103376"/>
      <w:r>
        <w:rPr>
          <w:rFonts w:eastAsia="Times New Roman"/>
          <w:lang w:val="fr-FR"/>
        </w:rPr>
        <w:t>Partie E — Les différences en bref</w:t>
      </w:r>
      <w:bookmarkEnd w:id="136"/>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6E37E848" w14:textId="77777777">
        <w:trPr>
          <w:divId w:val="1419013937"/>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9F021AD"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Aspect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C48D287"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Belgique</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0C12F13" w14:textId="77777777" w:rsidR="0020702A" w:rsidRDefault="0020702A">
            <w:pPr>
              <w:spacing w:before="200" w:after="360"/>
              <w:rPr>
                <w:rFonts w:eastAsia="Times New Roman"/>
                <w:b/>
                <w:bCs/>
                <w:color w:val="FFFFFF"/>
                <w:sz w:val="21"/>
                <w:szCs w:val="21"/>
              </w:rPr>
            </w:pPr>
            <w:r>
              <w:rPr>
                <w:rFonts w:eastAsia="Times New Roman"/>
                <w:b/>
                <w:bCs/>
                <w:color w:val="FFFFFF"/>
                <w:sz w:val="21"/>
                <w:szCs w:val="21"/>
              </w:rPr>
              <w:t>Pays-Bas</w:t>
            </w:r>
          </w:p>
        </w:tc>
      </w:tr>
      <w:tr w:rsidR="00000000" w14:paraId="51194FAF"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1D70013" w14:textId="77777777" w:rsidR="0020702A" w:rsidRDefault="0020702A">
            <w:pPr>
              <w:spacing w:before="200" w:after="360"/>
              <w:rPr>
                <w:rFonts w:eastAsia="Times New Roman"/>
                <w:sz w:val="21"/>
                <w:szCs w:val="21"/>
              </w:rPr>
            </w:pPr>
            <w:r>
              <w:rPr>
                <w:rStyle w:val="Zwaar"/>
                <w:rFonts w:eastAsia="Times New Roman"/>
                <w:sz w:val="21"/>
                <w:szCs w:val="21"/>
              </w:rPr>
              <w:t>Plainte individuelle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02AC4B9" w14:textId="77777777" w:rsidR="0020702A" w:rsidRDefault="0020702A">
            <w:pPr>
              <w:spacing w:before="200" w:after="360"/>
              <w:rPr>
                <w:rFonts w:eastAsia="Times New Roman"/>
                <w:sz w:val="21"/>
                <w:szCs w:val="21"/>
              </w:rPr>
            </w:pPr>
            <w:r>
              <w:rPr>
                <w:rFonts w:eastAsia="Times New Roman"/>
                <w:sz w:val="21"/>
                <w:szCs w:val="21"/>
              </w:rPr>
              <w:t>Par l'intermédiaire de la Commission des pétitions · examen de la recevabilité · renvoi au ministre · explication écrite dans un délai de 6 semaines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3C9D5BB" w14:textId="77777777" w:rsidR="0020702A" w:rsidRDefault="0020702A">
            <w:pPr>
              <w:spacing w:before="200" w:after="360"/>
              <w:rPr>
                <w:rFonts w:eastAsia="Times New Roman"/>
                <w:sz w:val="21"/>
                <w:szCs w:val="21"/>
              </w:rPr>
            </w:pPr>
            <w:r>
              <w:rPr>
                <w:rFonts w:eastAsia="Times New Roman"/>
                <w:sz w:val="21"/>
                <w:szCs w:val="21"/>
              </w:rPr>
              <w:t>Non examinée · la voie judiciaire doit être ouverte ou épuisée · une lettre adressée à un député aboutit rarement à une action</w:t>
            </w:r>
          </w:p>
        </w:tc>
      </w:tr>
      <w:tr w:rsidR="00000000" w14:paraId="31C944C7"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312C3DD" w14:textId="77777777" w:rsidR="0020702A" w:rsidRDefault="0020702A">
            <w:pPr>
              <w:spacing w:before="200" w:after="360"/>
              <w:rPr>
                <w:rFonts w:eastAsia="Times New Roman"/>
                <w:sz w:val="21"/>
                <w:szCs w:val="21"/>
              </w:rPr>
            </w:pPr>
            <w:r>
              <w:rPr>
                <w:rStyle w:val="Zwaar"/>
                <w:rFonts w:eastAsia="Times New Roman"/>
                <w:sz w:val="21"/>
                <w:szCs w:val="21"/>
              </w:rPr>
              <w:t>Instrument parlementaire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1F0E694" w14:textId="77777777" w:rsidR="0020702A" w:rsidRDefault="0020702A">
            <w:pPr>
              <w:spacing w:before="200" w:after="360"/>
              <w:rPr>
                <w:rFonts w:eastAsia="Times New Roman"/>
                <w:sz w:val="21"/>
                <w:szCs w:val="21"/>
              </w:rPr>
            </w:pPr>
            <w:r>
              <w:rPr>
                <w:rFonts w:eastAsia="Times New Roman"/>
                <w:sz w:val="21"/>
                <w:szCs w:val="21"/>
              </w:rPr>
              <w:t>Questions écrites et orales · interpellations · motions de recommandation · motion de censure · commission d'enquête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CA87D1" w14:textId="77777777" w:rsidR="0020702A" w:rsidRDefault="0020702A">
            <w:pPr>
              <w:spacing w:before="200" w:after="360"/>
              <w:rPr>
                <w:rFonts w:eastAsia="Times New Roman"/>
                <w:sz w:val="21"/>
                <w:szCs w:val="21"/>
              </w:rPr>
            </w:pPr>
            <w:r>
              <w:rPr>
                <w:rFonts w:eastAsia="Times New Roman"/>
                <w:sz w:val="21"/>
                <w:szCs w:val="21"/>
              </w:rPr>
              <w:t>Questions écrites et orales · interpellations · motions · débat en trente points · enquête parlementaire</w:t>
            </w:r>
          </w:p>
        </w:tc>
      </w:tr>
      <w:tr w:rsidR="00000000" w14:paraId="2CA032B8"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16056B2" w14:textId="77777777" w:rsidR="0020702A" w:rsidRDefault="0020702A">
            <w:pPr>
              <w:spacing w:before="200" w:after="360"/>
              <w:rPr>
                <w:rFonts w:eastAsia="Times New Roman"/>
                <w:sz w:val="21"/>
                <w:szCs w:val="21"/>
              </w:rPr>
            </w:pPr>
            <w:r>
              <w:rPr>
                <w:rStyle w:val="Zwaar"/>
                <w:rFonts w:eastAsia="Times New Roman"/>
                <w:sz w:val="21"/>
                <w:szCs w:val="21"/>
              </w:rPr>
              <w:t>Mesure la plus sévère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7EA9A52" w14:textId="77777777" w:rsidR="0020702A" w:rsidRDefault="0020702A">
            <w:pPr>
              <w:spacing w:before="200" w:after="360"/>
              <w:rPr>
                <w:rFonts w:eastAsia="Times New Roman"/>
                <w:sz w:val="21"/>
                <w:szCs w:val="21"/>
              </w:rPr>
            </w:pPr>
            <w:r>
              <w:rPr>
                <w:rFonts w:eastAsia="Times New Roman"/>
                <w:sz w:val="21"/>
                <w:szCs w:val="21"/>
              </w:rPr>
              <w:t>Commission d'enquête parlementaire · droit d'enquête (art. 56 de la Constitution)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2F0359" w14:textId="77777777" w:rsidR="0020702A" w:rsidRDefault="0020702A">
            <w:pPr>
              <w:spacing w:before="200" w:after="360"/>
              <w:rPr>
                <w:rFonts w:eastAsia="Times New Roman"/>
                <w:sz w:val="21"/>
                <w:szCs w:val="21"/>
              </w:rPr>
            </w:pPr>
            <w:r>
              <w:rPr>
                <w:rFonts w:eastAsia="Times New Roman"/>
                <w:sz w:val="21"/>
                <w:szCs w:val="21"/>
              </w:rPr>
              <w:t>Enquête parlementaire · témoins sous serment · base légale (loi de 2008 sur l'enquête parlementaire)</w:t>
            </w:r>
          </w:p>
        </w:tc>
      </w:tr>
      <w:tr w:rsidR="00000000" w14:paraId="15CB71E3"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8C677F7" w14:textId="77777777" w:rsidR="0020702A" w:rsidRDefault="0020702A">
            <w:pPr>
              <w:spacing w:before="200" w:after="360"/>
              <w:rPr>
                <w:rFonts w:eastAsia="Times New Roman"/>
                <w:sz w:val="21"/>
                <w:szCs w:val="21"/>
              </w:rPr>
            </w:pPr>
            <w:r>
              <w:rPr>
                <w:rStyle w:val="Zwaar"/>
                <w:rFonts w:eastAsia="Times New Roman"/>
                <w:sz w:val="21"/>
                <w:szCs w:val="21"/>
              </w:rPr>
              <w:t>Pratique dans ce dossier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F4FE46" w14:textId="77777777" w:rsidR="0020702A" w:rsidRDefault="0020702A">
            <w:pPr>
              <w:spacing w:before="200" w:after="360"/>
              <w:rPr>
                <w:rFonts w:eastAsia="Times New Roman"/>
                <w:sz w:val="21"/>
                <w:szCs w:val="21"/>
              </w:rPr>
            </w:pPr>
            <w:r>
              <w:rPr>
                <w:rFonts w:eastAsia="Times New Roman"/>
                <w:sz w:val="21"/>
                <w:szCs w:val="21"/>
              </w:rPr>
              <w:t>Pétition déclarée recevable, transmise, puis silence. Neuf partis contactés par courrier, cinq n’ont pas répondu, quatre ont renvoyé vers le service d’étude ou se sont déclarés incompétents.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CB781B" w14:textId="77777777" w:rsidR="0020702A" w:rsidRDefault="0020702A">
            <w:pPr>
              <w:spacing w:before="200" w:after="360"/>
              <w:rPr>
                <w:rFonts w:eastAsia="Times New Roman"/>
                <w:sz w:val="21"/>
                <w:szCs w:val="21"/>
              </w:rPr>
            </w:pPr>
            <w:r>
              <w:rPr>
                <w:rFonts w:eastAsia="Times New Roman"/>
                <w:sz w:val="21"/>
                <w:szCs w:val="21"/>
              </w:rPr>
              <w:t>Lettre urgente enregistrée, mise en attente en vue d'un débat en commission, aucune action individuelle. Les partis ont été renvoyés vers le Médiateur ou le service d'études.</w:t>
            </w:r>
          </w:p>
        </w:tc>
      </w:tr>
      <w:tr w:rsidR="00000000" w14:paraId="521F984A" w14:textId="77777777">
        <w:trPr>
          <w:divId w:val="1419013937"/>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8DCCF48" w14:textId="77777777" w:rsidR="0020702A" w:rsidRDefault="0020702A">
            <w:pPr>
              <w:spacing w:before="200" w:after="360"/>
              <w:rPr>
                <w:rFonts w:eastAsia="Times New Roman"/>
                <w:sz w:val="21"/>
                <w:szCs w:val="21"/>
              </w:rPr>
            </w:pPr>
            <w:r>
              <w:rPr>
                <w:rStyle w:val="Zwaar"/>
                <w:rFonts w:eastAsia="Times New Roman"/>
                <w:sz w:val="21"/>
                <w:szCs w:val="21"/>
              </w:rPr>
              <w:t>Délai de traitement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08D161" w14:textId="77777777" w:rsidR="0020702A" w:rsidRDefault="0020702A">
            <w:pPr>
              <w:spacing w:before="200" w:after="360"/>
              <w:rPr>
                <w:rFonts w:eastAsia="Times New Roman"/>
                <w:sz w:val="21"/>
                <w:szCs w:val="21"/>
              </w:rPr>
            </w:pPr>
            <w:r>
              <w:rPr>
                <w:rFonts w:eastAsia="Times New Roman"/>
                <w:sz w:val="21"/>
                <w:szCs w:val="21"/>
              </w:rPr>
              <w:t>Ministre : 6 semaines pour fournir des explications écrites · puis décision de la commission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F553003" w14:textId="77777777" w:rsidR="0020702A" w:rsidRDefault="0020702A">
            <w:pPr>
              <w:spacing w:before="200" w:after="360"/>
              <w:rPr>
                <w:rFonts w:eastAsia="Times New Roman"/>
                <w:sz w:val="21"/>
                <w:szCs w:val="21"/>
              </w:rPr>
            </w:pPr>
            <w:r>
              <w:rPr>
                <w:rFonts w:eastAsia="Times New Roman"/>
                <w:sz w:val="21"/>
                <w:szCs w:val="21"/>
              </w:rPr>
              <w:t>Pas de délai pour le traitement des lettres individuelles · enquête : plusieurs années</w:t>
            </w:r>
          </w:p>
        </w:tc>
      </w:tr>
    </w:tbl>
    <w:p w14:paraId="21222760" w14:textId="77777777" w:rsidR="0020702A" w:rsidRDefault="0020702A">
      <w:pPr>
        <w:pStyle w:val="Kop3"/>
        <w:divId w:val="1419013937"/>
        <w:rPr>
          <w:rFonts w:eastAsia="Times New Roman"/>
          <w:lang w:val="fr-FR"/>
        </w:rPr>
      </w:pPr>
      <w:bookmarkStart w:id="137" w:name="_Toc242103377"/>
      <w:r>
        <w:rPr>
          <w:rFonts w:eastAsia="Times New Roman"/>
          <w:lang w:val="fr-FR"/>
        </w:rPr>
        <w:t>Partie F — Le pouvoir du cadrage</w:t>
      </w:r>
      <w:bookmarkEnd w:id="137"/>
    </w:p>
    <w:p w14:paraId="364D5535" w14:textId="77777777" w:rsidR="0020702A" w:rsidRDefault="0020702A">
      <w:pPr>
        <w:pStyle w:val="Normaalweb"/>
        <w:divId w:val="1419013937"/>
        <w:rPr>
          <w:lang w:val="fr-FR"/>
        </w:rPr>
      </w:pPr>
      <w:r>
        <w:rPr>
          <w:lang w:val="fr-FR"/>
        </w:rPr>
        <w:t>C’est là l’idée centrale. Les mêmes faits peuvent être présentés de deux manières, et ces deux présentations entraînent deux réactions politiques totalement différentes.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FEAD817"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FCAA918" w14:textId="77777777" w:rsidR="0020702A" w:rsidRDefault="0020702A">
            <w:pPr>
              <w:pStyle w:val="Normaalweb"/>
              <w:spacing w:before="120"/>
              <w:jc w:val="center"/>
              <w:rPr>
                <w:sz w:val="21"/>
                <w:szCs w:val="21"/>
              </w:rPr>
            </w:pPr>
            <w:r>
              <w:rPr>
                <w:noProof/>
                <w:sz w:val="21"/>
                <w:szCs w:val="21"/>
              </w:rPr>
              <w:drawing>
                <wp:inline distT="0" distB="0" distL="0" distR="0" wp14:anchorId="64EEDFDE" wp14:editId="061BF590">
                  <wp:extent cx="3810000" cy="1974850"/>
                  <wp:effectExtent l="0" t="0" r="0" b="6350"/>
                  <wp:docPr id="80"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2CC5EB91" w14:textId="77777777" w:rsidR="0020702A" w:rsidRDefault="0020702A">
            <w:pPr>
              <w:pStyle w:val="caption"/>
              <w:spacing w:after="120" w:afterAutospacing="0"/>
            </w:pPr>
            <w:r>
              <w:rPr>
                <w:rStyle w:val="Zwaar"/>
              </w:rPr>
              <w:t>Figure XVII.5 — Deux présentations, deux réactions.</w:t>
            </w:r>
            <w:r>
              <w:t xml:space="preserve"> Les mêmes faits, présentés différemment. En tant que plainte personnelle : les responsables politiques se déclarent incompétents. En tant qu’audit institutionnel : les responsables politiques n’ont d’autre choix que de se positionner face à un problème systémique.</w:t>
            </w:r>
          </w:p>
        </w:tc>
      </w:tr>
    </w:tbl>
    <w:p w14:paraId="2F70CFF6" w14:textId="77777777" w:rsidR="0020702A" w:rsidRDefault="0020702A">
      <w:pPr>
        <w:pStyle w:val="Kop3"/>
        <w:divId w:val="1419013937"/>
        <w:rPr>
          <w:rFonts w:eastAsia="Times New Roman"/>
          <w:lang w:val="fr-FR"/>
        </w:rPr>
      </w:pPr>
      <w:bookmarkStart w:id="138" w:name="_Toc242103378"/>
      <w:r>
        <w:rPr>
          <w:rFonts w:eastAsia="Times New Roman"/>
          <w:lang w:val="fr-FR"/>
        </w:rPr>
        <w:t>Partie G — Ce que fait ce dossier</w:t>
      </w:r>
      <w:bookmarkEnd w:id="138"/>
    </w:p>
    <w:p w14:paraId="15E6CF89" w14:textId="77777777" w:rsidR="0020702A" w:rsidRDefault="0020702A">
      <w:pPr>
        <w:pStyle w:val="Normaalweb"/>
        <w:divId w:val="1419013937"/>
        <w:rPr>
          <w:lang w:val="fr-FR"/>
        </w:rPr>
      </w:pPr>
      <w:r>
        <w:rPr>
          <w:lang w:val="fr-FR"/>
        </w:rPr>
        <w:t>Ce dossier n’est pas une plainte. C’est un audit. Ce n’est pas un choix rhétorique — c’est un choix stratégique.</w:t>
      </w:r>
    </w:p>
    <w:p w14:paraId="52B472F7" w14:textId="77777777" w:rsidR="0020702A" w:rsidRDefault="0020702A">
      <w:pPr>
        <w:pStyle w:val="Normaalweb"/>
        <w:divId w:val="1419013937"/>
        <w:rPr>
          <w:lang w:val="fr-FR"/>
        </w:rPr>
      </w:pPr>
      <w:r>
        <w:rPr>
          <w:lang w:val="fr-FR"/>
        </w:rPr>
        <w:t>Une plainte est traitée comme un problème individuel. Un audit est traité comme un problème systémique. Et seul un problème systémique permet de mobiliser les instruments politiques susceptibles d’aboutir à un véritable changement.</w:t>
      </w:r>
    </w:p>
    <w:p w14:paraId="6FAB5069" w14:textId="77777777" w:rsidR="0020702A" w:rsidRDefault="0020702A">
      <w:pPr>
        <w:pStyle w:val="Normaalweb"/>
        <w:divId w:val="1419013937"/>
        <w:rPr>
          <w:lang w:val="fr-FR"/>
        </w:rPr>
      </w:pPr>
      <w:r>
        <w:rPr>
          <w:lang w:val="fr-FR"/>
        </w:rPr>
        <w:t>Les documents contenus dans ce dossier sont donc structurés comme un audit :</w:t>
      </w:r>
    </w:p>
    <w:p w14:paraId="1A38AE74" w14:textId="77777777" w:rsidR="0020702A" w:rsidRDefault="0020702A">
      <w:pPr>
        <w:numPr>
          <w:ilvl w:val="0"/>
          <w:numId w:val="27"/>
        </w:numPr>
        <w:spacing w:before="100" w:beforeAutospacing="1" w:after="100" w:afterAutospacing="1"/>
        <w:divId w:val="1419013937"/>
        <w:rPr>
          <w:rFonts w:eastAsia="Times New Roman"/>
          <w:lang w:val="fr-FR"/>
        </w:rPr>
      </w:pPr>
      <w:r>
        <w:rPr>
          <w:rStyle w:val="Zwaar"/>
          <w:rFonts w:eastAsia="Times New Roman"/>
          <w:lang w:val="fr-FR"/>
        </w:rPr>
        <w:t>Le document B</w:t>
      </w:r>
      <w:r>
        <w:rPr>
          <w:rFonts w:eastAsia="Times New Roman"/>
          <w:lang w:val="fr-FR"/>
        </w:rPr>
        <w:t xml:space="preserve"> n’est pas une succession de plaintes, mais une </w:t>
      </w:r>
      <w:r>
        <w:rPr>
          <w:rStyle w:val="Nadruk"/>
          <w:rFonts w:eastAsia="Times New Roman"/>
          <w:lang w:val="fr-FR"/>
        </w:rPr>
        <w:t>matrice de données</w:t>
      </w:r>
      <w:r>
        <w:rPr>
          <w:rFonts w:eastAsia="Times New Roman"/>
          <w:lang w:val="fr-FR"/>
        </w:rPr>
        <w:t xml:space="preserve"> : un relevé factuel de dates, de numéros de référence et de correspondance.</w:t>
      </w:r>
    </w:p>
    <w:p w14:paraId="0B89579C" w14:textId="77777777" w:rsidR="0020702A" w:rsidRDefault="0020702A">
      <w:pPr>
        <w:numPr>
          <w:ilvl w:val="0"/>
          <w:numId w:val="27"/>
        </w:numPr>
        <w:spacing w:before="100" w:beforeAutospacing="1" w:after="100" w:afterAutospacing="1"/>
        <w:divId w:val="1419013937"/>
        <w:rPr>
          <w:rFonts w:eastAsia="Times New Roman"/>
          <w:lang w:val="fr-FR"/>
        </w:rPr>
      </w:pPr>
      <w:r>
        <w:rPr>
          <w:rStyle w:val="Zwaar"/>
          <w:rFonts w:eastAsia="Times New Roman"/>
          <w:lang w:val="fr-FR"/>
        </w:rPr>
        <w:t>Le document C</w:t>
      </w:r>
      <w:r>
        <w:rPr>
          <w:rFonts w:eastAsia="Times New Roman"/>
          <w:lang w:val="fr-FR"/>
        </w:rPr>
        <w:t xml:space="preserve"> n’est pas un livre illustré, mais une </w:t>
      </w:r>
      <w:r>
        <w:rPr>
          <w:rStyle w:val="Nadruk"/>
          <w:rFonts w:eastAsia="Times New Roman"/>
          <w:lang w:val="fr-FR"/>
        </w:rPr>
        <w:t>architecture visuelle</w:t>
      </w:r>
      <w:r>
        <w:rPr>
          <w:rFonts w:eastAsia="Times New Roman"/>
          <w:lang w:val="fr-FR"/>
        </w:rPr>
        <w:t xml:space="preserve"> : une analyse structurelle des niveaux institutionnels et des mécanismes à l’origine de l’échec.</w:t>
      </w:r>
    </w:p>
    <w:p w14:paraId="2EF2A961" w14:textId="77777777" w:rsidR="0020702A" w:rsidRDefault="0020702A">
      <w:pPr>
        <w:numPr>
          <w:ilvl w:val="0"/>
          <w:numId w:val="27"/>
        </w:numPr>
        <w:spacing w:before="100" w:beforeAutospacing="1" w:after="100" w:afterAutospacing="1"/>
        <w:divId w:val="1419013937"/>
        <w:rPr>
          <w:rFonts w:eastAsia="Times New Roman"/>
          <w:lang w:val="fr-FR"/>
        </w:rPr>
      </w:pPr>
      <w:r>
        <w:rPr>
          <w:rStyle w:val="Zwaar"/>
          <w:rFonts w:eastAsia="Times New Roman"/>
          <w:lang w:val="fr-FR"/>
        </w:rPr>
        <w:t>Le document D</w:t>
      </w:r>
      <w:r>
        <w:rPr>
          <w:rFonts w:eastAsia="Times New Roman"/>
          <w:lang w:val="fr-FR"/>
        </w:rPr>
        <w:t xml:space="preserve"> n’est pas un résumé, mais une </w:t>
      </w:r>
      <w:r>
        <w:rPr>
          <w:rStyle w:val="Nadruk"/>
          <w:rFonts w:eastAsia="Times New Roman"/>
          <w:lang w:val="fr-FR"/>
        </w:rPr>
        <w:t>synthèse</w:t>
      </w:r>
      <w:r>
        <w:rPr>
          <w:rFonts w:eastAsia="Times New Roman"/>
          <w:lang w:val="fr-FR"/>
        </w:rPr>
        <w:t xml:space="preserve"> : les conclusions et les trois piliers de la réforme.</w:t>
      </w:r>
    </w:p>
    <w:p w14:paraId="2E58C070" w14:textId="77777777" w:rsidR="0020702A" w:rsidRDefault="0020702A">
      <w:pPr>
        <w:pStyle w:val="Normaalweb"/>
        <w:divId w:val="1419013937"/>
        <w:rPr>
          <w:lang w:val="fr-FR"/>
        </w:rPr>
      </w:pPr>
      <w:r>
        <w:rPr>
          <w:lang w:val="fr-FR"/>
        </w:rPr>
        <w:t>La différence n’est pas purement superficielle. Elle détermine si les responsables politiques peuvent écarter le dossier — « nous ne nous occupons pas des dossiers individuels » — ou s’ils doivent se prononcer à ce sujet.</w:t>
      </w:r>
    </w:p>
    <w:p w14:paraId="1DDB4622"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Les faits s</w:t>
      </w:r>
      <w:r>
        <w:rPr>
          <w:rFonts w:cs="Aptos"/>
          <w:lang w:val="fr-FR"/>
        </w:rPr>
        <w:t>’</w:t>
      </w:r>
      <w:r>
        <w:rPr>
          <w:lang w:val="fr-FR"/>
        </w:rPr>
        <w:t>appuient sur le document B. Le fondement constitutionnel est constitu</w:t>
      </w:r>
      <w:r>
        <w:rPr>
          <w:rFonts w:cs="Aptos"/>
          <w:lang w:val="fr-FR"/>
        </w:rPr>
        <w:t>é</w:t>
      </w:r>
      <w:r>
        <w:rPr>
          <w:lang w:val="fr-FR"/>
        </w:rPr>
        <w:t xml:space="preserve"> par les articles 33, 36, 37 et 40 de la Constitution belge, ainsi que par les articles 42 et 68 de la Constitution n</w:t>
      </w:r>
      <w:r>
        <w:rPr>
          <w:rFonts w:cs="Aptos"/>
          <w:lang w:val="fr-FR"/>
        </w:rPr>
        <w:t>é</w:t>
      </w:r>
      <w:r>
        <w:rPr>
          <w:lang w:val="fr-FR"/>
        </w:rPr>
        <w:t>erlandaise. Les proc</w:t>
      </w:r>
      <w:r>
        <w:rPr>
          <w:rFonts w:cs="Aptos"/>
          <w:lang w:val="fr-FR"/>
        </w:rPr>
        <w:t>é</w:t>
      </w:r>
      <w:r>
        <w:rPr>
          <w:lang w:val="fr-FR"/>
        </w:rPr>
        <w:t>dures parlementaires s</w:t>
      </w:r>
      <w:r>
        <w:rPr>
          <w:rFonts w:cs="Aptos"/>
          <w:lang w:val="fr-FR"/>
        </w:rPr>
        <w:t>’</w:t>
      </w:r>
      <w:r>
        <w:rPr>
          <w:lang w:val="fr-FR"/>
        </w:rPr>
        <w:t>appuient sur les r</w:t>
      </w:r>
      <w:r>
        <w:rPr>
          <w:rFonts w:cs="Aptos"/>
          <w:lang w:val="fr-FR"/>
        </w:rPr>
        <w:t>è</w:t>
      </w:r>
      <w:r>
        <w:rPr>
          <w:lang w:val="fr-FR"/>
        </w:rPr>
        <w:t>glements de la Chambre des repr</w:t>
      </w:r>
      <w:r>
        <w:rPr>
          <w:rFonts w:cs="Aptos"/>
          <w:lang w:val="fr-FR"/>
        </w:rPr>
        <w:t>é</w:t>
      </w:r>
      <w:r>
        <w:rPr>
          <w:lang w:val="fr-FR"/>
        </w:rPr>
        <w:t>sentants et de la Deuxi</w:t>
      </w:r>
      <w:r>
        <w:rPr>
          <w:rFonts w:cs="Aptos"/>
          <w:lang w:val="fr-FR"/>
        </w:rPr>
        <w:t>è</w:t>
      </w:r>
      <w:r>
        <w:rPr>
          <w:lang w:val="fr-FR"/>
        </w:rPr>
        <w:t>me Chambre. Les informations relatives à l’affaire des allocations sont tirées des rapports publics du Médiateur national et de la commission d’enquête parlementaire. Ce chapitre ne constitue pas un avis juridique.</w:t>
      </w:r>
    </w:p>
    <w:p w14:paraId="7DFC2189" w14:textId="77777777" w:rsidR="0020702A" w:rsidRDefault="0020702A">
      <w:pPr>
        <w:pStyle w:val="marker"/>
        <w:ind w:left="800" w:right="800"/>
        <w:divId w:val="1419013937"/>
        <w:rPr>
          <w:lang w:val="fr-FR"/>
        </w:rPr>
      </w:pPr>
      <w:r>
        <w:br w:type="page"/>
      </w:r>
    </w:p>
    <w:p w14:paraId="224CCF50" w14:textId="77777777" w:rsidR="0020702A" w:rsidRDefault="0020702A">
      <w:pPr>
        <w:pStyle w:val="Kop2"/>
        <w:divId w:val="1419013937"/>
        <w:rPr>
          <w:rFonts w:eastAsia="Times New Roman"/>
          <w:lang w:val="fr-FR"/>
        </w:rPr>
      </w:pPr>
      <w:bookmarkStart w:id="139" w:name="_Toc242103379"/>
      <w:r>
        <w:rPr>
          <w:rFonts w:eastAsia="Times New Roman"/>
          <w:lang w:val="fr-FR"/>
        </w:rPr>
        <w:t>La noblesse</w:t>
      </w:r>
      <w:bookmarkEnd w:id="139"/>
    </w:p>
    <w:p w14:paraId="77B9E363" w14:textId="77777777" w:rsidR="0020702A" w:rsidRDefault="0020702A">
      <w:pPr>
        <w:pStyle w:val="lead"/>
        <w:divId w:val="1419013937"/>
        <w:rPr>
          <w:lang w:val="fr-FR"/>
        </w:rPr>
      </w:pPr>
      <w:r>
        <w:rPr>
          <w:lang w:val="fr-FR"/>
        </w:rPr>
        <w:t xml:space="preserve">En Belgique et aux Pays-Bas, le roi est le chef symbolique de l’État. Formellement, il ne dispose d’aucun pouvoir autonome : ses actes ne sont valables qu’avec la cosignature d’un ministre responsable. Il reçoit néanmoins chaque année des milliers de pétitions émanant de citoyens. Ces pétitions ne constituent pas des procédures juridiques. Elles constituent un canal informel — et c’est précisément parce qu’elles sont informelles qu’elles peuvent influencer l’agenda politique d’une manière dont les plaintes </w:t>
      </w:r>
      <w:r>
        <w:rPr>
          <w:lang w:val="fr-FR"/>
        </w:rPr>
        <w:t>formelles ne le peuvent pas.</w:t>
      </w:r>
    </w:p>
    <w:p w14:paraId="31554573" w14:textId="77777777" w:rsidR="0020702A" w:rsidRDefault="0020702A">
      <w:pPr>
        <w:pStyle w:val="Kop3"/>
        <w:divId w:val="1419013937"/>
        <w:rPr>
          <w:rFonts w:eastAsia="Times New Roman"/>
          <w:lang w:val="fr-FR"/>
        </w:rPr>
      </w:pPr>
      <w:bookmarkStart w:id="140" w:name="_Toc242103380"/>
      <w:r>
        <w:rPr>
          <w:rFonts w:eastAsia="Times New Roman"/>
          <w:lang w:val="fr-FR"/>
        </w:rPr>
        <w:t>Partie A — Le pouvoir formel : ce que le roi peut et ne peut pas faire</w:t>
      </w:r>
      <w:bookmarkEnd w:id="14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BDE108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F56299D" w14:textId="77777777" w:rsidR="0020702A" w:rsidRDefault="0020702A">
            <w:pPr>
              <w:pStyle w:val="Normaalweb"/>
              <w:spacing w:before="120"/>
              <w:jc w:val="center"/>
              <w:rPr>
                <w:sz w:val="21"/>
                <w:szCs w:val="21"/>
              </w:rPr>
            </w:pPr>
            <w:r>
              <w:rPr>
                <w:noProof/>
                <w:sz w:val="21"/>
                <w:szCs w:val="21"/>
              </w:rPr>
              <w:drawing>
                <wp:inline distT="0" distB="0" distL="0" distR="0" wp14:anchorId="51B4E55A" wp14:editId="321FB97E">
                  <wp:extent cx="3810000" cy="1524000"/>
                  <wp:effectExtent l="0" t="0" r="0" b="0"/>
                  <wp:docPr id="81"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178747E6" w14:textId="77777777" w:rsidR="0020702A" w:rsidRDefault="0020702A">
            <w:pPr>
              <w:pStyle w:val="caption"/>
              <w:spacing w:after="120" w:afterAutospacing="0"/>
            </w:pPr>
            <w:r>
              <w:rPr>
                <w:rStyle w:val="Zwaar"/>
              </w:rPr>
              <w:t>Figure XVIII.1 — La position formelle du roi.</w:t>
            </w:r>
            <w:r>
              <w:t xml:space="preserve"> En Belgique, le roi fait partie du pouvoir législatif (art. 36) et détient le pouvoir exécutif (art. 37), mais aucun acte n’est valable sans la cosignature d’un ministre (art. 106). Aux Pays-Bas, le roi est inviolable (art. 42) et ne dispose pas de compétences constitutionnelles autonomes. Dans les deux pays : le roi règne, mais ne gouverne pas.</w:t>
            </w:r>
          </w:p>
        </w:tc>
      </w:tr>
    </w:tbl>
    <w:p w14:paraId="512DF4CC" w14:textId="77777777" w:rsidR="0020702A" w:rsidRDefault="0020702A">
      <w:pPr>
        <w:pStyle w:val="Kop3"/>
        <w:divId w:val="1419013937"/>
        <w:rPr>
          <w:rFonts w:eastAsia="Times New Roman"/>
          <w:lang w:val="fr-FR"/>
        </w:rPr>
      </w:pPr>
      <w:bookmarkStart w:id="141" w:name="_Toc242103381"/>
      <w:r>
        <w:rPr>
          <w:rFonts w:eastAsia="Times New Roman"/>
          <w:lang w:val="fr-FR"/>
        </w:rPr>
        <w:t>Partie B — Le droit de pétition</w:t>
      </w:r>
      <w:bookmarkEnd w:id="141"/>
    </w:p>
    <w:p w14:paraId="6B150E73" w14:textId="77777777" w:rsidR="0020702A" w:rsidRDefault="0020702A">
      <w:pPr>
        <w:pStyle w:val="Normaalweb"/>
        <w:divId w:val="1419013937"/>
        <w:rPr>
          <w:lang w:val="fr-FR"/>
        </w:rPr>
      </w:pPr>
      <w:r>
        <w:rPr>
          <w:lang w:val="fr-FR"/>
        </w:rPr>
        <w:t>Dans les deux pays, le droit de présenter une pétition est inscrit dans la Constitution.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964DF0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1D8318A" w14:textId="77777777" w:rsidR="0020702A" w:rsidRDefault="0020702A">
            <w:pPr>
              <w:pStyle w:val="Normaalweb"/>
              <w:spacing w:before="120"/>
              <w:jc w:val="center"/>
              <w:rPr>
                <w:sz w:val="21"/>
                <w:szCs w:val="21"/>
              </w:rPr>
            </w:pPr>
            <w:r>
              <w:rPr>
                <w:noProof/>
                <w:sz w:val="21"/>
                <w:szCs w:val="21"/>
              </w:rPr>
              <w:drawing>
                <wp:inline distT="0" distB="0" distL="0" distR="0" wp14:anchorId="6E5284A0" wp14:editId="2095E931">
                  <wp:extent cx="3810000" cy="1333500"/>
                  <wp:effectExtent l="0" t="0" r="0" b="0"/>
                  <wp:docPr id="82"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7DF13400" w14:textId="77777777" w:rsidR="0020702A" w:rsidRDefault="0020702A">
            <w:pPr>
              <w:pStyle w:val="caption"/>
              <w:spacing w:after="120" w:afterAutospacing="0"/>
            </w:pPr>
            <w:r>
              <w:rPr>
                <w:rStyle w:val="Zwaar"/>
              </w:rPr>
              <w:t>Figure XVIII.2 — Le droit de pétition.</w:t>
            </w:r>
            <w:r>
              <w:t xml:space="preserve"> En Belgique, le droit de pétition est inscrit à l’article 28 de la Constitution, et l’article 57 confère à la Chambre des représentants le pouvoir de transmettre les pétitions aux ministres, qui sont tenus d’apporter des explications. Aux Pays-Bas, le droit de pétition est inscrit à l’article 5 de la Constitution, sans procédure parlementaire spécifique. La Chambre des représentants dispose de son propre règlement pour la Commission des pétitions et des initiatives citoyennes.</w:t>
            </w:r>
          </w:p>
        </w:tc>
      </w:tr>
    </w:tbl>
    <w:p w14:paraId="1DCD19A3" w14:textId="77777777" w:rsidR="0020702A" w:rsidRDefault="0020702A">
      <w:pPr>
        <w:pStyle w:val="Kop3"/>
        <w:divId w:val="1419013937"/>
        <w:rPr>
          <w:rFonts w:eastAsia="Times New Roman"/>
          <w:lang w:val="fr-FR"/>
        </w:rPr>
      </w:pPr>
      <w:bookmarkStart w:id="142" w:name="_Toc242103382"/>
      <w:r>
        <w:rPr>
          <w:rFonts w:eastAsia="Times New Roman"/>
          <w:lang w:val="fr-FR"/>
        </w:rPr>
        <w:t>Partie C — La pratique : comment les pétitions sont-elles traitées ?</w:t>
      </w:r>
      <w:bookmarkEnd w:id="14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1421D19"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05D52FC" w14:textId="77777777" w:rsidR="0020702A" w:rsidRDefault="0020702A">
            <w:pPr>
              <w:pStyle w:val="Normaalweb"/>
              <w:spacing w:before="120"/>
              <w:jc w:val="center"/>
              <w:rPr>
                <w:sz w:val="21"/>
                <w:szCs w:val="21"/>
              </w:rPr>
            </w:pPr>
            <w:r>
              <w:rPr>
                <w:noProof/>
                <w:sz w:val="21"/>
                <w:szCs w:val="21"/>
              </w:rPr>
              <w:drawing>
                <wp:inline distT="0" distB="0" distL="0" distR="0" wp14:anchorId="785DFB3A" wp14:editId="54A6DDC0">
                  <wp:extent cx="3810000" cy="1644650"/>
                  <wp:effectExtent l="0" t="0" r="0"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77458667" w14:textId="77777777" w:rsidR="0020702A" w:rsidRDefault="0020702A">
            <w:pPr>
              <w:pStyle w:val="caption"/>
              <w:spacing w:after="120" w:afterAutospacing="0"/>
            </w:pPr>
            <w:r>
              <w:rPr>
                <w:rStyle w:val="Zwaar"/>
              </w:rPr>
              <w:t>Figure XVIII.3 — Le parcours d’une pétition.</w:t>
            </w:r>
            <w:r>
              <w:t xml:space="preserve"> En Belgique, le Service des pétitions du Palais reçoit chaque année environ dix mille demandes. Chaque demande est examinée et fait l’objet soit d’un avis, soit d’un renvoi vers l’instance la plus appropriée. Aux Pays-Bas, le Cabinet du Roi reçoit chaque année entre trois mille et cinq mille lettres. Le Cabinet les analyse et les transmet au ministre compétent. Dans les deux cas : aucune conséquence contraignante.</w:t>
            </w:r>
          </w:p>
        </w:tc>
      </w:tr>
    </w:tbl>
    <w:p w14:paraId="20630F57" w14:textId="77777777" w:rsidR="0020702A" w:rsidRDefault="0020702A">
      <w:pPr>
        <w:pStyle w:val="Kop3"/>
        <w:divId w:val="1419013937"/>
        <w:rPr>
          <w:rFonts w:eastAsia="Times New Roman"/>
          <w:lang w:val="fr-FR"/>
        </w:rPr>
      </w:pPr>
      <w:bookmarkStart w:id="143" w:name="_Toc242103383"/>
      <w:r>
        <w:rPr>
          <w:rFonts w:eastAsia="Times New Roman"/>
          <w:lang w:val="fr-FR"/>
        </w:rPr>
        <w:t>Partie D — Le paradoxe de la voie informelle</w:t>
      </w:r>
      <w:bookmarkEnd w:id="143"/>
    </w:p>
    <w:p w14:paraId="13504C7B" w14:textId="77777777" w:rsidR="0020702A" w:rsidRDefault="0020702A">
      <w:pPr>
        <w:pStyle w:val="Normaalweb"/>
        <w:divId w:val="1419013937"/>
        <w:rPr>
          <w:lang w:val="fr-FR"/>
        </w:rPr>
      </w:pPr>
      <w:r>
        <w:rPr>
          <w:lang w:val="fr-FR"/>
        </w:rPr>
        <w:t>Le roi n’a formellement aucun pouvoir. C’est le ministre qui est responsable. C’est la politique qui décide. Et pourtant : la pétition adressée au roi atteint un niveau qu’une plainte ordinaire n’atteint pas.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B9850DB"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A92D64A" w14:textId="77777777" w:rsidR="0020702A" w:rsidRDefault="0020702A">
            <w:pPr>
              <w:pStyle w:val="Normaalweb"/>
              <w:spacing w:before="120"/>
              <w:jc w:val="center"/>
              <w:rPr>
                <w:sz w:val="21"/>
                <w:szCs w:val="21"/>
              </w:rPr>
            </w:pPr>
            <w:r>
              <w:rPr>
                <w:noProof/>
                <w:sz w:val="21"/>
                <w:szCs w:val="21"/>
              </w:rPr>
              <w:drawing>
                <wp:inline distT="0" distB="0" distL="0" distR="0" wp14:anchorId="54B09FA8" wp14:editId="7F900F46">
                  <wp:extent cx="3810000" cy="1206500"/>
                  <wp:effectExtent l="0" t="0" r="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810000" cy="1206500"/>
                          </a:xfrm>
                          <a:prstGeom prst="rect">
                            <a:avLst/>
                          </a:prstGeom>
                          <a:noFill/>
                          <a:ln>
                            <a:noFill/>
                          </a:ln>
                        </pic:spPr>
                      </pic:pic>
                    </a:graphicData>
                  </a:graphic>
                </wp:inline>
              </w:drawing>
            </w:r>
          </w:p>
          <w:p w14:paraId="3E3392ED" w14:textId="77777777" w:rsidR="0020702A" w:rsidRDefault="0020702A">
            <w:pPr>
              <w:pStyle w:val="caption"/>
              <w:spacing w:after="120" w:afterAutospacing="0"/>
            </w:pPr>
            <w:r>
              <w:rPr>
                <w:rStyle w:val="Zwaar"/>
              </w:rPr>
              <w:t>Figure XVIII.4 — Le paradoxe de la voie informelle.</w:t>
            </w:r>
            <w:r>
              <w:t xml:space="preserve"> Une plainte ordinaire reste au niveau exécutif. Une pétition adressée au roi atteint le niveau politique, car elle est analysée par le Cabinet et doit recevoir une réponse d’un ministre. Le roi n’a pas de pouvoir, mais sa boîte aux lettres, elle, en a.</w:t>
            </w:r>
          </w:p>
        </w:tc>
      </w:tr>
    </w:tbl>
    <w:p w14:paraId="7D62DBB0" w14:textId="77777777" w:rsidR="0020702A" w:rsidRDefault="0020702A">
      <w:pPr>
        <w:pStyle w:val="Kop3"/>
        <w:divId w:val="1419013937"/>
        <w:rPr>
          <w:rFonts w:eastAsia="Times New Roman"/>
          <w:lang w:val="fr-FR"/>
        </w:rPr>
      </w:pPr>
      <w:bookmarkStart w:id="144" w:name="_Toc242103384"/>
      <w:r>
        <w:rPr>
          <w:rFonts w:eastAsia="Times New Roman"/>
          <w:lang w:val="fr-FR"/>
        </w:rPr>
        <w:t>Partie E — La pratique dans ce dossier</w:t>
      </w:r>
      <w:bookmarkEnd w:id="144"/>
    </w:p>
    <w:p w14:paraId="5492F1FC" w14:textId="77777777" w:rsidR="0020702A" w:rsidRDefault="0020702A">
      <w:pPr>
        <w:pStyle w:val="Normaalweb"/>
        <w:divId w:val="1419013937"/>
        <w:rPr>
          <w:lang w:val="fr-FR"/>
        </w:rPr>
      </w:pPr>
      <w:r>
        <w:rPr>
          <w:lang w:val="fr-FR"/>
        </w:rPr>
        <w:t>Dans ce dossier, une pétition a été adressée au chef de l’État dans les deux pays.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E2658E5"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45A44EA" w14:textId="77777777" w:rsidR="0020702A" w:rsidRDefault="0020702A">
            <w:pPr>
              <w:pStyle w:val="Normaalweb"/>
              <w:spacing w:before="120"/>
              <w:jc w:val="center"/>
              <w:rPr>
                <w:sz w:val="21"/>
                <w:szCs w:val="21"/>
              </w:rPr>
            </w:pPr>
            <w:r>
              <w:rPr>
                <w:noProof/>
                <w:sz w:val="21"/>
                <w:szCs w:val="21"/>
              </w:rPr>
              <w:drawing>
                <wp:inline distT="0" distB="0" distL="0" distR="0" wp14:anchorId="238D4F31" wp14:editId="768C4DC2">
                  <wp:extent cx="3810000" cy="1333500"/>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36127BDB" w14:textId="77777777" w:rsidR="0020702A" w:rsidRDefault="0020702A">
            <w:pPr>
              <w:pStyle w:val="caption"/>
              <w:spacing w:after="120" w:afterAutospacing="0"/>
            </w:pPr>
            <w:r>
              <w:rPr>
                <w:rStyle w:val="Zwaar"/>
              </w:rPr>
              <w:t>Figure XVIII.5 — Les deux pétitions.</w:t>
            </w:r>
            <w:r>
              <w:t xml:space="preserve"> </w:t>
            </w:r>
            <w:r>
              <w:t>Dans les deux pays, une pétition a été envoyée au chef de l’État. En Belgique, la voie numérique n’a pas fonctionné en raison d’une erreur DNS sur le serveur de messagerie du Palais ; seule la lettre physique est parvenue au Palais. Aux Pays-Bas, la voie numérique a fonctionné. Dans les deux cas : renvoi vers le ministre compétent, sans intervention de fond de la part du roi.</w:t>
            </w:r>
          </w:p>
        </w:tc>
      </w:tr>
    </w:tbl>
    <w:p w14:paraId="202D4F51" w14:textId="77777777" w:rsidR="0020702A" w:rsidRDefault="0020702A">
      <w:pPr>
        <w:pStyle w:val="Kop3"/>
        <w:divId w:val="1419013937"/>
        <w:rPr>
          <w:rFonts w:eastAsia="Times New Roman"/>
          <w:lang w:val="fr-FR"/>
        </w:rPr>
      </w:pPr>
      <w:bookmarkStart w:id="145" w:name="_Toc242103385"/>
      <w:r>
        <w:rPr>
          <w:rFonts w:eastAsia="Times New Roman"/>
          <w:lang w:val="fr-FR"/>
        </w:rPr>
        <w:t>Partie F — Conclusions de ce chapitre</w:t>
      </w:r>
      <w:bookmarkEnd w:id="145"/>
    </w:p>
    <w:p w14:paraId="05488F4D" w14:textId="77777777" w:rsidR="0020702A" w:rsidRDefault="0020702A">
      <w:pPr>
        <w:pStyle w:val="Normaalweb"/>
        <w:divId w:val="1419013937"/>
        <w:rPr>
          <w:lang w:val="fr-FR"/>
        </w:rPr>
      </w:pPr>
      <w:r>
        <w:rPr>
          <w:lang w:val="fr-FR"/>
        </w:rPr>
        <w:t>La noblesse — le roi et son cabinet — ne dispose d’aucun pouvoir exécutif en Belgique et aux Pays-Bas. Le roi règne, mais ne gouverne pas. Il est inviolable, mais ses actes ne sont valables qu’avec la cosignature d’un ministre responsable.</w:t>
      </w:r>
    </w:p>
    <w:p w14:paraId="4BAE2B47" w14:textId="77777777" w:rsidR="0020702A" w:rsidRDefault="0020702A">
      <w:pPr>
        <w:pStyle w:val="Normaalweb"/>
        <w:divId w:val="1419013937"/>
        <w:rPr>
          <w:lang w:val="fr-FR"/>
        </w:rPr>
      </w:pPr>
      <w:r>
        <w:rPr>
          <w:lang w:val="fr-FR"/>
        </w:rPr>
        <w:t>Pourtant, la pétition adressée au roi constitue un canal qui atteint bel et bien la sphère politique. Une plainte ordinaire reste au niveau de l’exécutif. Une pétition adressée au roi est analysée par le Cabinet, reçoit une réponse d’un ministre et — plus important encore — le ministre en assume la responsabilité politique. Le signal atteint ainsi un niveau où l’exécutif ne peut l’ignorer.</w:t>
      </w:r>
    </w:p>
    <w:p w14:paraId="73BF265F" w14:textId="77777777" w:rsidR="0020702A" w:rsidRDefault="0020702A">
      <w:pPr>
        <w:pStyle w:val="Normaalweb"/>
        <w:divId w:val="1419013937"/>
        <w:rPr>
          <w:lang w:val="fr-FR"/>
        </w:rPr>
      </w:pPr>
      <w:r>
        <w:rPr>
          <w:lang w:val="fr-FR"/>
        </w:rPr>
        <w:t>Le paradoxe réside dans le fait que le roi n’a aucun pouvoir, mais que sa boîte aux lettres, elle, en a. Il s’agit d’un canal informel. Ce n’est pas une procédure juridique. Ce n’est pas un droit à une décision. Mais c’est un canal qui fait remonter le signal d’un échelon. Et dans un dossier où le pouvoir exécutif refuse d’écouter, ce n’est pas négligeable.</w:t>
      </w:r>
    </w:p>
    <w:p w14:paraId="072FF3B7"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Le fondement constitutionnel repose sur les articles 28, 33, 36, 37, 57 et 106 de la Constitution belge, ainsi que sur les articles 5, 42 et 68 de la Constitution néerlandaise. La procédure relative aux pétitions repose sur la communication officielle du Palais royal et du Cabinet du Roi. Ce chapitre ne constitue pas un avis juridique.</w:t>
      </w:r>
    </w:p>
    <w:p w14:paraId="1D390797" w14:textId="77777777" w:rsidR="0020702A" w:rsidRDefault="0020702A">
      <w:pPr>
        <w:pStyle w:val="marker"/>
        <w:ind w:left="800" w:right="800"/>
        <w:divId w:val="1419013937"/>
        <w:rPr>
          <w:lang w:val="fr-FR"/>
        </w:rPr>
      </w:pPr>
      <w:r>
        <w:br w:type="page"/>
      </w:r>
    </w:p>
    <w:p w14:paraId="458E1520" w14:textId="77777777" w:rsidR="0020702A" w:rsidRDefault="0020702A">
      <w:pPr>
        <w:pStyle w:val="Kop2"/>
        <w:divId w:val="1419013937"/>
        <w:rPr>
          <w:rFonts w:eastAsia="Times New Roman"/>
          <w:lang w:val="fr-FR"/>
        </w:rPr>
      </w:pPr>
      <w:bookmarkStart w:id="146" w:name="_Toc242103386"/>
      <w:r>
        <w:rPr>
          <w:rFonts w:eastAsia="Times New Roman"/>
          <w:lang w:val="fr-FR"/>
        </w:rPr>
        <w:t>Les alliés et l'organisme de surveillance</w:t>
      </w:r>
      <w:bookmarkEnd w:id="146"/>
    </w:p>
    <w:p w14:paraId="76CD3AEC" w14:textId="77777777" w:rsidR="0020702A" w:rsidRDefault="0020702A">
      <w:pPr>
        <w:pStyle w:val="lead"/>
        <w:divId w:val="1419013937"/>
        <w:rPr>
          <w:lang w:val="fr-FR"/>
        </w:rPr>
      </w:pPr>
      <w:r>
        <w:rPr>
          <w:lang w:val="fr-FR"/>
        </w:rPr>
        <w:t xml:space="preserve">Outre les pouvoirs publics et le secteur privé, il existe des organisations censées venir en aide aux citoyens : syndicats, centres pour l’égalité des chances, organisations de défense des droits de l’homme, universitaires. Ce dossier en présente quatre. L’une apporte une aide concrète, grâce à un service fiscal qui fait toute la différence. Une autre se déclare incompétente en invoquant un critère technique. Quant au monde universitaire, il ne s’ouvre que lorsque le dossier est devenu irréfutable — et là, </w:t>
      </w:r>
      <w:r>
        <w:rPr>
          <w:lang w:val="fr-FR"/>
        </w:rPr>
        <w:t>les choses vont vite.</w:t>
      </w:r>
    </w:p>
    <w:p w14:paraId="3A5A68D2" w14:textId="77777777" w:rsidR="0020702A" w:rsidRDefault="0020702A">
      <w:pPr>
        <w:pStyle w:val="Kop3"/>
        <w:divId w:val="1419013937"/>
        <w:rPr>
          <w:rFonts w:eastAsia="Times New Roman"/>
          <w:lang w:val="fr-FR"/>
        </w:rPr>
      </w:pPr>
      <w:bookmarkStart w:id="147" w:name="_Toc242103387"/>
      <w:r>
        <w:rPr>
          <w:rFonts w:eastAsia="Times New Roman"/>
          <w:lang w:val="fr-FR"/>
        </w:rPr>
        <w:t>Partie A — CSC : le syndicat qui aide et qui s’arrête</w:t>
      </w:r>
      <w:bookmarkEnd w:id="147"/>
    </w:p>
    <w:p w14:paraId="39740825" w14:textId="77777777" w:rsidR="0020702A" w:rsidRDefault="0020702A">
      <w:pPr>
        <w:pStyle w:val="Normaalweb"/>
        <w:divId w:val="1419013937"/>
        <w:rPr>
          <w:lang w:val="fr-FR"/>
        </w:rPr>
      </w:pPr>
      <w:r>
        <w:rPr>
          <w:lang w:val="fr-FR"/>
        </w:rPr>
        <w:t>L’Union générale des travailleurs chrétiens est le plus grand syndicat belge. Outre la représentation syndicale, il offre une assistance juridique, des services fiscaux et des services de versement des allocations de chômage. Dans ce dossier, le syndicat joue trois rôles.</w:t>
      </w:r>
    </w:p>
    <w:p w14:paraId="336954B3" w14:textId="77777777" w:rsidR="0020702A" w:rsidRDefault="0020702A">
      <w:pPr>
        <w:pStyle w:val="Kop4"/>
        <w:divId w:val="1419013937"/>
        <w:rPr>
          <w:rFonts w:eastAsia="Times New Roman"/>
          <w:lang w:val="fr-FR"/>
        </w:rPr>
      </w:pPr>
      <w:r>
        <w:rPr>
          <w:rFonts w:eastAsia="Times New Roman"/>
          <w:lang w:val="fr-FR"/>
        </w:rPr>
        <w:t>Ce qui fonctionne : le service fiscal</w:t>
      </w:r>
    </w:p>
    <w:p w14:paraId="6AE32806" w14:textId="77777777" w:rsidR="0020702A" w:rsidRDefault="0020702A">
      <w:pPr>
        <w:pStyle w:val="Normaalweb"/>
        <w:divId w:val="1419013937"/>
        <w:rPr>
          <w:lang w:val="fr-FR"/>
        </w:rPr>
      </w:pPr>
      <w:r>
        <w:rPr>
          <w:lang w:val="fr-FR"/>
        </w:rPr>
        <w:t>C’est par l’intermédiaire du service fiscal du CSC de Flandre orientale que la déclaration d’impôts annuelle belge est établie. Le code d’invalidité est correctement renseigné. Les attestations de garde d’enfants sont ajoutées manuellement. Il en résulte un remboursement de 2 669,97 €, définitivement déposé le 25 septembre 2026. Ce service fonctionne correctement.</w:t>
      </w:r>
    </w:p>
    <w:p w14:paraId="27835595" w14:textId="77777777" w:rsidR="0020702A" w:rsidRDefault="0020702A">
      <w:pPr>
        <w:pStyle w:val="Kop4"/>
        <w:divId w:val="1419013937"/>
        <w:rPr>
          <w:rFonts w:eastAsia="Times New Roman"/>
          <w:lang w:val="fr-FR"/>
        </w:rPr>
      </w:pPr>
      <w:r>
        <w:rPr>
          <w:rFonts w:eastAsia="Times New Roman"/>
          <w:lang w:val="fr-FR"/>
        </w:rPr>
        <w:t>Ce qui ne fonctionne pas : l’assistance juridique auprès de la MC</w:t>
      </w:r>
    </w:p>
    <w:p w14:paraId="74770214" w14:textId="77777777" w:rsidR="0020702A" w:rsidRDefault="0020702A">
      <w:pPr>
        <w:pStyle w:val="Normaalweb"/>
        <w:divId w:val="1419013937"/>
        <w:rPr>
          <w:lang w:val="fr-FR"/>
        </w:rPr>
      </w:pPr>
      <w:r>
        <w:rPr>
          <w:lang w:val="fr-FR"/>
        </w:rPr>
        <w:t>Lorsque la MC refuse l’indemnité de maladie et n’applique pas les règles de cumul, le syndicat est officiellement saisi. Ce n’est pas le patient qui est adhérent, mais sa compagne — elle-même déléguée syndicale dans l’enseignement. De par ses fonctions, elle sollicite l’aide de l’Union chrétienne des enseignants, la branche enseignement de ce même syndicat.</w:t>
      </w:r>
    </w:p>
    <w:p w14:paraId="1497A803" w14:textId="77777777" w:rsidR="0020702A" w:rsidRDefault="0020702A">
      <w:pPr>
        <w:pStyle w:val="Normaalweb"/>
        <w:divId w:val="1419013937"/>
        <w:rPr>
          <w:lang w:val="fr-FR"/>
        </w:rPr>
      </w:pPr>
      <w:r>
        <w:rPr>
          <w:lang w:val="fr-FR"/>
        </w:rPr>
        <w:t>Le service juridique reconnaît sans réserve l’erreur du système. La distinction administrative entre invalidité et handicap est confirmée. Pourtant, le syndicat refuse d’intervenir juridiquement contre la MC, en invoquant un argument formel : le patient lui-même ne dispose pas d’un numéro d’adhérent. L’adhérente cotisante — la partenaire — subit le préjudice financier, mais ne bénéficie d’aucune assistance juridique pour un dossier qui n’est pas à son nom.</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0096F7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915408D" w14:textId="77777777" w:rsidR="0020702A" w:rsidRDefault="0020702A">
            <w:pPr>
              <w:pStyle w:val="Normaalweb"/>
              <w:spacing w:before="120"/>
              <w:jc w:val="center"/>
              <w:rPr>
                <w:sz w:val="21"/>
                <w:szCs w:val="21"/>
              </w:rPr>
            </w:pPr>
            <w:r>
              <w:rPr>
                <w:noProof/>
                <w:sz w:val="21"/>
                <w:szCs w:val="21"/>
              </w:rPr>
              <w:drawing>
                <wp:inline distT="0" distB="0" distL="0" distR="0" wp14:anchorId="1CE231F4" wp14:editId="6C077E7C">
                  <wp:extent cx="3810000" cy="1524000"/>
                  <wp:effectExtent l="0" t="0" r="0"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5F5A234F" w14:textId="77777777" w:rsidR="0020702A" w:rsidRDefault="0020702A">
            <w:pPr>
              <w:pStyle w:val="caption"/>
              <w:spacing w:after="120" w:afterAutospacing="0"/>
            </w:pPr>
            <w:r>
              <w:rPr>
                <w:rStyle w:val="Zwaar"/>
              </w:rPr>
              <w:t>Figure XXI.1 — CSC : deux portes, deux issues.</w:t>
            </w:r>
            <w:r>
              <w:t xml:space="preserve"> Le service fiscal fonctionne. Le service juridique s’arrête à la limite de l’adhésion individuelle : seul le membre qui dispose lui-même d’un dossier bénéficie d’une assistance.</w:t>
            </w:r>
          </w:p>
        </w:tc>
      </w:tr>
    </w:tbl>
    <w:p w14:paraId="25069D19" w14:textId="77777777" w:rsidR="0020702A" w:rsidRDefault="0020702A">
      <w:pPr>
        <w:pStyle w:val="Kop3"/>
        <w:divId w:val="1419013937"/>
        <w:rPr>
          <w:rFonts w:eastAsia="Times New Roman"/>
          <w:lang w:val="fr-FR"/>
        </w:rPr>
      </w:pPr>
      <w:bookmarkStart w:id="148" w:name="_Toc242103388"/>
      <w:r>
        <w:rPr>
          <w:rFonts w:eastAsia="Times New Roman"/>
          <w:lang w:val="fr-FR"/>
        </w:rPr>
        <w:t>Partie B — UNIA : l’organisme de surveillance qui n’a pas le droit de mordre</w:t>
      </w:r>
      <w:bookmarkEnd w:id="148"/>
    </w:p>
    <w:p w14:paraId="09C592A4" w14:textId="77777777" w:rsidR="0020702A" w:rsidRDefault="0020702A">
      <w:pPr>
        <w:pStyle w:val="Normaalweb"/>
        <w:divId w:val="1419013937"/>
        <w:rPr>
          <w:lang w:val="fr-FR"/>
        </w:rPr>
      </w:pPr>
      <w:r>
        <w:rPr>
          <w:lang w:val="fr-FR"/>
        </w:rPr>
        <w:t>UNIA est le Centre interfédéral pour l’égalité des chances. Il s’agit de l’organisme belge indépendant de surveillance de la discrimination. Lorsque les autorités exécutives refusent de reconnaître un citoyen en raison de son lieu de résidence dans un pays voisin, la question se pose de savoir s’il s’agit d’une discrimination.</w:t>
      </w:r>
    </w:p>
    <w:p w14:paraId="7B9746C9" w14:textId="77777777" w:rsidR="0020702A" w:rsidRDefault="0020702A">
      <w:pPr>
        <w:pStyle w:val="Normaalweb"/>
        <w:divId w:val="1419013937"/>
        <w:rPr>
          <w:lang w:val="fr-FR"/>
        </w:rPr>
      </w:pPr>
      <w:r>
        <w:rPr>
          <w:lang w:val="fr-FR"/>
        </w:rPr>
        <w:t>En avril 2026, UNIA est officiellement informé de l’exclusion structurelle des travailleurs frontaliers. Le signalement concerne le refus de reconnaissances médicales au seul motif d’un domicile aux Pays-Bas.</w:t>
      </w:r>
    </w:p>
    <w:p w14:paraId="75838979" w14:textId="77777777" w:rsidR="0020702A" w:rsidRDefault="0020702A">
      <w:pPr>
        <w:pStyle w:val="Normaalweb"/>
        <w:divId w:val="1419013937"/>
        <w:rPr>
          <w:lang w:val="fr-FR"/>
        </w:rPr>
      </w:pPr>
      <w:r>
        <w:rPr>
          <w:lang w:val="fr-FR"/>
        </w:rPr>
        <w:t>L’évaluation de UNIA met en évidence une lacune dans la législation belge contre la discrimination. L’organisme de surveillance se déclare formellement incompétent, pour deux raisons décisives.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3702556"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23DDBEB" w14:textId="77777777" w:rsidR="0020702A" w:rsidRDefault="0020702A">
            <w:pPr>
              <w:pStyle w:val="Normaalweb"/>
              <w:spacing w:before="120"/>
              <w:jc w:val="center"/>
              <w:rPr>
                <w:sz w:val="21"/>
                <w:szCs w:val="21"/>
              </w:rPr>
            </w:pPr>
            <w:r>
              <w:rPr>
                <w:noProof/>
                <w:sz w:val="21"/>
                <w:szCs w:val="21"/>
              </w:rPr>
              <w:drawing>
                <wp:inline distT="0" distB="0" distL="0" distR="0" wp14:anchorId="09BFDBF3" wp14:editId="27470E97">
                  <wp:extent cx="3810000" cy="1460500"/>
                  <wp:effectExtent l="0" t="0" r="0" b="635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2A2AB50B" w14:textId="77777777" w:rsidR="0020702A" w:rsidRDefault="0020702A">
            <w:pPr>
              <w:pStyle w:val="caption"/>
              <w:spacing w:after="120" w:afterAutospacing="0"/>
            </w:pPr>
            <w:r>
              <w:rPr>
                <w:rStyle w:val="Zwaar"/>
              </w:rPr>
              <w:t>Figure XXI.2 — L’incompétence de UNIA.</w:t>
            </w:r>
            <w:r>
              <w:t xml:space="preserve"> UNIA se déclare incompétent pour deux raisons : le lieu de résidence n’est pas un critère protégé par la législation anti-discrimination, et l’exclusion découle de la loi elle-même.</w:t>
            </w:r>
          </w:p>
        </w:tc>
      </w:tr>
    </w:tbl>
    <w:p w14:paraId="405532E0" w14:textId="77777777" w:rsidR="0020702A" w:rsidRDefault="0020702A">
      <w:pPr>
        <w:pStyle w:val="Normaalweb"/>
        <w:divId w:val="1419013937"/>
        <w:rPr>
          <w:lang w:val="fr-FR"/>
        </w:rPr>
      </w:pPr>
      <w:r>
        <w:rPr>
          <w:lang w:val="fr-FR"/>
        </w:rPr>
        <w:t>UNIA classe le dossier. Et confirme ainsi, sans le vouloir, que l’exclusion des travailleurs frontaliers est pleinement légalisée dans le système actuel.</w:t>
      </w:r>
    </w:p>
    <w:p w14:paraId="1F8DA507" w14:textId="77777777" w:rsidR="0020702A" w:rsidRDefault="0020702A">
      <w:pPr>
        <w:pStyle w:val="Kop3"/>
        <w:divId w:val="1419013937"/>
        <w:rPr>
          <w:rFonts w:eastAsia="Times New Roman"/>
          <w:lang w:val="fr-FR"/>
        </w:rPr>
      </w:pPr>
      <w:bookmarkStart w:id="149" w:name="_Toc242103389"/>
      <w:r>
        <w:rPr>
          <w:rFonts w:eastAsia="Times New Roman"/>
          <w:lang w:val="fr-FR"/>
        </w:rPr>
        <w:t>Partie C — Le niveau d’observation académique</w:t>
      </w:r>
      <w:bookmarkEnd w:id="149"/>
    </w:p>
    <w:p w14:paraId="1800B55E" w14:textId="77777777" w:rsidR="0020702A" w:rsidRDefault="0020702A">
      <w:pPr>
        <w:pStyle w:val="Normaalweb"/>
        <w:divId w:val="1419013937"/>
        <w:rPr>
          <w:lang w:val="fr-FR"/>
        </w:rPr>
      </w:pPr>
      <w:r>
        <w:rPr>
          <w:lang w:val="fr-FR"/>
        </w:rPr>
        <w:t>Le monde universitaire est la dernière instance susceptible de venir en aide au citoyen. Les universités et les centres d’expertise étudient les défaillances du système, publient des travaux sur l’exclusion institutionnelle et disposent des outils analytiques nécessaires pour évaluer scientifiquement un dossier. Que se passe-t-il lorsqu’on leur soumet un cas concret ?</w:t>
      </w:r>
    </w:p>
    <w:p w14:paraId="6E3A96FC" w14:textId="77777777" w:rsidR="0020702A" w:rsidRDefault="0020702A">
      <w:pPr>
        <w:pStyle w:val="Kop4"/>
        <w:divId w:val="1419013937"/>
        <w:rPr>
          <w:rFonts w:eastAsia="Times New Roman"/>
          <w:lang w:val="fr-FR"/>
        </w:rPr>
      </w:pPr>
      <w:r>
        <w:rPr>
          <w:rFonts w:eastAsia="Times New Roman"/>
          <w:lang w:val="fr-FR"/>
        </w:rPr>
        <w:t>Des mois de silence</w:t>
      </w:r>
    </w:p>
    <w:p w14:paraId="58BF3875" w14:textId="77777777" w:rsidR="0020702A" w:rsidRDefault="0020702A">
      <w:pPr>
        <w:pStyle w:val="Normaalweb"/>
        <w:divId w:val="1419013937"/>
        <w:rPr>
          <w:lang w:val="fr-FR"/>
        </w:rPr>
      </w:pPr>
      <w:r>
        <w:rPr>
          <w:lang w:val="fr-FR"/>
        </w:rPr>
        <w:t>Entre mai et septembre 2026, plusieurs universitaires et institutions sont contactés par courrier. Le centre d’expertise ITEM de l’université de Maastricht, l’Institut de droit social de la KU Leuven, le Centre Montaigne de l’université d’Utrecht, l’institut de transition DRIFT de l’université Erasmus et l’Amsterdam UMC. Les réponses se font attendre pendant des mois. Aucune réponse de fond n’est reçue concernant un dossier qui incarne précisément les thèmes sur lesquels ces institutions publient.</w:t>
      </w:r>
    </w:p>
    <w:p w14:paraId="3AE5C489" w14:textId="77777777" w:rsidR="0020702A" w:rsidRDefault="0020702A">
      <w:pPr>
        <w:pStyle w:val="Kop4"/>
        <w:divId w:val="1419013937"/>
        <w:rPr>
          <w:rFonts w:eastAsia="Times New Roman"/>
          <w:lang w:val="fr-FR"/>
        </w:rPr>
      </w:pPr>
      <w:r>
        <w:rPr>
          <w:rFonts w:eastAsia="Times New Roman"/>
          <w:lang w:val="fr-FR"/>
        </w:rPr>
        <w:t>Le coup d’envoi</w:t>
      </w:r>
    </w:p>
    <w:p w14:paraId="1BB1820E" w14:textId="77777777" w:rsidR="0020702A" w:rsidRDefault="0020702A">
      <w:pPr>
        <w:pStyle w:val="Normaalweb"/>
        <w:divId w:val="1419013937"/>
        <w:rPr>
          <w:lang w:val="fr-FR"/>
        </w:rPr>
      </w:pPr>
      <w:r>
        <w:rPr>
          <w:lang w:val="fr-FR"/>
        </w:rPr>
        <w:t>Lorsque, à l’automne 2026, le dossier complet dépasse les 250 pages de données empiriques irréfutables, le centre d’expertise ITEM se déclare prêt à l’étudier en profondeur. Le 17 septembre 2026, un professeur accuse réception du dossier et indique qu’il va d’abord en prendre connaissance avant de réagir sur le fond.</w:t>
      </w:r>
    </w:p>
    <w:p w14:paraId="03D7151A" w14:textId="77777777" w:rsidR="0020702A" w:rsidRDefault="0020702A">
      <w:pPr>
        <w:pStyle w:val="Kop4"/>
        <w:divId w:val="1419013937"/>
        <w:rPr>
          <w:rFonts w:eastAsia="Times New Roman"/>
          <w:lang w:val="fr-FR"/>
        </w:rPr>
      </w:pPr>
      <w:r>
        <w:rPr>
          <w:rFonts w:eastAsia="Times New Roman"/>
          <w:lang w:val="fr-FR"/>
        </w:rPr>
        <w:t>Ce qui suit</w:t>
      </w:r>
    </w:p>
    <w:p w14:paraId="6D513AE5" w14:textId="77777777" w:rsidR="0020702A" w:rsidRDefault="0020702A">
      <w:pPr>
        <w:pStyle w:val="Normaalweb"/>
        <w:divId w:val="1419013937"/>
        <w:rPr>
          <w:lang w:val="fr-FR"/>
        </w:rPr>
      </w:pPr>
      <w:r>
        <w:rPr>
          <w:lang w:val="fr-FR"/>
        </w:rPr>
        <w:t>Au cours de la semaine suivante, le dossier fait l’objet d’un examen approfondi. Un chercheur indépendant spécialisé dans le travail frontalier — travaillant dans un établissement universitaire et n’étant pas impliqué dans le dossier — se penche sur les documents et fournit, en l’espace de quelques jours, une série d’analyses juridiques et de voies alternatives :</w:t>
      </w:r>
    </w:p>
    <w:p w14:paraId="604D42B9" w14:textId="77777777" w:rsidR="0020702A" w:rsidRDefault="0020702A">
      <w:pPr>
        <w:numPr>
          <w:ilvl w:val="0"/>
          <w:numId w:val="28"/>
        </w:numPr>
        <w:spacing w:before="100" w:beforeAutospacing="1" w:after="100" w:afterAutospacing="1"/>
        <w:divId w:val="1419013937"/>
        <w:rPr>
          <w:rFonts w:eastAsia="Times New Roman"/>
          <w:lang w:val="fr-FR"/>
        </w:rPr>
      </w:pPr>
      <w:r>
        <w:rPr>
          <w:rFonts w:eastAsia="Times New Roman"/>
          <w:lang w:val="fr-FR"/>
        </w:rPr>
        <w:t>La voie Wajong et les restrictions prévues à l’annexe X du règlement n° 883/2004 (prestations non exportables).</w:t>
      </w:r>
    </w:p>
    <w:p w14:paraId="0F05A3D4" w14:textId="77777777" w:rsidR="0020702A" w:rsidRDefault="0020702A">
      <w:pPr>
        <w:numPr>
          <w:ilvl w:val="0"/>
          <w:numId w:val="28"/>
        </w:numPr>
        <w:spacing w:before="100" w:beforeAutospacing="1" w:after="100" w:afterAutospacing="1"/>
        <w:divId w:val="1419013937"/>
        <w:rPr>
          <w:rFonts w:eastAsia="Times New Roman"/>
          <w:lang w:val="fr-FR"/>
        </w:rPr>
      </w:pPr>
      <w:r>
        <w:rPr>
          <w:rFonts w:eastAsia="Times New Roman"/>
          <w:lang w:val="fr-FR"/>
        </w:rPr>
        <w:t>L’arrêt Schumacker (C-279/93) et la règle des 90 % comme fondement de l’assimilation fiscale.</w:t>
      </w:r>
    </w:p>
    <w:p w14:paraId="666AAFB7" w14:textId="77777777" w:rsidR="0020702A" w:rsidRDefault="0020702A">
      <w:pPr>
        <w:numPr>
          <w:ilvl w:val="0"/>
          <w:numId w:val="28"/>
        </w:numPr>
        <w:spacing w:before="100" w:beforeAutospacing="1" w:after="100" w:afterAutospacing="1"/>
        <w:divId w:val="1419013937"/>
        <w:rPr>
          <w:rFonts w:eastAsia="Times New Roman"/>
          <w:lang w:val="fr-FR"/>
        </w:rPr>
      </w:pPr>
      <w:r>
        <w:rPr>
          <w:rFonts w:eastAsia="Times New Roman"/>
          <w:lang w:val="fr-FR"/>
        </w:rPr>
        <w:t>L'arrêt Dimitri Hendrix (C-385/17) concernant le maintien des prestations en cas de déménagement.</w:t>
      </w:r>
    </w:p>
    <w:p w14:paraId="25E3E60F" w14:textId="77777777" w:rsidR="0020702A" w:rsidRDefault="0020702A">
      <w:pPr>
        <w:numPr>
          <w:ilvl w:val="0"/>
          <w:numId w:val="28"/>
        </w:numPr>
        <w:spacing w:before="100" w:beforeAutospacing="1" w:after="100" w:afterAutospacing="1"/>
        <w:divId w:val="1419013937"/>
        <w:rPr>
          <w:rFonts w:eastAsia="Times New Roman"/>
          <w:lang w:val="fr-FR"/>
        </w:rPr>
      </w:pPr>
      <w:r>
        <w:rPr>
          <w:rFonts w:eastAsia="Times New Roman"/>
          <w:lang w:val="fr-FR"/>
        </w:rPr>
        <w:t>Le lien entre l’arrêt Vester et la théorie des systèmes de Frédéric Vester.</w:t>
      </w:r>
    </w:p>
    <w:p w14:paraId="32FD9A7A" w14:textId="77777777" w:rsidR="0020702A" w:rsidRDefault="0020702A">
      <w:pPr>
        <w:numPr>
          <w:ilvl w:val="0"/>
          <w:numId w:val="28"/>
        </w:numPr>
        <w:spacing w:before="100" w:beforeAutospacing="1" w:after="100" w:afterAutospacing="1"/>
        <w:divId w:val="1419013937"/>
        <w:rPr>
          <w:rFonts w:eastAsia="Times New Roman"/>
          <w:lang w:val="fr-FR"/>
        </w:rPr>
      </w:pPr>
      <w:r>
        <w:rPr>
          <w:rFonts w:eastAsia="Times New Roman"/>
          <w:lang w:val="fr-FR"/>
        </w:rPr>
        <w:t>Le rôle central de la plainte disciplinaire auprès de l’Ordre des médecins en tant que nœud du système.</w:t>
      </w:r>
    </w:p>
    <w:p w14:paraId="461C09AB" w14:textId="77777777" w:rsidR="0020702A" w:rsidRDefault="0020702A">
      <w:pPr>
        <w:numPr>
          <w:ilvl w:val="0"/>
          <w:numId w:val="28"/>
        </w:numPr>
        <w:spacing w:before="100" w:beforeAutospacing="1" w:after="100" w:afterAutospacing="1"/>
        <w:divId w:val="1419013937"/>
        <w:rPr>
          <w:rFonts w:eastAsia="Times New Roman"/>
          <w:lang w:val="fr-FR"/>
        </w:rPr>
      </w:pPr>
      <w:r>
        <w:rPr>
          <w:rFonts w:eastAsia="Times New Roman"/>
          <w:lang w:val="fr-FR"/>
        </w:rPr>
        <w:t>Le refus de la carte de stationnement européenne par la commune de Hulst.</w:t>
      </w:r>
    </w:p>
    <w:p w14:paraId="3CABCCAC" w14:textId="77777777" w:rsidR="0020702A" w:rsidRDefault="0020702A">
      <w:pPr>
        <w:pStyle w:val="Normaalweb"/>
        <w:divId w:val="1419013937"/>
        <w:rPr>
          <w:lang w:val="fr-FR"/>
        </w:rPr>
      </w:pPr>
      <w:r>
        <w:rPr>
          <w:lang w:val="fr-FR"/>
        </w:rPr>
        <w:t>Par ailleurs, le chercheur obtient une confirmation écrite officielle du SPF Finances (Service des impôts des non-résidents PG15 Ledeberg) indiquant que l’ajout spontané de certificats médicaux à la déclaration fiscale constitue une voie valable pour justifier le statut fiscal de personne en situation de handicap. Quelques jours plus tard, il présente un courrier officiel de la Commission européenne (DG EMPL, 25 septembre 2026), dont il ressort que la Commission examine depuis 2022 et 2023 trois plaintes po</w:t>
      </w:r>
      <w:r>
        <w:rPr>
          <w:lang w:val="fr-FR"/>
        </w:rPr>
        <w:t>ur infraction contre la Belgique et la Flandre sans parvenir à une décision.</w:t>
      </w:r>
    </w:p>
    <w:p w14:paraId="25D7BD60" w14:textId="77777777" w:rsidR="0020702A" w:rsidRDefault="0020702A">
      <w:pPr>
        <w:pStyle w:val="Normaalweb"/>
        <w:divId w:val="1419013937"/>
        <w:rPr>
          <w:lang w:val="fr-FR"/>
        </w:rPr>
      </w:pPr>
      <w:r>
        <w:rPr>
          <w:lang w:val="fr-FR"/>
        </w:rPr>
        <w:t>Ce qui semblait impossible pendant des mois se réalise en quatre jours. Le réseau universitaire, qui restait silencieux auparavant, réalise en une semaine une série de percées juridiques. Le monde universitaire fonctionne de manière rétrospective, et non curative — et une fois qu’il se met en marche, il agit rapidement.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91A240F"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088CC03" w14:textId="77777777" w:rsidR="0020702A" w:rsidRDefault="0020702A">
            <w:pPr>
              <w:pStyle w:val="Normaalweb"/>
              <w:spacing w:before="120"/>
              <w:jc w:val="center"/>
              <w:rPr>
                <w:sz w:val="21"/>
                <w:szCs w:val="21"/>
              </w:rPr>
            </w:pPr>
            <w:r>
              <w:rPr>
                <w:noProof/>
                <w:sz w:val="21"/>
                <w:szCs w:val="21"/>
              </w:rPr>
              <w:drawing>
                <wp:inline distT="0" distB="0" distL="0" distR="0" wp14:anchorId="77F775E7" wp14:editId="280A1EA9">
                  <wp:extent cx="3810000" cy="1524000"/>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7B077B82" w14:textId="77777777" w:rsidR="0020702A" w:rsidRDefault="0020702A">
            <w:pPr>
              <w:pStyle w:val="caption"/>
              <w:spacing w:after="120" w:afterAutospacing="0"/>
            </w:pPr>
            <w:r>
              <w:rPr>
                <w:rStyle w:val="Zwaar"/>
              </w:rPr>
              <w:t>Figure XXI.3 — Du silence à l’ouverture.</w:t>
            </w:r>
            <w:r>
              <w:t xml:space="preserve"> </w:t>
            </w:r>
            <w:r>
              <w:t>Pendant des mois, le monde universitaire ne réagit pas au dossier. Ce n’est que lorsque celui-ci contient 250 pages de preuves irréfutables que le centre d’expertise ITEM se prononce en faveur d’un examen approfondi. Et là, tout va très vite : en quatre jours, de nouvelles voies juridiques, des arrêts et des interconnexions de systèmes sont fournis.</w:t>
            </w:r>
          </w:p>
        </w:tc>
      </w:tr>
    </w:tbl>
    <w:p w14:paraId="2AE63AC7" w14:textId="77777777" w:rsidR="0020702A" w:rsidRDefault="0020702A">
      <w:pPr>
        <w:pStyle w:val="Kop3"/>
        <w:divId w:val="1419013937"/>
        <w:rPr>
          <w:rFonts w:eastAsia="Times New Roman"/>
          <w:lang w:val="fr-FR"/>
        </w:rPr>
      </w:pPr>
      <w:bookmarkStart w:id="150" w:name="_Toc242103390"/>
      <w:r>
        <w:rPr>
          <w:rFonts w:eastAsia="Times New Roman"/>
          <w:lang w:val="fr-FR"/>
        </w:rPr>
        <w:t>Partie D — Ce que ce chapitre établit</w:t>
      </w:r>
      <w:bookmarkEnd w:id="150"/>
    </w:p>
    <w:p w14:paraId="5D69AA46" w14:textId="77777777" w:rsidR="0020702A" w:rsidRDefault="0020702A">
      <w:pPr>
        <w:pStyle w:val="Normaalweb"/>
        <w:divId w:val="1419013937"/>
        <w:rPr>
          <w:lang w:val="fr-FR"/>
        </w:rPr>
      </w:pPr>
      <w:r>
        <w:rPr>
          <w:lang w:val="fr-FR"/>
        </w:rPr>
        <w:t>Les quatre alliés censés venir en aide aux citoyens opèrent tous chacun dans leur propre sphère d’action.</w:t>
      </w:r>
    </w:p>
    <w:p w14:paraId="39B6324C" w14:textId="77777777" w:rsidR="0020702A" w:rsidRDefault="0020702A">
      <w:pPr>
        <w:pStyle w:val="Normaalweb"/>
        <w:divId w:val="1419013937"/>
        <w:rPr>
          <w:lang w:val="fr-FR"/>
        </w:rPr>
      </w:pPr>
      <w:r>
        <w:rPr>
          <w:lang w:val="fr-FR"/>
        </w:rPr>
        <w:t>Le syndicat œuvre pour ses adhérents, mais uniquement pour le dossier qui leur est attribué.</w:t>
      </w:r>
    </w:p>
    <w:p w14:paraId="1DB4528C" w14:textId="77777777" w:rsidR="0020702A" w:rsidRDefault="0020702A">
      <w:pPr>
        <w:pStyle w:val="Normaalweb"/>
        <w:divId w:val="1419013937"/>
        <w:rPr>
          <w:lang w:val="fr-FR"/>
        </w:rPr>
      </w:pPr>
      <w:r>
        <w:rPr>
          <w:lang w:val="fr-FR"/>
        </w:rPr>
        <w:t>UNIA s'occupe de la discrimination, mais uniquement de celle qui ne découle pas de la loi elle-même.</w:t>
      </w:r>
    </w:p>
    <w:p w14:paraId="29CF7C88" w14:textId="77777777" w:rsidR="0020702A" w:rsidRDefault="0020702A">
      <w:pPr>
        <w:pStyle w:val="Normaalweb"/>
        <w:divId w:val="1419013937"/>
        <w:rPr>
          <w:lang w:val="fr-FR"/>
        </w:rPr>
      </w:pPr>
      <w:r>
        <w:rPr>
          <w:lang w:val="fr-FR"/>
        </w:rPr>
        <w:t>Le monde universitaire œuvre pour la théorie, mais ne s’ouvre que lorsque le dossier est devenu complet et irréfutable. Ce qui est resté en suspens pendant des mois devient actif en quelques jours. L’enjeu n’est alors plus le dossier, mais la validation scientifique.</w:t>
      </w:r>
    </w:p>
    <w:p w14:paraId="17E945AD" w14:textId="77777777" w:rsidR="0020702A" w:rsidRDefault="0020702A">
      <w:pPr>
        <w:pStyle w:val="Normaalweb"/>
        <w:divId w:val="1419013937"/>
        <w:rPr>
          <w:lang w:val="fr-FR"/>
        </w:rPr>
      </w:pPr>
      <w:r>
        <w:rPr>
          <w:lang w:val="fr-FR"/>
        </w:rPr>
        <w:t>Et ce qui reste pour le citoyen, c’est que l’exclusion structurelle des travailleurs frontaliers est non seulement légalisée sur le plan juridique, mais aussi normalisée sur le plan social. Celui qui constitue son dossier et persévère finit par être entendu. Mais uniquement celui qui persévère.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C13B171" w14:textId="77777777">
        <w:trPr>
          <w:divId w:val="1419013937"/>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6B22B046" w14:textId="77777777" w:rsidR="0020702A" w:rsidRDefault="0020702A">
            <w:pPr>
              <w:spacing w:before="240" w:after="240"/>
              <w:rPr>
                <w:rFonts w:eastAsia="Times New Roman"/>
                <w:szCs w:val="22"/>
              </w:rPr>
            </w:pPr>
            <w:r>
              <w:rPr>
                <w:rStyle w:val="Zwaar"/>
                <w:rFonts w:eastAsia="Times New Roman"/>
                <w:szCs w:val="22"/>
              </w:rPr>
              <w:t>Pour ceux qui se trouvent dans la même situation :</w:t>
            </w:r>
            <w:r>
              <w:rPr>
                <w:rFonts w:eastAsia="Times New Roman"/>
                <w:szCs w:val="22"/>
              </w:rPr>
              <w:t xml:space="preserve"> </w:t>
            </w:r>
          </w:p>
          <w:p w14:paraId="2CD150A3" w14:textId="77777777" w:rsidR="0020702A" w:rsidRDefault="0020702A">
            <w:pPr>
              <w:numPr>
                <w:ilvl w:val="0"/>
                <w:numId w:val="29"/>
              </w:numPr>
              <w:spacing w:before="100" w:beforeAutospacing="1" w:after="100" w:afterAutospacing="1"/>
              <w:rPr>
                <w:rFonts w:eastAsia="Times New Roman"/>
                <w:szCs w:val="22"/>
              </w:rPr>
            </w:pPr>
            <w:r>
              <w:rPr>
                <w:rStyle w:val="Nadruk"/>
                <w:rFonts w:eastAsia="Times New Roman"/>
                <w:szCs w:val="22"/>
              </w:rPr>
              <w:t>Syndicat :</w:t>
            </w:r>
            <w:r>
              <w:rPr>
                <w:rFonts w:eastAsia="Times New Roman"/>
                <w:szCs w:val="22"/>
              </w:rPr>
              <w:t xml:space="preserve"> vérifiez à quel nom les dossiers d’adhésion sont enregistrés. Si le dossier n’est pas à votre nom, le syndicat peut refuser d’intervenir.</w:t>
            </w:r>
          </w:p>
          <w:p w14:paraId="750F4392" w14:textId="77777777" w:rsidR="0020702A" w:rsidRDefault="0020702A">
            <w:pPr>
              <w:numPr>
                <w:ilvl w:val="0"/>
                <w:numId w:val="29"/>
              </w:numPr>
              <w:spacing w:before="100" w:beforeAutospacing="1" w:after="100" w:afterAutospacing="1"/>
              <w:rPr>
                <w:rFonts w:eastAsia="Times New Roman"/>
                <w:szCs w:val="22"/>
              </w:rPr>
            </w:pPr>
            <w:r>
              <w:rPr>
                <w:rStyle w:val="Nadruk"/>
                <w:rFonts w:eastAsia="Times New Roman"/>
                <w:szCs w:val="22"/>
              </w:rPr>
              <w:t>UNIA :</w:t>
            </w:r>
            <w:r>
              <w:rPr>
                <w:rFonts w:eastAsia="Times New Roman"/>
                <w:szCs w:val="22"/>
              </w:rPr>
              <w:t xml:space="preserve"> si l’exclusion découle d’une loi, UNIA ne peut pas intervenir. La seule voie possible est de saisir la Cour constitutionnelle par le biais d’une action en justice. C’est un processus long et coûteux.</w:t>
            </w:r>
          </w:p>
          <w:p w14:paraId="65A02761" w14:textId="77777777" w:rsidR="0020702A" w:rsidRDefault="0020702A">
            <w:pPr>
              <w:numPr>
                <w:ilvl w:val="0"/>
                <w:numId w:val="29"/>
              </w:numPr>
              <w:spacing w:before="100" w:beforeAutospacing="1" w:after="100" w:afterAutospacing="1"/>
              <w:rPr>
                <w:rFonts w:eastAsia="Times New Roman"/>
                <w:szCs w:val="22"/>
              </w:rPr>
            </w:pPr>
            <w:r>
              <w:rPr>
                <w:rStyle w:val="Nadruk"/>
                <w:rFonts w:eastAsia="Times New Roman"/>
                <w:szCs w:val="22"/>
              </w:rPr>
              <w:t>Académie :</w:t>
            </w:r>
            <w:r>
              <w:rPr>
                <w:rFonts w:eastAsia="Times New Roman"/>
                <w:szCs w:val="22"/>
              </w:rPr>
              <w:t xml:space="preserve"> continuez à soumettre le dossier aux centres d’expertise. Souvent, ce n’est que lorsqu’un dossier est complet et irréfutable qu’un institut se montre réceptif. Il s’agit de persévérer et de tout documenter.</w:t>
            </w:r>
          </w:p>
        </w:tc>
      </w:tr>
    </w:tbl>
    <w:p w14:paraId="2A8B29E6"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Les faits sont basés sur le document B. Le rôle et le mandat de UNIA reposent sur la législation belge en matière de lutte contre la discrimination (loi du 10 mai 2007). Les arrêts cités sont les suivants : C-279/93 (Schumacker), C-134/18 (Vester) et C-385/17 (Hendrix). Ce chapitre ne constitue pas un avis juridique.</w:t>
      </w:r>
    </w:p>
    <w:p w14:paraId="7D2A1116" w14:textId="77777777" w:rsidR="0020702A" w:rsidRDefault="0020702A">
      <w:pPr>
        <w:pStyle w:val="marker"/>
        <w:ind w:left="800" w:right="800"/>
        <w:divId w:val="1419013937"/>
        <w:rPr>
          <w:lang w:val="fr-FR"/>
        </w:rPr>
      </w:pPr>
      <w:r>
        <w:br w:type="page"/>
      </w:r>
    </w:p>
    <w:p w14:paraId="38BE81B3" w14:textId="77777777" w:rsidR="0020702A" w:rsidRDefault="0020702A">
      <w:pPr>
        <w:pStyle w:val="Kop1"/>
        <w:divId w:val="1419013937"/>
        <w:rPr>
          <w:rFonts w:eastAsia="Times New Roman"/>
          <w:lang w:val="fr-FR"/>
        </w:rPr>
      </w:pPr>
      <w:bookmarkStart w:id="151" w:name="_Toc242103391"/>
      <w:r>
        <w:rPr>
          <w:rFonts w:eastAsia="Times New Roman"/>
          <w:lang w:val="fr-FR"/>
        </w:rPr>
        <w:t>VII. Conclusion</w:t>
      </w:r>
      <w:bookmarkEnd w:id="151"/>
    </w:p>
    <w:p w14:paraId="7F826F30" w14:textId="77777777" w:rsidR="0020702A" w:rsidRDefault="0020702A">
      <w:pPr>
        <w:pStyle w:val="Kop2"/>
        <w:divId w:val="1419013937"/>
        <w:rPr>
          <w:rFonts w:eastAsia="Times New Roman"/>
          <w:lang w:val="fr-FR"/>
        </w:rPr>
      </w:pPr>
      <w:bookmarkStart w:id="152" w:name="_Toc242103392"/>
      <w:r>
        <w:rPr>
          <w:rFonts w:eastAsia="Times New Roman"/>
          <w:lang w:val="fr-FR"/>
        </w:rPr>
        <w:t>Conclusion — la pyramide complète</w:t>
      </w:r>
      <w:bookmarkEnd w:id="152"/>
    </w:p>
    <w:p w14:paraId="49F0895C" w14:textId="77777777" w:rsidR="0020702A" w:rsidRDefault="0020702A">
      <w:pPr>
        <w:pStyle w:val="lead"/>
        <w:divId w:val="1419013937"/>
        <w:rPr>
          <w:lang w:val="fr-FR"/>
        </w:rPr>
      </w:pPr>
      <w:r>
        <w:rPr>
          <w:lang w:val="fr-FR"/>
        </w:rPr>
        <w:t>Cinq niveaux. Vingt-trois chapitres. Un corps au centre. Voici le tableau complet de l’Audit du Système, en un coup d’œil.</w:t>
      </w:r>
    </w:p>
    <w:p w14:paraId="2BD27141" w14:textId="77777777" w:rsidR="0020702A" w:rsidRDefault="0020702A">
      <w:pPr>
        <w:pStyle w:val="Kop3"/>
        <w:divId w:val="1419013937"/>
        <w:rPr>
          <w:rFonts w:eastAsia="Times New Roman"/>
          <w:lang w:val="fr-FR"/>
        </w:rPr>
      </w:pPr>
      <w:bookmarkStart w:id="153" w:name="_Toc242103393"/>
      <w:r>
        <w:rPr>
          <w:rFonts w:eastAsia="Times New Roman"/>
          <w:lang w:val="fr-FR"/>
        </w:rPr>
        <w:t>La pyramide</w:t>
      </w:r>
      <w:bookmarkEnd w:id="15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1BC353E"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34F947E" w14:textId="77777777" w:rsidR="0020702A" w:rsidRDefault="0020702A">
            <w:pPr>
              <w:pStyle w:val="Normaalweb"/>
              <w:spacing w:before="120"/>
              <w:jc w:val="center"/>
              <w:rPr>
                <w:sz w:val="21"/>
                <w:szCs w:val="21"/>
              </w:rPr>
            </w:pPr>
            <w:r>
              <w:rPr>
                <w:noProof/>
                <w:sz w:val="21"/>
                <w:szCs w:val="21"/>
              </w:rPr>
              <w:drawing>
                <wp:inline distT="0" distB="0" distL="0" distR="0" wp14:anchorId="3924C987" wp14:editId="76E771EA">
                  <wp:extent cx="3816350" cy="2444750"/>
                  <wp:effectExtent l="0" t="0" r="0" b="0"/>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816350" cy="2444750"/>
                          </a:xfrm>
                          <a:prstGeom prst="rect">
                            <a:avLst/>
                          </a:prstGeom>
                          <a:noFill/>
                          <a:ln>
                            <a:noFill/>
                          </a:ln>
                        </pic:spPr>
                      </pic:pic>
                    </a:graphicData>
                  </a:graphic>
                </wp:inline>
              </w:drawing>
            </w:r>
          </w:p>
          <w:p w14:paraId="5F00835B" w14:textId="77777777" w:rsidR="0020702A" w:rsidRDefault="0020702A">
            <w:pPr>
              <w:pStyle w:val="caption"/>
              <w:spacing w:after="120" w:afterAutospacing="0"/>
            </w:pPr>
            <w:r>
              <w:rPr>
                <w:rStyle w:val="Zwaar"/>
              </w:rPr>
              <w:t>Figure XXIII.1 — La pyramide complète.</w:t>
            </w:r>
            <w:r>
              <w:t xml:space="preserve"> Cinq niveaux. Au sommet, l’Europe et le niveau international, puis la symbolique, puis la politique, puis le contrôle et la justice, et à la base, la mise en œuvre et le marché privé. Tout en bas, le corps, la famille, pour laquelle tout cela est finalement fait.</w:t>
            </w:r>
          </w:p>
        </w:tc>
      </w:tr>
    </w:tbl>
    <w:p w14:paraId="1C5356AE" w14:textId="77777777" w:rsidR="0020702A" w:rsidRDefault="0020702A">
      <w:pPr>
        <w:pStyle w:val="Kop3"/>
        <w:divId w:val="1419013937"/>
        <w:rPr>
          <w:rFonts w:eastAsia="Times New Roman"/>
          <w:lang w:val="fr-FR"/>
        </w:rPr>
      </w:pPr>
      <w:bookmarkStart w:id="154" w:name="_Toc242103394"/>
      <w:r>
        <w:rPr>
          <w:rFonts w:eastAsia="Times New Roman"/>
          <w:lang w:val="fr-FR"/>
        </w:rPr>
        <w:t>Ce que ce dossier a mis en évidence</w:t>
      </w:r>
      <w:bookmarkEnd w:id="154"/>
    </w:p>
    <w:p w14:paraId="44310BCE" w14:textId="77777777" w:rsidR="0020702A" w:rsidRDefault="0020702A">
      <w:pPr>
        <w:pStyle w:val="Normaalweb"/>
        <w:divId w:val="1419013937"/>
        <w:rPr>
          <w:lang w:val="fr-FR"/>
        </w:rPr>
      </w:pPr>
      <w:r>
        <w:rPr>
          <w:lang w:val="fr-FR"/>
        </w:rPr>
        <w:t>Cinq niveaux, chacun avec sa propre logique, chacun avec son propre mandat, chacun avec ses propres limites. Ce que ce dossier a mis en évidence, ce n’est pas qu’un seul niveau échoue, mais que les niveaux échouent ensemble d’une manière que personne ne peut réparer.</w:t>
      </w:r>
    </w:p>
    <w:p w14:paraId="289EB953" w14:textId="77777777" w:rsidR="0020702A" w:rsidRDefault="0020702A">
      <w:pPr>
        <w:numPr>
          <w:ilvl w:val="0"/>
          <w:numId w:val="30"/>
        </w:numPr>
        <w:spacing w:before="100" w:beforeAutospacing="1" w:after="100" w:afterAutospacing="1"/>
        <w:divId w:val="1419013937"/>
        <w:rPr>
          <w:rFonts w:eastAsia="Times New Roman"/>
          <w:lang w:val="fr-FR"/>
        </w:rPr>
      </w:pPr>
      <w:r>
        <w:rPr>
          <w:rStyle w:val="Zwaar"/>
          <w:rFonts w:eastAsia="Times New Roman"/>
          <w:lang w:val="fr-FR"/>
        </w:rPr>
        <w:t>Le service d’exécution</w:t>
      </w:r>
      <w:r>
        <w:rPr>
          <w:rFonts w:eastAsia="Times New Roman"/>
          <w:lang w:val="fr-FR"/>
        </w:rPr>
        <w:t xml:space="preserve"> applique les règles, mais celles-ci ne sont pas conçues pour ceux qui vivent dans deux pays à la fois.</w:t>
      </w:r>
    </w:p>
    <w:p w14:paraId="6C3876AC" w14:textId="77777777" w:rsidR="0020702A" w:rsidRDefault="0020702A">
      <w:pPr>
        <w:numPr>
          <w:ilvl w:val="0"/>
          <w:numId w:val="30"/>
        </w:numPr>
        <w:spacing w:before="100" w:beforeAutospacing="1" w:after="100" w:afterAutospacing="1"/>
        <w:divId w:val="1419013937"/>
        <w:rPr>
          <w:rFonts w:eastAsia="Times New Roman"/>
          <w:lang w:val="fr-FR"/>
        </w:rPr>
      </w:pPr>
      <w:r>
        <w:rPr>
          <w:rStyle w:val="Zwaar"/>
          <w:rFonts w:eastAsia="Times New Roman"/>
          <w:lang w:val="fr-FR"/>
        </w:rPr>
        <w:t>L’autorité de contrôle</w:t>
      </w:r>
      <w:r>
        <w:rPr>
          <w:rFonts w:eastAsia="Times New Roman"/>
          <w:lang w:val="fr-FR"/>
        </w:rPr>
        <w:t xml:space="preserve"> </w:t>
      </w:r>
      <w:r>
        <w:rPr>
          <w:rFonts w:eastAsia="Times New Roman"/>
          <w:lang w:val="fr-FR"/>
        </w:rPr>
        <w:t>constate l’erreur, mais se déclare incompétente ou attend l’intervention d’une autre instance.</w:t>
      </w:r>
    </w:p>
    <w:p w14:paraId="4D2D964D" w14:textId="77777777" w:rsidR="0020702A" w:rsidRDefault="0020702A">
      <w:pPr>
        <w:numPr>
          <w:ilvl w:val="0"/>
          <w:numId w:val="30"/>
        </w:numPr>
        <w:spacing w:before="100" w:beforeAutospacing="1" w:after="100" w:afterAutospacing="1"/>
        <w:divId w:val="1419013937"/>
        <w:rPr>
          <w:rFonts w:eastAsia="Times New Roman"/>
          <w:lang w:val="fr-FR"/>
        </w:rPr>
      </w:pPr>
      <w:r>
        <w:rPr>
          <w:rStyle w:val="Zwaar"/>
          <w:rFonts w:eastAsia="Times New Roman"/>
          <w:lang w:val="fr-FR"/>
        </w:rPr>
        <w:t>Le pouvoir judiciaire</w:t>
      </w:r>
      <w:r>
        <w:rPr>
          <w:rFonts w:eastAsia="Times New Roman"/>
          <w:lang w:val="fr-FR"/>
        </w:rPr>
        <w:t xml:space="preserve"> peut contraindre, mais l’accès est limité par les coûts et l’année de référence.</w:t>
      </w:r>
    </w:p>
    <w:p w14:paraId="68EBDE83" w14:textId="77777777" w:rsidR="0020702A" w:rsidRDefault="0020702A">
      <w:pPr>
        <w:numPr>
          <w:ilvl w:val="0"/>
          <w:numId w:val="30"/>
        </w:numPr>
        <w:spacing w:before="100" w:beforeAutospacing="1" w:after="100" w:afterAutospacing="1"/>
        <w:divId w:val="1419013937"/>
        <w:rPr>
          <w:rFonts w:eastAsia="Times New Roman"/>
          <w:lang w:val="fr-FR"/>
        </w:rPr>
      </w:pPr>
      <w:r>
        <w:rPr>
          <w:rStyle w:val="Zwaar"/>
          <w:rFonts w:eastAsia="Times New Roman"/>
          <w:lang w:val="fr-FR"/>
        </w:rPr>
        <w:t>La classe politique</w:t>
      </w:r>
      <w:r>
        <w:rPr>
          <w:rFonts w:eastAsia="Times New Roman"/>
          <w:lang w:val="fr-FR"/>
        </w:rPr>
        <w:t xml:space="preserve"> peut modifier la loi, mais ne réagit qu’aux défaillances du système — et non aux plaintes individuelles.</w:t>
      </w:r>
    </w:p>
    <w:p w14:paraId="3BC43FED" w14:textId="77777777" w:rsidR="0020702A" w:rsidRDefault="0020702A">
      <w:pPr>
        <w:numPr>
          <w:ilvl w:val="0"/>
          <w:numId w:val="30"/>
        </w:numPr>
        <w:spacing w:before="100" w:beforeAutospacing="1" w:after="100" w:afterAutospacing="1"/>
        <w:divId w:val="1419013937"/>
        <w:rPr>
          <w:rFonts w:eastAsia="Times New Roman"/>
          <w:lang w:val="fr-FR"/>
        </w:rPr>
      </w:pPr>
      <w:r>
        <w:rPr>
          <w:rStyle w:val="Zwaar"/>
          <w:rFonts w:eastAsia="Times New Roman"/>
          <w:lang w:val="fr-FR"/>
        </w:rPr>
        <w:t>Le symbolisme</w:t>
      </w:r>
      <w:r>
        <w:rPr>
          <w:rFonts w:eastAsia="Times New Roman"/>
          <w:lang w:val="fr-FR"/>
        </w:rPr>
        <w:t xml:space="preserve"> n’a pas de pouvoir, mais constitue un canal informel capable d’atteindre la sphère politique.</w:t>
      </w:r>
    </w:p>
    <w:p w14:paraId="72D535FF" w14:textId="77777777" w:rsidR="0020702A" w:rsidRDefault="0020702A">
      <w:pPr>
        <w:numPr>
          <w:ilvl w:val="0"/>
          <w:numId w:val="30"/>
        </w:numPr>
        <w:spacing w:before="100" w:beforeAutospacing="1" w:after="100" w:afterAutospacing="1"/>
        <w:divId w:val="1419013937"/>
        <w:rPr>
          <w:rFonts w:eastAsia="Times New Roman"/>
          <w:lang w:val="fr-FR"/>
        </w:rPr>
      </w:pPr>
      <w:r>
        <w:rPr>
          <w:rStyle w:val="Zwaar"/>
          <w:rFonts w:eastAsia="Times New Roman"/>
          <w:lang w:val="fr-FR"/>
        </w:rPr>
        <w:t>L’Europe</w:t>
      </w:r>
      <w:r>
        <w:rPr>
          <w:rFonts w:eastAsia="Times New Roman"/>
          <w:lang w:val="fr-FR"/>
        </w:rPr>
        <w:t xml:space="preserve"> coordonne, mais n’harmonise pas. Chaque pays conserve son propre système.</w:t>
      </w:r>
    </w:p>
    <w:p w14:paraId="78855BBD" w14:textId="77777777" w:rsidR="0020702A" w:rsidRDefault="0020702A">
      <w:pPr>
        <w:pStyle w:val="Normaalweb"/>
        <w:divId w:val="1419013937"/>
        <w:rPr>
          <w:lang w:val="fr-FR"/>
        </w:rPr>
      </w:pPr>
      <w:r>
        <w:rPr>
          <w:lang w:val="fr-FR"/>
        </w:rPr>
        <w:t>Il ne reste que le corps. Un corps qui a été vu, décrit et évalué à tous les niveaux. Et qui n’est nulle part pleinement reconnu comme un tout. L’individu endosse lui-même le rôle de centre de données, de support de dossier, de câble de connexion entre deux systèmes qui ne se comprennent pas. Et lorsqu’il ne peut plus assumer ce rôle, le système s’arrête.</w:t>
      </w:r>
    </w:p>
    <w:p w14:paraId="2F1D5547" w14:textId="77777777" w:rsidR="0020702A" w:rsidRDefault="0020702A">
      <w:pPr>
        <w:pStyle w:val="Kop3"/>
        <w:divId w:val="1419013937"/>
        <w:rPr>
          <w:rFonts w:eastAsia="Times New Roman"/>
          <w:lang w:val="fr-FR"/>
        </w:rPr>
      </w:pPr>
      <w:bookmarkStart w:id="155" w:name="_Toc242103395"/>
      <w:r>
        <w:rPr>
          <w:rFonts w:eastAsia="Times New Roman"/>
          <w:lang w:val="fr-FR"/>
        </w:rPr>
        <w:t>Le pont vers le document D</w:t>
      </w:r>
      <w:bookmarkEnd w:id="155"/>
    </w:p>
    <w:p w14:paraId="135D42C3" w14:textId="77777777" w:rsidR="0020702A" w:rsidRDefault="0020702A">
      <w:pPr>
        <w:pStyle w:val="Normaalweb"/>
        <w:divId w:val="1419013937"/>
        <w:rPr>
          <w:lang w:val="fr-FR"/>
        </w:rPr>
      </w:pPr>
      <w:r>
        <w:rPr>
          <w:lang w:val="fr-FR"/>
        </w:rPr>
        <w:t>Le document C a présenté le plateau de jeu et les mécanismes. Le document D en tire les conclusions. Trois piliers pour la réforme, fondés sur la prise de conscience que l’erreur ne réside pas chez le fonctionnaire individuel, mais dans l’architecture même de la coordination.</w:t>
      </w:r>
    </w:p>
    <w:p w14:paraId="7BD6EEA1" w14:textId="77777777" w:rsidR="0020702A" w:rsidRDefault="0020702A">
      <w:pPr>
        <w:pStyle w:val="Normaalweb"/>
        <w:divId w:val="1419013937"/>
        <w:rPr>
          <w:lang w:val="fr-FR"/>
        </w:rPr>
      </w:pPr>
      <w:r>
        <w:rPr>
          <w:lang w:val="fr-FR"/>
        </w:rPr>
        <w:t>Ce qui est apparu dans le Document C, c’est la structure du vide. Ce qui est développé dans le Document D, c’est la structure de la solution. Non pas parce qu’une seule mesure résout tout, mais parce que l’architecture peut être adaptée sur trois points où elle se bloque actuellement.</w:t>
      </w:r>
    </w:p>
    <w:p w14:paraId="7F8D94BD" w14:textId="77777777" w:rsidR="0020702A" w:rsidRDefault="0020702A">
      <w:pPr>
        <w:pStyle w:val="noot"/>
        <w:spacing w:after="120" w:afterAutospacing="0"/>
        <w:divId w:val="1419013937"/>
        <w:rPr>
          <w:lang w:val="fr-FR"/>
        </w:rPr>
      </w:pPr>
      <w:r>
        <w:rPr>
          <w:lang w:val="fr-FR"/>
        </w:rPr>
        <w:t>Ceci constitue la conclusion du Document C. Toutes les organisations mentionnées dans ce document sont des personnes morales. Les personnes physiques sont désignées par leur fonction ou leur symbole (</w:t>
      </w:r>
      <w:r>
        <w:rPr>
          <w:rFonts w:ascii="Segoe UI Symbol" w:hAnsi="Segoe UI Symbol" w:cs="Segoe UI Symbol"/>
          <w:lang w:val="fr-FR"/>
        </w:rPr>
        <w:t>♂</w:t>
      </w:r>
      <w:r>
        <w:rPr>
          <w:lang w:val="fr-FR"/>
        </w:rPr>
        <w:t xml:space="preserve">, </w:t>
      </w:r>
      <w:r>
        <w:rPr>
          <w:rFonts w:ascii="Segoe UI Symbol" w:hAnsi="Segoe UI Symbol" w:cs="Segoe UI Symbol"/>
          <w:lang w:val="fr-FR"/>
        </w:rPr>
        <w:t>♀</w:t>
      </w:r>
      <w:r>
        <w:rPr>
          <w:lang w:val="fr-FR"/>
        </w:rPr>
        <w:t>). Le document C est le pendant visuel du document B (matrice de donn</w:t>
      </w:r>
      <w:r>
        <w:rPr>
          <w:rFonts w:cs="Aptos"/>
          <w:lang w:val="fr-FR"/>
        </w:rPr>
        <w:t>é</w:t>
      </w:r>
      <w:r>
        <w:rPr>
          <w:lang w:val="fr-FR"/>
        </w:rPr>
        <w:t xml:space="preserve">es) et du document A (audit narratif). Les conclusions et les </w:t>
      </w:r>
      <w:r>
        <w:rPr>
          <w:rFonts w:cs="Aptos"/>
          <w:lang w:val="fr-FR"/>
        </w:rPr>
        <w:t>é</w:t>
      </w:r>
      <w:r>
        <w:rPr>
          <w:lang w:val="fr-FR"/>
        </w:rPr>
        <w:t>l</w:t>
      </w:r>
      <w:r>
        <w:rPr>
          <w:rFonts w:cs="Aptos"/>
          <w:lang w:val="fr-FR"/>
        </w:rPr>
        <w:t>é</w:t>
      </w:r>
      <w:r>
        <w:rPr>
          <w:lang w:val="fr-FR"/>
        </w:rPr>
        <w:t>ments constitutifs figurent dans le document D (synth</w:t>
      </w:r>
      <w:r>
        <w:rPr>
          <w:rFonts w:cs="Aptos"/>
          <w:lang w:val="fr-FR"/>
        </w:rPr>
        <w:t>è</w:t>
      </w:r>
      <w:r>
        <w:rPr>
          <w:lang w:val="fr-FR"/>
        </w:rPr>
        <w:t>se).</w:t>
      </w:r>
    </w:p>
    <w:p w14:paraId="5F01A327" w14:textId="77777777" w:rsidR="0020702A" w:rsidRDefault="0020702A">
      <w:pPr>
        <w:pStyle w:val="marker"/>
        <w:ind w:left="800" w:right="800"/>
        <w:divId w:val="1419013937"/>
        <w:rPr>
          <w:lang w:val="fr-FR"/>
        </w:rPr>
      </w:pPr>
      <w:r>
        <w:br w:type="page"/>
      </w:r>
    </w:p>
    <w:p w14:paraId="342BA9A3" w14:textId="77777777" w:rsidR="0020702A" w:rsidRDefault="0020702A">
      <w:pPr>
        <w:pStyle w:val="Kop2"/>
        <w:divId w:val="1419013937"/>
        <w:rPr>
          <w:rFonts w:eastAsia="Times New Roman"/>
          <w:lang w:val="fr-FR"/>
        </w:rPr>
      </w:pPr>
      <w:bookmarkStart w:id="156" w:name="_Toc242103396"/>
      <w:r>
        <w:rPr>
          <w:rFonts w:eastAsia="Times New Roman"/>
          <w:lang w:val="fr-FR"/>
        </w:rPr>
        <w:t>Le réseau complet</w:t>
      </w:r>
      <w:bookmarkEnd w:id="156"/>
    </w:p>
    <w:p w14:paraId="0A1799A0" w14:textId="77777777" w:rsidR="0020702A" w:rsidRDefault="0020702A">
      <w:pPr>
        <w:pStyle w:val="lead"/>
        <w:divId w:val="1419013937"/>
        <w:rPr>
          <w:lang w:val="fr-FR"/>
        </w:rPr>
      </w:pPr>
      <w:r>
        <w:rPr>
          <w:lang w:val="fr-FR"/>
        </w:rPr>
        <w:t>Tous les chapitres précédents présentaient chacun un mécanisme, une instance ou un schéma. Ce chapitre les montre tous en même temps. Les mêmes nœuds, les mêmes canaux, les mêmes couleurs — mais désormais dans une seule image, sans ordre particulier, tel que la famille le perçoit.</w:t>
      </w:r>
    </w:p>
    <w:p w14:paraId="466D4692" w14:textId="77777777" w:rsidR="0020702A" w:rsidRDefault="0020702A">
      <w:pPr>
        <w:pStyle w:val="Kop3"/>
        <w:divId w:val="1419013937"/>
        <w:rPr>
          <w:rFonts w:eastAsia="Times New Roman"/>
          <w:lang w:val="fr-FR"/>
        </w:rPr>
      </w:pPr>
      <w:bookmarkStart w:id="157" w:name="_Toc242103397"/>
      <w:r>
        <w:rPr>
          <w:rFonts w:eastAsia="Times New Roman"/>
          <w:lang w:val="fr-FR"/>
        </w:rPr>
        <w:t>Ce que voit la famille</w:t>
      </w:r>
      <w:bookmarkEnd w:id="157"/>
    </w:p>
    <w:p w14:paraId="693938C3" w14:textId="77777777" w:rsidR="0020702A" w:rsidRDefault="0020702A">
      <w:pPr>
        <w:pStyle w:val="Normaalweb"/>
        <w:divId w:val="1419013937"/>
        <w:rPr>
          <w:lang w:val="fr-FR"/>
        </w:rPr>
      </w:pPr>
      <w:r>
        <w:rPr>
          <w:lang w:val="fr-FR"/>
        </w:rPr>
        <w:t>Le lecteur qui est arrivé jusqu’ici a appris à connaître chaque élément séparément. Chaque instance avait son propre chapitre. Chaque mécanisme avait son propre schéma. Chaque couleur avait sa propre signification. Mais la famille qui se trouve dans cette situation ne dispose pas de cet ordre. La famille ne voit que l’ensemble. Et cet ensemble est un enchevêtrement.</w:t>
      </w:r>
    </w:p>
    <w:p w14:paraId="534375FE" w14:textId="77777777" w:rsidR="0020702A" w:rsidRDefault="0020702A">
      <w:pPr>
        <w:pStyle w:val="Normaalweb"/>
        <w:divId w:val="1419013937"/>
        <w:rPr>
          <w:lang w:val="fr-FR"/>
        </w:rPr>
      </w:pPr>
      <w:r>
        <w:rPr>
          <w:lang w:val="fr-FR"/>
        </w:rPr>
        <w:t>Voici ce tout.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4E03AFC" w14:textId="77777777">
        <w:trPr>
          <w:divId w:val="1419013937"/>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E12735A" w14:textId="77777777" w:rsidR="0020702A" w:rsidRDefault="0020702A">
            <w:pPr>
              <w:pStyle w:val="Normaalweb"/>
              <w:spacing w:before="120"/>
              <w:jc w:val="center"/>
              <w:rPr>
                <w:sz w:val="21"/>
                <w:szCs w:val="21"/>
              </w:rPr>
            </w:pPr>
            <w:r>
              <w:rPr>
                <w:noProof/>
                <w:sz w:val="21"/>
                <w:szCs w:val="21"/>
              </w:rPr>
              <w:drawing>
                <wp:inline distT="0" distB="0" distL="0" distR="0" wp14:anchorId="5CCDC0A2" wp14:editId="0EE80A7F">
                  <wp:extent cx="3803650" cy="3175000"/>
                  <wp:effectExtent l="0" t="0" r="6350" b="6350"/>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03650" cy="3175000"/>
                          </a:xfrm>
                          <a:prstGeom prst="rect">
                            <a:avLst/>
                          </a:prstGeom>
                          <a:noFill/>
                          <a:ln>
                            <a:noFill/>
                          </a:ln>
                        </pic:spPr>
                      </pic:pic>
                    </a:graphicData>
                  </a:graphic>
                </wp:inline>
              </w:drawing>
            </w:r>
          </w:p>
        </w:tc>
      </w:tr>
    </w:tbl>
    <w:p w14:paraId="29438F9E" w14:textId="77777777" w:rsidR="0020702A" w:rsidRDefault="0020702A">
      <w:pPr>
        <w:pStyle w:val="caption"/>
        <w:spacing w:after="120" w:afterAutospacing="0"/>
        <w:divId w:val="1419013937"/>
        <w:rPr>
          <w:lang w:val="fr-FR"/>
        </w:rPr>
      </w:pPr>
      <w:r>
        <w:rPr>
          <w:rStyle w:val="Zwaar"/>
          <w:lang w:val="fr-FR"/>
        </w:rPr>
        <w:t>Figure XXIV.1 — Le réseau complet.</w:t>
      </w:r>
      <w:r>
        <w:rPr>
          <w:lang w:val="fr-FR"/>
        </w:rPr>
        <w:t xml:space="preserve"> </w:t>
      </w:r>
      <w:r>
        <w:rPr>
          <w:lang w:val="fr-FR"/>
        </w:rPr>
        <w:t>Ce que voit la famille lorsqu’elle tente de s’y retrouver. Deux mondes, chacun avec son propre ensemble d’organisations. Une famille au centre. Et 127 liens, dont la majeure partie est bloquée. Dans les chapitres précédents, chaque élément pouvait être suivi séparément. Voici l’ensemble — sans ordre, sans hiérarchie, sans répit.</w:t>
      </w:r>
    </w:p>
    <w:p w14:paraId="1FE97179" w14:textId="77777777" w:rsidR="0020702A" w:rsidRDefault="0020702A">
      <w:pPr>
        <w:pStyle w:val="Kop3"/>
        <w:divId w:val="1419013937"/>
        <w:rPr>
          <w:rFonts w:eastAsia="Times New Roman"/>
          <w:lang w:val="fr-FR"/>
        </w:rPr>
      </w:pPr>
      <w:bookmarkStart w:id="158" w:name="_Toc242103398"/>
      <w:r>
        <w:rPr>
          <w:rFonts w:eastAsia="Times New Roman"/>
          <w:lang w:val="fr-FR"/>
        </w:rPr>
        <w:t>Ce que montre ce schéma</w:t>
      </w:r>
      <w:bookmarkEnd w:id="158"/>
    </w:p>
    <w:p w14:paraId="59B2F6F6" w14:textId="77777777" w:rsidR="0020702A" w:rsidRDefault="0020702A">
      <w:pPr>
        <w:pStyle w:val="Normaalweb"/>
        <w:divId w:val="1419013937"/>
        <w:rPr>
          <w:lang w:val="fr-FR"/>
        </w:rPr>
      </w:pPr>
      <w:r>
        <w:rPr>
          <w:lang w:val="fr-FR"/>
        </w:rPr>
        <w:t>Tous les chapitres précédents étaient structurés. Chacun avait un titre, un cadre, un sujet bien délimité. En lisant ces chapitres, on a l’impression que le système est compréhensible, que chaque élément a sa propre fonction et que le chaos n’est qu’une apparence.</w:t>
      </w:r>
    </w:p>
    <w:p w14:paraId="41B92A90" w14:textId="77777777" w:rsidR="0020702A" w:rsidRDefault="0020702A">
      <w:pPr>
        <w:pStyle w:val="Normaalweb"/>
        <w:divId w:val="1419013937"/>
        <w:rPr>
          <w:lang w:val="fr-FR"/>
        </w:rPr>
      </w:pPr>
      <w:r>
        <w:rPr>
          <w:lang w:val="fr-FR"/>
        </w:rPr>
        <w:t>Ce schéma démolit cette impression. Ici, il n’y a pas d’ordre. Ici, il n’y a pas de titre par nœud. Ici, il n’y a que l’ensemble : 54 organisations, une famille, 127 liens dont 96 bloqués. Et au milieu, un corps qui doit tenir bon.</w:t>
      </w:r>
    </w:p>
    <w:p w14:paraId="77A29F11" w14:textId="77777777" w:rsidR="0020702A" w:rsidRDefault="0020702A">
      <w:pPr>
        <w:pStyle w:val="Normaalweb"/>
        <w:divId w:val="1419013937"/>
        <w:rPr>
          <w:lang w:val="fr-FR"/>
        </w:rPr>
      </w:pPr>
      <w:r>
        <w:rPr>
          <w:lang w:val="fr-FR"/>
        </w:rPr>
        <w:t>Le lecteur qui a parcouru les 23 chapitres précédents savait où porter son regard. Il pouvait suivre les nœuds, reconnaître les canaux, déchiffrer les couleurs. Mais la famille qui se trouve dans cette situation ne dispose pas de cette structure. Elle ne voit pas que Vitaz relève du secteur des soins et que MC relève du secteur financier. Elle ne voit pas que CZ gère une police d’assurance contractuelle et que CAK gère le registre. Elle voit seulement ceci : il y a des personnes qui doivent traiter mon doss</w:t>
      </w:r>
      <w:r>
        <w:rPr>
          <w:lang w:val="fr-FR"/>
        </w:rPr>
        <w:t>ier, et elles ne le font pas.</w:t>
      </w:r>
    </w:p>
    <w:p w14:paraId="34BD3754" w14:textId="77777777" w:rsidR="0020702A" w:rsidRDefault="0020702A">
      <w:pPr>
        <w:pStyle w:val="Normaalweb"/>
        <w:divId w:val="1419013937"/>
        <w:rPr>
          <w:lang w:val="fr-FR"/>
        </w:rPr>
      </w:pPr>
      <w:r>
        <w:rPr>
          <w:lang w:val="fr-FR"/>
        </w:rPr>
        <w:t>C’est ce que montre ce schéma. Pas l’échec d’une seule instance. Pas l’échec d’un seul mécanisme. Mais l’échec de l’ensemble — un réseau si complexe qu’il est impossible pour une personne lambda de s’y retrouver, et si rigide qu’il est impossible pour une personne lambda d’y apporter le moindre changement.</w:t>
      </w:r>
    </w:p>
    <w:p w14:paraId="5A005793" w14:textId="77777777" w:rsidR="0020702A" w:rsidRDefault="0020702A">
      <w:pPr>
        <w:pStyle w:val="Kop3"/>
        <w:divId w:val="1419013937"/>
        <w:rPr>
          <w:rFonts w:eastAsia="Times New Roman"/>
          <w:lang w:val="fr-FR"/>
        </w:rPr>
      </w:pPr>
      <w:bookmarkStart w:id="159" w:name="_Toc242103399"/>
      <w:r>
        <w:rPr>
          <w:rFonts w:eastAsia="Times New Roman"/>
          <w:lang w:val="fr-FR"/>
        </w:rPr>
        <w:t>Ce qui n’y figure pas</w:t>
      </w:r>
      <w:bookmarkEnd w:id="159"/>
    </w:p>
    <w:p w14:paraId="5A2C75DF" w14:textId="77777777" w:rsidR="0020702A" w:rsidRDefault="0020702A">
      <w:pPr>
        <w:pStyle w:val="Normaalweb"/>
        <w:divId w:val="1419013937"/>
        <w:rPr>
          <w:lang w:val="fr-FR"/>
        </w:rPr>
      </w:pPr>
      <w:r>
        <w:rPr>
          <w:lang w:val="fr-FR"/>
        </w:rPr>
        <w:t>Les 127 liens représentés sur ce schéma sont les plus importants. En réalité, il y en a davantage. Chaque lettre envoyée à une instance, chaque fois qu’un fonctionnaire consulte un système, chaque appel téléphonique passé — ce sont autant de liens qui ne figurent pas sur ce schéma.</w:t>
      </w:r>
    </w:p>
    <w:p w14:paraId="76B2D32F" w14:textId="77777777" w:rsidR="0020702A" w:rsidRDefault="0020702A">
      <w:pPr>
        <w:pStyle w:val="Normaalweb"/>
        <w:divId w:val="1419013937"/>
        <w:rPr>
          <w:lang w:val="fr-FR"/>
        </w:rPr>
      </w:pPr>
      <w:r>
        <w:rPr>
          <w:lang w:val="fr-FR"/>
        </w:rPr>
        <w:t>Et les 96 liens bloqués qui apparaissent ici ne sont que ceux entre la famille et les organismes. En réalité, il existe également des liens bloqués entre les organismes eux-mêmes. Entre MC et UWV. Entre CZ et CAK. Entre le SPF SZ et le SPF Finances. Chaque connexion bloquée entre les organisations constitue un obstacle supplémentaire que la famille doit surmonter.</w:t>
      </w:r>
    </w:p>
    <w:p w14:paraId="455CB6D9" w14:textId="77777777" w:rsidR="0020702A" w:rsidRDefault="0020702A">
      <w:pPr>
        <w:pStyle w:val="Normaalweb"/>
        <w:divId w:val="1419013937"/>
        <w:rPr>
          <w:lang w:val="fr-FR"/>
        </w:rPr>
      </w:pPr>
      <w:r>
        <w:rPr>
          <w:lang w:val="fr-FR"/>
        </w:rPr>
        <w:t>Ce schéma ne montre pas le réseau dans son intégralité. Il s’agit d’une représentation du réseau complet. Si toutes les liaisons étaient représentées, le schéma deviendrait illisible. Et c’est précisément là où réside tout l’intérêt.</w:t>
      </w:r>
    </w:p>
    <w:p w14:paraId="10DF7794" w14:textId="77777777" w:rsidR="0020702A" w:rsidRDefault="0020702A">
      <w:pPr>
        <w:pStyle w:val="noot"/>
        <w:spacing w:after="120" w:afterAutospacing="0"/>
        <w:divId w:val="1419013937"/>
        <w:rPr>
          <w:lang w:val="fr-FR"/>
        </w:rPr>
      </w:pPr>
      <w:r>
        <w:rPr>
          <w:lang w:val="fr-FR"/>
        </w:rPr>
        <w:t>Toutes les organisations mentionnées dans ce chapitre sont des personnes morales. Les personnes physiques sont désignées par leur fonction ou leur symbole. Les organisations sont basées sur le document B. Les liens sont basés sur la correspondance effective figurant dans le document B, résumée le cas échéant. Les chiffres (54 organisations, 127 liens) sont donnés à titre indicatif ; le nombre réel est plus élevé. Ce chapitre ne constitue pas un avis juridique.</w:t>
      </w:r>
    </w:p>
    <w:sectPr w:rsidR="00000000" w:rsidSect="0020702A">
      <w:headerReference w:type="even" r:id="rId97"/>
      <w:headerReference w:type="default" r:id="rId98"/>
      <w:footerReference w:type="even" r:id="rId99"/>
      <w:footerReference w:type="default" r:id="rId100"/>
      <w:headerReference w:type="first" r:id="rId101"/>
      <w:footerReference w:type="first" r:id="rId10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348DB" w14:textId="77777777" w:rsidR="0020702A" w:rsidRDefault="0020702A" w:rsidP="0020702A">
      <w:pPr>
        <w:spacing w:after="0"/>
      </w:pPr>
      <w:r>
        <w:separator/>
      </w:r>
    </w:p>
  </w:endnote>
  <w:endnote w:type="continuationSeparator" w:id="0">
    <w:p w14:paraId="7335BF6E" w14:textId="77777777" w:rsidR="0020702A" w:rsidRDefault="0020702A" w:rsidP="002070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ED668" w14:textId="77777777" w:rsidR="0020702A" w:rsidRDefault="002070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E492" w14:textId="35742F9D" w:rsidR="0020702A" w:rsidRPr="0020702A" w:rsidRDefault="0020702A" w:rsidP="0020702A">
    <w:pPr>
      <w:pStyle w:val="Voettekst"/>
      <w:pBdr>
        <w:top w:val="single" w:sz="4" w:space="0" w:color="C0C0C0"/>
      </w:pBdr>
      <w:jc w:val="center"/>
      <w:rPr>
        <w:color w:val="808080"/>
        <w:sz w:val="18"/>
      </w:rPr>
    </w:pPr>
    <w:r w:rsidRPr="0020702A">
      <w:rPr>
        <w:color w:val="808080"/>
        <w:sz w:val="18"/>
      </w:rPr>
      <w:t xml:space="preserve">Pagina </w:t>
    </w:r>
    <w:r w:rsidRPr="0020702A">
      <w:rPr>
        <w:color w:val="808080"/>
        <w:sz w:val="18"/>
      </w:rPr>
      <w:fldChar w:fldCharType="begin"/>
    </w:r>
    <w:r w:rsidRPr="0020702A">
      <w:rPr>
        <w:color w:val="808080"/>
        <w:sz w:val="18"/>
      </w:rPr>
      <w:instrText xml:space="preserve"> PAGE  \* MERGEFORMAT </w:instrText>
    </w:r>
    <w:r w:rsidRPr="0020702A">
      <w:rPr>
        <w:color w:val="808080"/>
        <w:sz w:val="18"/>
      </w:rPr>
      <w:fldChar w:fldCharType="separate"/>
    </w:r>
    <w:r w:rsidRPr="0020702A">
      <w:rPr>
        <w:noProof/>
        <w:color w:val="808080"/>
        <w:sz w:val="18"/>
      </w:rPr>
      <w:t>1</w:t>
    </w:r>
    <w:r w:rsidRPr="0020702A">
      <w:rPr>
        <w:color w:val="808080"/>
        <w:sz w:val="18"/>
      </w:rPr>
      <w:fldChar w:fldCharType="end"/>
    </w:r>
    <w:r w:rsidRPr="0020702A">
      <w:rPr>
        <w:color w:val="808080"/>
        <w:sz w:val="18"/>
      </w:rPr>
      <w:t xml:space="preserve"> van </w:t>
    </w:r>
    <w:r w:rsidRPr="0020702A">
      <w:rPr>
        <w:color w:val="808080"/>
        <w:sz w:val="18"/>
      </w:rPr>
      <w:fldChar w:fldCharType="begin"/>
    </w:r>
    <w:r w:rsidRPr="0020702A">
      <w:rPr>
        <w:color w:val="808080"/>
        <w:sz w:val="18"/>
      </w:rPr>
      <w:instrText xml:space="preserve"> NUMPAGES  \* MERGEFORMAT </w:instrText>
    </w:r>
    <w:r w:rsidRPr="0020702A">
      <w:rPr>
        <w:color w:val="808080"/>
        <w:sz w:val="18"/>
      </w:rPr>
      <w:fldChar w:fldCharType="separate"/>
    </w:r>
    <w:r w:rsidRPr="0020702A">
      <w:rPr>
        <w:noProof/>
        <w:color w:val="808080"/>
        <w:sz w:val="18"/>
      </w:rPr>
      <w:t>2</w:t>
    </w:r>
    <w:r w:rsidRPr="0020702A">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3A7E" w14:textId="77777777" w:rsidR="0020702A" w:rsidRDefault="002070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92300" w14:textId="77777777" w:rsidR="0020702A" w:rsidRDefault="0020702A" w:rsidP="0020702A">
      <w:pPr>
        <w:spacing w:after="0"/>
      </w:pPr>
      <w:r>
        <w:separator/>
      </w:r>
    </w:p>
  </w:footnote>
  <w:footnote w:type="continuationSeparator" w:id="0">
    <w:p w14:paraId="45D9DE74" w14:textId="77777777" w:rsidR="0020702A" w:rsidRDefault="0020702A" w:rsidP="0020702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CF14" w14:textId="77777777" w:rsidR="0020702A" w:rsidRDefault="002070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A774" w14:textId="392DCBAA" w:rsidR="0020702A" w:rsidRPr="0020702A" w:rsidRDefault="0020702A" w:rsidP="0020702A">
    <w:pPr>
      <w:pStyle w:val="Koptekst"/>
      <w:pBdr>
        <w:bottom w:val="single" w:sz="4" w:space="0" w:color="C0C0C0"/>
      </w:pBdr>
      <w:rPr>
        <w:color w:val="808080"/>
        <w:sz w:val="18"/>
      </w:rPr>
    </w:pPr>
    <w:r w:rsidRPr="0020702A">
      <w:rPr>
        <w:color w:val="808080"/>
        <w:sz w:val="18"/>
      </w:rPr>
      <w:t>Eric Messa - Systeem-Audit</w:t>
    </w:r>
    <w:r w:rsidRPr="0020702A">
      <w:rPr>
        <w:color w:val="808080"/>
        <w:sz w:val="18"/>
      </w:rPr>
      <w:tab/>
      <w:t>Document C — De visuele architectuur</w:t>
    </w:r>
    <w:r w:rsidRPr="0020702A">
      <w:rPr>
        <w:color w:val="808080"/>
        <w:sz w:val="18"/>
      </w:rPr>
      <w:tab/>
      <w:t>Laatst gewijzigd: 5 oktober 2026, 14:11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0042" w14:textId="77777777" w:rsidR="0020702A" w:rsidRDefault="0020702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D3D"/>
    <w:multiLevelType w:val="multilevel"/>
    <w:tmpl w:val="C06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96FF7"/>
    <w:multiLevelType w:val="multilevel"/>
    <w:tmpl w:val="5646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70900"/>
    <w:multiLevelType w:val="multilevel"/>
    <w:tmpl w:val="E5E64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A81D53"/>
    <w:multiLevelType w:val="multilevel"/>
    <w:tmpl w:val="8232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A657A"/>
    <w:multiLevelType w:val="multilevel"/>
    <w:tmpl w:val="9672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438C7"/>
    <w:multiLevelType w:val="multilevel"/>
    <w:tmpl w:val="E310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95E1C"/>
    <w:multiLevelType w:val="multilevel"/>
    <w:tmpl w:val="58B2F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531612"/>
    <w:multiLevelType w:val="multilevel"/>
    <w:tmpl w:val="E3CC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E67BE"/>
    <w:multiLevelType w:val="multilevel"/>
    <w:tmpl w:val="7012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17295"/>
    <w:multiLevelType w:val="multilevel"/>
    <w:tmpl w:val="2B1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80D4A"/>
    <w:multiLevelType w:val="multilevel"/>
    <w:tmpl w:val="F344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942640"/>
    <w:multiLevelType w:val="multilevel"/>
    <w:tmpl w:val="1C38D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6C364C"/>
    <w:multiLevelType w:val="multilevel"/>
    <w:tmpl w:val="6860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576A2"/>
    <w:multiLevelType w:val="multilevel"/>
    <w:tmpl w:val="D326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2781E"/>
    <w:multiLevelType w:val="multilevel"/>
    <w:tmpl w:val="B7AA7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A30B88"/>
    <w:multiLevelType w:val="multilevel"/>
    <w:tmpl w:val="28AC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E42970"/>
    <w:multiLevelType w:val="multilevel"/>
    <w:tmpl w:val="C37E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1E5829"/>
    <w:multiLevelType w:val="multilevel"/>
    <w:tmpl w:val="EE1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74629"/>
    <w:multiLevelType w:val="multilevel"/>
    <w:tmpl w:val="B26EB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300E23"/>
    <w:multiLevelType w:val="multilevel"/>
    <w:tmpl w:val="FB9A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C24433"/>
    <w:multiLevelType w:val="multilevel"/>
    <w:tmpl w:val="19B4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020BAF"/>
    <w:multiLevelType w:val="multilevel"/>
    <w:tmpl w:val="AE96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549F7"/>
    <w:multiLevelType w:val="multilevel"/>
    <w:tmpl w:val="AA96D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1F3179"/>
    <w:multiLevelType w:val="multilevel"/>
    <w:tmpl w:val="4B927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43520B"/>
    <w:multiLevelType w:val="multilevel"/>
    <w:tmpl w:val="8668D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F63312"/>
    <w:multiLevelType w:val="multilevel"/>
    <w:tmpl w:val="FDB22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871ECF"/>
    <w:multiLevelType w:val="multilevel"/>
    <w:tmpl w:val="6242D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E75B75"/>
    <w:multiLevelType w:val="multilevel"/>
    <w:tmpl w:val="9CD0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D2077"/>
    <w:multiLevelType w:val="multilevel"/>
    <w:tmpl w:val="51F8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4B5AE8"/>
    <w:multiLevelType w:val="multilevel"/>
    <w:tmpl w:val="672C7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2000973">
    <w:abstractNumId w:val="21"/>
  </w:num>
  <w:num w:numId="2" w16cid:durableId="542331419">
    <w:abstractNumId w:val="13"/>
  </w:num>
  <w:num w:numId="3" w16cid:durableId="443041999">
    <w:abstractNumId w:val="12"/>
  </w:num>
  <w:num w:numId="4" w16cid:durableId="1151948771">
    <w:abstractNumId w:val="28"/>
  </w:num>
  <w:num w:numId="5" w16cid:durableId="1887909037">
    <w:abstractNumId w:val="20"/>
  </w:num>
  <w:num w:numId="6" w16cid:durableId="1348095756">
    <w:abstractNumId w:val="7"/>
  </w:num>
  <w:num w:numId="7" w16cid:durableId="655376549">
    <w:abstractNumId w:val="1"/>
  </w:num>
  <w:num w:numId="8" w16cid:durableId="184490121">
    <w:abstractNumId w:val="8"/>
  </w:num>
  <w:num w:numId="9" w16cid:durableId="16122263">
    <w:abstractNumId w:val="27"/>
  </w:num>
  <w:num w:numId="10" w16cid:durableId="2059626634">
    <w:abstractNumId w:val="0"/>
  </w:num>
  <w:num w:numId="11" w16cid:durableId="1757432643">
    <w:abstractNumId w:val="5"/>
  </w:num>
  <w:num w:numId="12" w16cid:durableId="1602225527">
    <w:abstractNumId w:val="6"/>
  </w:num>
  <w:num w:numId="13" w16cid:durableId="884874029">
    <w:abstractNumId w:val="18"/>
  </w:num>
  <w:num w:numId="14" w16cid:durableId="1901744431">
    <w:abstractNumId w:val="4"/>
  </w:num>
  <w:num w:numId="15" w16cid:durableId="1796555605">
    <w:abstractNumId w:val="2"/>
  </w:num>
  <w:num w:numId="16" w16cid:durableId="2146269095">
    <w:abstractNumId w:val="3"/>
  </w:num>
  <w:num w:numId="17" w16cid:durableId="393548180">
    <w:abstractNumId w:val="29"/>
  </w:num>
  <w:num w:numId="18" w16cid:durableId="1746755973">
    <w:abstractNumId w:val="15"/>
  </w:num>
  <w:num w:numId="19" w16cid:durableId="68113575">
    <w:abstractNumId w:val="19"/>
  </w:num>
  <w:num w:numId="20" w16cid:durableId="1386366613">
    <w:abstractNumId w:val="26"/>
  </w:num>
  <w:num w:numId="21" w16cid:durableId="1939365793">
    <w:abstractNumId w:val="23"/>
  </w:num>
  <w:num w:numId="22" w16cid:durableId="93208338">
    <w:abstractNumId w:val="10"/>
  </w:num>
  <w:num w:numId="23" w16cid:durableId="415833668">
    <w:abstractNumId w:val="25"/>
  </w:num>
  <w:num w:numId="24" w16cid:durableId="1229614621">
    <w:abstractNumId w:val="14"/>
  </w:num>
  <w:num w:numId="25" w16cid:durableId="613097328">
    <w:abstractNumId w:val="24"/>
  </w:num>
  <w:num w:numId="26" w16cid:durableId="1017275481">
    <w:abstractNumId w:val="11"/>
  </w:num>
  <w:num w:numId="27" w16cid:durableId="79067516">
    <w:abstractNumId w:val="17"/>
  </w:num>
  <w:num w:numId="28" w16cid:durableId="1376854316">
    <w:abstractNumId w:val="9"/>
  </w:num>
  <w:num w:numId="29" w16cid:durableId="45220732">
    <w:abstractNumId w:val="22"/>
  </w:num>
  <w:num w:numId="30" w16cid:durableId="14952254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0702A"/>
    <w:rsid w:val="0020702A"/>
    <w:rsid w:val="00275C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E403D"/>
  <w15:chartTrackingRefBased/>
  <w15:docId w15:val="{B72D4ED8-64E7-4F02-B072-163CAD08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4A3B6B"/>
      </w:pBdr>
      <w:outlineLvl w:val="0"/>
    </w:pPr>
    <w:rPr>
      <w:rFonts w:ascii="Aptos Display" w:hAnsi="Aptos Display"/>
      <w:b/>
      <w:bCs/>
      <w:color w:val="4A3B6B"/>
      <w:kern w:val="36"/>
      <w:sz w:val="56"/>
      <w:szCs w:val="56"/>
    </w:rPr>
  </w:style>
  <w:style w:type="paragraph" w:styleId="Kop2">
    <w:name w:val="heading 2"/>
    <w:basedOn w:val="Standaard"/>
    <w:link w:val="Kop2Char"/>
    <w:uiPriority w:val="9"/>
    <w:qFormat/>
    <w:pPr>
      <w:pBdr>
        <w:bottom w:val="single" w:sz="12" w:space="4" w:color="4A3B6B"/>
      </w:pBdr>
      <w:spacing w:after="100"/>
      <w:outlineLvl w:val="1"/>
    </w:pPr>
    <w:rPr>
      <w:rFonts w:ascii="Aptos Display" w:hAnsi="Aptos Display"/>
      <w:b/>
      <w:bCs/>
      <w:color w:val="4A3B6B"/>
      <w:sz w:val="40"/>
      <w:szCs w:val="40"/>
    </w:rPr>
  </w:style>
  <w:style w:type="paragraph" w:styleId="Kop3">
    <w:name w:val="heading 3"/>
    <w:basedOn w:val="Standaard"/>
    <w:link w:val="Kop3Char"/>
    <w:uiPriority w:val="9"/>
    <w:qFormat/>
    <w:pPr>
      <w:pBdr>
        <w:bottom w:val="single" w:sz="6" w:space="3" w:color="4A3B6B"/>
      </w:pBdr>
      <w:spacing w:after="80"/>
      <w:outlineLvl w:val="2"/>
    </w:pPr>
    <w:rPr>
      <w:rFonts w:ascii="Aptos Display" w:hAnsi="Aptos Display"/>
      <w:b/>
      <w:bCs/>
      <w:color w:val="4A3B6B"/>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4A3B6B"/>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style>
  <w:style w:type="paragraph" w:styleId="Normaalweb">
    <w:name w:val="Normal (Web)"/>
    <w:basedOn w:val="Standaard"/>
    <w:uiPriority w:val="99"/>
    <w:semiHidden/>
    <w:unhideWhenUsed/>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4A3B6B"/>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4A3B6B"/>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4A3B6B"/>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4A3B6B"/>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4A3B6B"/>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4A3B6B"/>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style>
  <w:style w:type="character" w:customStyle="1" w:styleId="badge-be1">
    <w:name w:val="badge-be1"/>
    <w:basedOn w:val="Standaardalinea-lettertype"/>
    <w:rPr>
      <w:b/>
      <w:bCs/>
      <w:color w:val="8B1E1E"/>
    </w:rPr>
  </w:style>
  <w:style w:type="character" w:customStyle="1" w:styleId="badge-nl1">
    <w:name w:val="badge-nl1"/>
    <w:basedOn w:val="Standaardalinea-lettertype"/>
    <w:rPr>
      <w:b/>
      <w:bCs/>
      <w:color w:val="1A3C6E"/>
    </w:rPr>
  </w:style>
  <w:style w:type="character" w:customStyle="1" w:styleId="badge-mem1">
    <w:name w:val="badge-mem1"/>
    <w:basedOn w:val="Standaardalinea-lettertype"/>
    <w:rPr>
      <w:b/>
      <w:bCs/>
      <w:color w:val="C1440E"/>
    </w:rPr>
  </w:style>
  <w:style w:type="character" w:customStyle="1" w:styleId="badge-eu1">
    <w:name w:val="badge-eu1"/>
    <w:basedOn w:val="Standaardalinea-lettertype"/>
    <w:rPr>
      <w:b/>
      <w:bCs/>
      <w:color w:val="0D7377"/>
    </w:rPr>
  </w:style>
  <w:style w:type="character" w:customStyle="1" w:styleId="actor-naam1">
    <w:name w:val="actor-naam1"/>
    <w:basedOn w:val="Standaardalinea-lettertype"/>
    <w:rPr>
      <w:b/>
      <w:bCs/>
      <w:color w:val="1F2421"/>
    </w:rPr>
  </w:style>
  <w:style w:type="character" w:customStyle="1" w:styleId="actor-rol1">
    <w:name w:val="actor-rol1"/>
    <w:basedOn w:val="Standaardalinea-lettertype"/>
    <w:rPr>
      <w:b/>
      <w:bCs/>
      <w:color w:val="4A3B6B"/>
    </w:rPr>
  </w:style>
  <w:style w:type="character" w:customStyle="1" w:styleId="status-r1">
    <w:name w:val="status-r1"/>
    <w:basedOn w:val="Standaardalinea-lettertype"/>
    <w:rPr>
      <w:b/>
      <w:bCs/>
      <w:color w:val="C62828"/>
    </w:rPr>
  </w:style>
  <w:style w:type="character" w:customStyle="1" w:styleId="status-g1">
    <w:name w:val="status-g1"/>
    <w:basedOn w:val="Standaardalinea-lettertype"/>
    <w:rPr>
      <w:b/>
      <w:bCs/>
      <w:color w:val="2E7D32"/>
    </w:rPr>
  </w:style>
  <w:style w:type="character" w:customStyle="1" w:styleId="status-o1">
    <w:name w:val="status-o1"/>
    <w:basedOn w:val="Standaardalinea-lettertype"/>
    <w:rPr>
      <w:b/>
      <w:bCs/>
      <w:color w:val="E65100"/>
    </w:rPr>
  </w:style>
  <w:style w:type="character" w:styleId="Nadruk">
    <w:name w:val="Emphasis"/>
    <w:basedOn w:val="Standaardalinea-lettertype"/>
    <w:uiPriority w:val="20"/>
    <w:qFormat/>
    <w:rPr>
      <w:i/>
      <w:iCs/>
    </w:rPr>
  </w:style>
  <w:style w:type="paragraph" w:styleId="Koptekst">
    <w:name w:val="header"/>
    <w:basedOn w:val="Standaard"/>
    <w:link w:val="KoptekstChar"/>
    <w:uiPriority w:val="99"/>
    <w:unhideWhenUsed/>
    <w:rsid w:val="0020702A"/>
    <w:pPr>
      <w:tabs>
        <w:tab w:val="center" w:pos="4536"/>
        <w:tab w:val="right" w:pos="9072"/>
      </w:tabs>
    </w:pPr>
  </w:style>
  <w:style w:type="character" w:customStyle="1" w:styleId="KoptekstChar">
    <w:name w:val="Koptekst Char"/>
    <w:basedOn w:val="Standaardalinea-lettertype"/>
    <w:link w:val="Koptekst"/>
    <w:uiPriority w:val="99"/>
    <w:rsid w:val="0020702A"/>
    <w:rPr>
      <w:rFonts w:eastAsiaTheme="minorEastAsia"/>
      <w:sz w:val="24"/>
      <w:szCs w:val="24"/>
    </w:rPr>
  </w:style>
  <w:style w:type="paragraph" w:styleId="Voettekst">
    <w:name w:val="footer"/>
    <w:basedOn w:val="Standaard"/>
    <w:link w:val="VoettekstChar"/>
    <w:uiPriority w:val="99"/>
    <w:unhideWhenUsed/>
    <w:rsid w:val="0020702A"/>
    <w:pPr>
      <w:tabs>
        <w:tab w:val="center" w:pos="4536"/>
        <w:tab w:val="right" w:pos="9072"/>
      </w:tabs>
    </w:pPr>
  </w:style>
  <w:style w:type="character" w:customStyle="1" w:styleId="VoettekstChar">
    <w:name w:val="Voettekst Char"/>
    <w:basedOn w:val="Standaardalinea-lettertype"/>
    <w:link w:val="Voettekst"/>
    <w:uiPriority w:val="99"/>
    <w:rsid w:val="0020702A"/>
    <w:rPr>
      <w:rFonts w:eastAsiaTheme="minorEastAsia"/>
      <w:sz w:val="24"/>
      <w:szCs w:val="24"/>
    </w:rPr>
  </w:style>
  <w:style w:type="paragraph" w:styleId="Inhopg2">
    <w:name w:val="toc 2"/>
    <w:basedOn w:val="Standaard"/>
    <w:next w:val="Standaard"/>
    <w:autoRedefine/>
    <w:uiPriority w:val="39"/>
    <w:unhideWhenUsed/>
    <w:rsid w:val="0020702A"/>
    <w:pPr>
      <w:spacing w:after="100"/>
      <w:ind w:left="220"/>
    </w:pPr>
  </w:style>
  <w:style w:type="paragraph" w:styleId="Inhopg1">
    <w:name w:val="toc 1"/>
    <w:basedOn w:val="Standaard"/>
    <w:next w:val="Standaard"/>
    <w:autoRedefine/>
    <w:uiPriority w:val="39"/>
    <w:unhideWhenUsed/>
    <w:rsid w:val="0020702A"/>
    <w:pPr>
      <w:spacing w:after="100"/>
    </w:pPr>
  </w:style>
  <w:style w:type="paragraph" w:styleId="Inhopg3">
    <w:name w:val="toc 3"/>
    <w:basedOn w:val="Standaard"/>
    <w:next w:val="Standaard"/>
    <w:autoRedefine/>
    <w:uiPriority w:val="39"/>
    <w:unhideWhenUsed/>
    <w:rsid w:val="0020702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013937">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975525921">
          <w:marLeft w:val="0"/>
          <w:marRight w:val="0"/>
          <w:marTop w:val="4000"/>
          <w:marBottom w:val="0"/>
          <w:divBdr>
            <w:top w:val="none" w:sz="0" w:space="0" w:color="auto"/>
            <w:left w:val="none" w:sz="0" w:space="0" w:color="auto"/>
            <w:bottom w:val="none" w:sz="0" w:space="0" w:color="auto"/>
            <w:right w:val="none" w:sz="0" w:space="0" w:color="auto"/>
          </w:divBdr>
        </w:div>
        <w:div w:id="69544635">
          <w:marLeft w:val="0"/>
          <w:marRight w:val="0"/>
          <w:marTop w:val="0"/>
          <w:marBottom w:val="0"/>
          <w:divBdr>
            <w:top w:val="none" w:sz="0" w:space="0" w:color="auto"/>
            <w:left w:val="none" w:sz="0" w:space="0" w:color="auto"/>
            <w:bottom w:val="none" w:sz="0" w:space="0" w:color="auto"/>
            <w:right w:val="none" w:sz="0" w:space="0" w:color="auto"/>
          </w:divBdr>
        </w:div>
        <w:div w:id="1964725524">
          <w:marLeft w:val="0"/>
          <w:marRight w:val="0"/>
          <w:marTop w:val="0"/>
          <w:marBottom w:val="240"/>
          <w:divBdr>
            <w:top w:val="none" w:sz="0" w:space="0" w:color="auto"/>
            <w:left w:val="none" w:sz="0" w:space="0" w:color="auto"/>
            <w:bottom w:val="single" w:sz="6" w:space="10" w:color="E8E4DC"/>
            <w:right w:val="none" w:sz="0" w:space="0" w:color="auto"/>
          </w:divBdr>
        </w:div>
        <w:div w:id="2050758541">
          <w:marLeft w:val="0"/>
          <w:marRight w:val="0"/>
          <w:marTop w:val="0"/>
          <w:marBottom w:val="240"/>
          <w:divBdr>
            <w:top w:val="none" w:sz="0" w:space="0" w:color="auto"/>
            <w:left w:val="none" w:sz="0" w:space="0" w:color="auto"/>
            <w:bottom w:val="single" w:sz="6" w:space="10" w:color="E8E4DC"/>
            <w:right w:val="none" w:sz="0" w:space="0" w:color="auto"/>
          </w:divBdr>
        </w:div>
        <w:div w:id="2024554376">
          <w:marLeft w:val="0"/>
          <w:marRight w:val="0"/>
          <w:marTop w:val="0"/>
          <w:marBottom w:val="240"/>
          <w:divBdr>
            <w:top w:val="none" w:sz="0" w:space="0" w:color="auto"/>
            <w:left w:val="none" w:sz="0" w:space="0" w:color="auto"/>
            <w:bottom w:val="single" w:sz="6" w:space="10" w:color="E8E4DC"/>
            <w:right w:val="none" w:sz="0" w:space="0" w:color="auto"/>
          </w:divBdr>
        </w:div>
        <w:div w:id="1544173533">
          <w:marLeft w:val="0"/>
          <w:marRight w:val="0"/>
          <w:marTop w:val="0"/>
          <w:marBottom w:val="240"/>
          <w:divBdr>
            <w:top w:val="none" w:sz="0" w:space="0" w:color="auto"/>
            <w:left w:val="none" w:sz="0" w:space="0" w:color="auto"/>
            <w:bottom w:val="single" w:sz="6" w:space="10" w:color="E8E4DC"/>
            <w:right w:val="none" w:sz="0" w:space="0" w:color="auto"/>
          </w:divBdr>
        </w:div>
        <w:div w:id="972060019">
          <w:marLeft w:val="0"/>
          <w:marRight w:val="0"/>
          <w:marTop w:val="0"/>
          <w:marBottom w:val="240"/>
          <w:divBdr>
            <w:top w:val="none" w:sz="0" w:space="0" w:color="auto"/>
            <w:left w:val="none" w:sz="0" w:space="0" w:color="auto"/>
            <w:bottom w:val="single" w:sz="6" w:space="10" w:color="E8E4DC"/>
            <w:right w:val="none" w:sz="0" w:space="0" w:color="auto"/>
          </w:divBdr>
        </w:div>
        <w:div w:id="1928078769">
          <w:marLeft w:val="0"/>
          <w:marRight w:val="0"/>
          <w:marTop w:val="0"/>
          <w:marBottom w:val="240"/>
          <w:divBdr>
            <w:top w:val="none" w:sz="0" w:space="0" w:color="auto"/>
            <w:left w:val="none" w:sz="0" w:space="0" w:color="auto"/>
            <w:bottom w:val="single" w:sz="6" w:space="10" w:color="E8E4DC"/>
            <w:right w:val="none" w:sz="0" w:space="0" w:color="auto"/>
          </w:divBdr>
        </w:div>
        <w:div w:id="371854917">
          <w:marLeft w:val="0"/>
          <w:marRight w:val="0"/>
          <w:marTop w:val="0"/>
          <w:marBottom w:val="240"/>
          <w:divBdr>
            <w:top w:val="none" w:sz="0" w:space="0" w:color="auto"/>
            <w:left w:val="none" w:sz="0" w:space="0" w:color="auto"/>
            <w:bottom w:val="single" w:sz="6" w:space="10" w:color="E8E4DC"/>
            <w:right w:val="none" w:sz="0" w:space="0" w:color="auto"/>
          </w:divBdr>
        </w:div>
        <w:div w:id="1738936038">
          <w:marLeft w:val="0"/>
          <w:marRight w:val="0"/>
          <w:marTop w:val="0"/>
          <w:marBottom w:val="240"/>
          <w:divBdr>
            <w:top w:val="none" w:sz="0" w:space="0" w:color="auto"/>
            <w:left w:val="none" w:sz="0" w:space="0" w:color="auto"/>
            <w:bottom w:val="single" w:sz="6" w:space="10" w:color="E8E4DC"/>
            <w:right w:val="none" w:sz="0" w:space="0" w:color="auto"/>
          </w:divBdr>
        </w:div>
        <w:div w:id="688873617">
          <w:marLeft w:val="0"/>
          <w:marRight w:val="0"/>
          <w:marTop w:val="0"/>
          <w:marBottom w:val="240"/>
          <w:divBdr>
            <w:top w:val="none" w:sz="0" w:space="0" w:color="auto"/>
            <w:left w:val="none" w:sz="0" w:space="0" w:color="auto"/>
            <w:bottom w:val="single" w:sz="6" w:space="10" w:color="E8E4DC"/>
            <w:right w:val="none" w:sz="0" w:space="0" w:color="auto"/>
          </w:divBdr>
        </w:div>
        <w:div w:id="1164979592">
          <w:marLeft w:val="0"/>
          <w:marRight w:val="0"/>
          <w:marTop w:val="0"/>
          <w:marBottom w:val="240"/>
          <w:divBdr>
            <w:top w:val="none" w:sz="0" w:space="0" w:color="auto"/>
            <w:left w:val="none" w:sz="0" w:space="0" w:color="auto"/>
            <w:bottom w:val="single" w:sz="6" w:space="10" w:color="E8E4DC"/>
            <w:right w:val="none" w:sz="0" w:space="0" w:color="auto"/>
          </w:divBdr>
        </w:div>
        <w:div w:id="1661813583">
          <w:marLeft w:val="0"/>
          <w:marRight w:val="0"/>
          <w:marTop w:val="0"/>
          <w:marBottom w:val="240"/>
          <w:divBdr>
            <w:top w:val="none" w:sz="0" w:space="0" w:color="auto"/>
            <w:left w:val="none" w:sz="0" w:space="0" w:color="auto"/>
            <w:bottom w:val="single" w:sz="6" w:space="10" w:color="E8E4DC"/>
            <w:right w:val="none" w:sz="0" w:space="0" w:color="auto"/>
          </w:divBdr>
        </w:div>
        <w:div w:id="1436515797">
          <w:marLeft w:val="0"/>
          <w:marRight w:val="0"/>
          <w:marTop w:val="0"/>
          <w:marBottom w:val="240"/>
          <w:divBdr>
            <w:top w:val="none" w:sz="0" w:space="0" w:color="auto"/>
            <w:left w:val="none" w:sz="0" w:space="0" w:color="auto"/>
            <w:bottom w:val="single" w:sz="6" w:space="10" w:color="E8E4DC"/>
            <w:right w:val="none" w:sz="0" w:space="0" w:color="auto"/>
          </w:divBdr>
        </w:div>
        <w:div w:id="1958103600">
          <w:marLeft w:val="0"/>
          <w:marRight w:val="0"/>
          <w:marTop w:val="0"/>
          <w:marBottom w:val="240"/>
          <w:divBdr>
            <w:top w:val="none" w:sz="0" w:space="0" w:color="auto"/>
            <w:left w:val="none" w:sz="0" w:space="0" w:color="auto"/>
            <w:bottom w:val="single" w:sz="6" w:space="10" w:color="E8E4DC"/>
            <w:right w:val="none" w:sz="0" w:space="0" w:color="auto"/>
          </w:divBdr>
        </w:div>
        <w:div w:id="1077364538">
          <w:marLeft w:val="0"/>
          <w:marRight w:val="0"/>
          <w:marTop w:val="0"/>
          <w:marBottom w:val="240"/>
          <w:divBdr>
            <w:top w:val="none" w:sz="0" w:space="0" w:color="auto"/>
            <w:left w:val="none" w:sz="0" w:space="0" w:color="auto"/>
            <w:bottom w:val="single" w:sz="6" w:space="10" w:color="E8E4DC"/>
            <w:right w:val="none" w:sz="0" w:space="0" w:color="auto"/>
          </w:divBdr>
        </w:div>
        <w:div w:id="688878017">
          <w:marLeft w:val="0"/>
          <w:marRight w:val="0"/>
          <w:marTop w:val="0"/>
          <w:marBottom w:val="240"/>
          <w:divBdr>
            <w:top w:val="none" w:sz="0" w:space="0" w:color="auto"/>
            <w:left w:val="none" w:sz="0" w:space="0" w:color="auto"/>
            <w:bottom w:val="single" w:sz="6" w:space="10" w:color="E8E4DC"/>
            <w:right w:val="none" w:sz="0" w:space="0" w:color="auto"/>
          </w:divBdr>
        </w:div>
        <w:div w:id="873274591">
          <w:marLeft w:val="0"/>
          <w:marRight w:val="0"/>
          <w:marTop w:val="0"/>
          <w:marBottom w:val="240"/>
          <w:divBdr>
            <w:top w:val="none" w:sz="0" w:space="0" w:color="auto"/>
            <w:left w:val="none" w:sz="0" w:space="0" w:color="auto"/>
            <w:bottom w:val="single" w:sz="6" w:space="10" w:color="E8E4DC"/>
            <w:right w:val="none" w:sz="0" w:space="0" w:color="auto"/>
          </w:divBdr>
        </w:div>
        <w:div w:id="437330996">
          <w:marLeft w:val="0"/>
          <w:marRight w:val="0"/>
          <w:marTop w:val="0"/>
          <w:marBottom w:val="240"/>
          <w:divBdr>
            <w:top w:val="none" w:sz="0" w:space="0" w:color="auto"/>
            <w:left w:val="none" w:sz="0" w:space="0" w:color="auto"/>
            <w:bottom w:val="single" w:sz="6" w:space="10" w:color="E8E4DC"/>
            <w:right w:val="none" w:sz="0" w:space="0" w:color="auto"/>
          </w:divBdr>
        </w:div>
        <w:div w:id="2067146019">
          <w:marLeft w:val="0"/>
          <w:marRight w:val="0"/>
          <w:marTop w:val="0"/>
          <w:marBottom w:val="240"/>
          <w:divBdr>
            <w:top w:val="none" w:sz="0" w:space="0" w:color="auto"/>
            <w:left w:val="none" w:sz="0" w:space="0" w:color="auto"/>
            <w:bottom w:val="single" w:sz="6" w:space="10" w:color="E8E4DC"/>
            <w:right w:val="none" w:sz="0" w:space="0" w:color="auto"/>
          </w:divBdr>
        </w:div>
        <w:div w:id="935095221">
          <w:marLeft w:val="0"/>
          <w:marRight w:val="0"/>
          <w:marTop w:val="0"/>
          <w:marBottom w:val="240"/>
          <w:divBdr>
            <w:top w:val="none" w:sz="0" w:space="0" w:color="auto"/>
            <w:left w:val="none" w:sz="0" w:space="0" w:color="auto"/>
            <w:bottom w:val="single" w:sz="6" w:space="10" w:color="E8E4DC"/>
            <w:right w:val="none" w:sz="0" w:space="0" w:color="auto"/>
          </w:divBdr>
        </w:div>
        <w:div w:id="626811912">
          <w:marLeft w:val="0"/>
          <w:marRight w:val="0"/>
          <w:marTop w:val="0"/>
          <w:marBottom w:val="240"/>
          <w:divBdr>
            <w:top w:val="none" w:sz="0" w:space="0" w:color="auto"/>
            <w:left w:val="none" w:sz="0" w:space="0" w:color="auto"/>
            <w:bottom w:val="single" w:sz="6" w:space="10" w:color="E8E4DC"/>
            <w:right w:val="none" w:sz="0" w:space="0" w:color="auto"/>
          </w:divBdr>
        </w:div>
        <w:div w:id="1029112141">
          <w:marLeft w:val="0"/>
          <w:marRight w:val="0"/>
          <w:marTop w:val="0"/>
          <w:marBottom w:val="240"/>
          <w:divBdr>
            <w:top w:val="none" w:sz="0" w:space="0" w:color="auto"/>
            <w:left w:val="none" w:sz="0" w:space="0" w:color="auto"/>
            <w:bottom w:val="single" w:sz="6" w:space="10" w:color="E8E4DC"/>
            <w:right w:val="none" w:sz="0" w:space="0" w:color="auto"/>
          </w:divBdr>
        </w:div>
        <w:div w:id="1819153467">
          <w:marLeft w:val="0"/>
          <w:marRight w:val="0"/>
          <w:marTop w:val="0"/>
          <w:marBottom w:val="240"/>
          <w:divBdr>
            <w:top w:val="none" w:sz="0" w:space="0" w:color="auto"/>
            <w:left w:val="none" w:sz="0" w:space="0" w:color="auto"/>
            <w:bottom w:val="single" w:sz="6" w:space="10" w:color="E8E4DC"/>
            <w:right w:val="none" w:sz="0" w:space="0" w:color="auto"/>
          </w:divBdr>
        </w:div>
        <w:div w:id="982150827">
          <w:marLeft w:val="0"/>
          <w:marRight w:val="0"/>
          <w:marTop w:val="0"/>
          <w:marBottom w:val="240"/>
          <w:divBdr>
            <w:top w:val="none" w:sz="0" w:space="0" w:color="auto"/>
            <w:left w:val="none" w:sz="0" w:space="0" w:color="auto"/>
            <w:bottom w:val="single" w:sz="6" w:space="10" w:color="E8E4DC"/>
            <w:right w:val="none" w:sz="0" w:space="0" w:color="auto"/>
          </w:divBdr>
        </w:div>
        <w:div w:id="352921314">
          <w:marLeft w:val="0"/>
          <w:marRight w:val="0"/>
          <w:marTop w:val="0"/>
          <w:marBottom w:val="240"/>
          <w:divBdr>
            <w:top w:val="none" w:sz="0" w:space="0" w:color="auto"/>
            <w:left w:val="none" w:sz="0" w:space="0" w:color="auto"/>
            <w:bottom w:val="single" w:sz="6" w:space="10" w:color="E8E4DC"/>
            <w:right w:val="none" w:sz="0" w:space="0" w:color="auto"/>
          </w:divBdr>
        </w:div>
        <w:div w:id="1138764826">
          <w:marLeft w:val="0"/>
          <w:marRight w:val="0"/>
          <w:marTop w:val="0"/>
          <w:marBottom w:val="240"/>
          <w:divBdr>
            <w:top w:val="none" w:sz="0" w:space="0" w:color="auto"/>
            <w:left w:val="none" w:sz="0" w:space="0" w:color="auto"/>
            <w:bottom w:val="single" w:sz="6" w:space="10" w:color="E8E4DC"/>
            <w:right w:val="none" w:sz="0" w:space="0" w:color="auto"/>
          </w:divBdr>
        </w:div>
        <w:div w:id="1697997702">
          <w:marLeft w:val="0"/>
          <w:marRight w:val="0"/>
          <w:marTop w:val="0"/>
          <w:marBottom w:val="240"/>
          <w:divBdr>
            <w:top w:val="none" w:sz="0" w:space="0" w:color="auto"/>
            <w:left w:val="none" w:sz="0" w:space="0" w:color="auto"/>
            <w:bottom w:val="single" w:sz="6" w:space="10" w:color="E8E4DC"/>
            <w:right w:val="none" w:sz="0" w:space="0" w:color="auto"/>
          </w:divBdr>
        </w:div>
        <w:div w:id="989141831">
          <w:marLeft w:val="0"/>
          <w:marRight w:val="0"/>
          <w:marTop w:val="0"/>
          <w:marBottom w:val="240"/>
          <w:divBdr>
            <w:top w:val="none" w:sz="0" w:space="0" w:color="auto"/>
            <w:left w:val="none" w:sz="0" w:space="0" w:color="auto"/>
            <w:bottom w:val="single" w:sz="6" w:space="10" w:color="E8E4DC"/>
            <w:right w:val="none" w:sz="0" w:space="0" w:color="auto"/>
          </w:divBdr>
        </w:div>
        <w:div w:id="183717024">
          <w:marLeft w:val="0"/>
          <w:marRight w:val="0"/>
          <w:marTop w:val="0"/>
          <w:marBottom w:val="240"/>
          <w:divBdr>
            <w:top w:val="none" w:sz="0" w:space="0" w:color="auto"/>
            <w:left w:val="none" w:sz="0" w:space="0" w:color="auto"/>
            <w:bottom w:val="single" w:sz="6" w:space="10" w:color="E8E4DC"/>
            <w:right w:val="none" w:sz="0" w:space="0" w:color="auto"/>
          </w:divBdr>
        </w:div>
        <w:div w:id="598102216">
          <w:marLeft w:val="0"/>
          <w:marRight w:val="0"/>
          <w:marTop w:val="0"/>
          <w:marBottom w:val="240"/>
          <w:divBdr>
            <w:top w:val="none" w:sz="0" w:space="0" w:color="auto"/>
            <w:left w:val="none" w:sz="0" w:space="0" w:color="auto"/>
            <w:bottom w:val="single" w:sz="6" w:space="10" w:color="E8E4DC"/>
            <w:right w:val="none" w:sz="0" w:space="0" w:color="auto"/>
          </w:divBdr>
        </w:div>
        <w:div w:id="512652893">
          <w:marLeft w:val="0"/>
          <w:marRight w:val="0"/>
          <w:marTop w:val="0"/>
          <w:marBottom w:val="240"/>
          <w:divBdr>
            <w:top w:val="none" w:sz="0" w:space="0" w:color="auto"/>
            <w:left w:val="none" w:sz="0" w:space="0" w:color="auto"/>
            <w:bottom w:val="single" w:sz="6" w:space="10" w:color="E8E4DC"/>
            <w:right w:val="none" w:sz="0" w:space="0" w:color="auto"/>
          </w:divBdr>
        </w:div>
        <w:div w:id="2011981300">
          <w:marLeft w:val="0"/>
          <w:marRight w:val="0"/>
          <w:marTop w:val="0"/>
          <w:marBottom w:val="240"/>
          <w:divBdr>
            <w:top w:val="none" w:sz="0" w:space="0" w:color="auto"/>
            <w:left w:val="none" w:sz="0" w:space="0" w:color="auto"/>
            <w:bottom w:val="single" w:sz="6" w:space="10" w:color="E8E4DC"/>
            <w:right w:val="none" w:sz="0" w:space="0" w:color="auto"/>
          </w:divBdr>
        </w:div>
        <w:div w:id="1916815813">
          <w:marLeft w:val="0"/>
          <w:marRight w:val="0"/>
          <w:marTop w:val="0"/>
          <w:marBottom w:val="240"/>
          <w:divBdr>
            <w:top w:val="none" w:sz="0" w:space="0" w:color="auto"/>
            <w:left w:val="none" w:sz="0" w:space="0" w:color="auto"/>
            <w:bottom w:val="single" w:sz="6" w:space="10" w:color="E8E4DC"/>
            <w:right w:val="none" w:sz="0" w:space="0" w:color="auto"/>
          </w:divBdr>
        </w:div>
        <w:div w:id="501747376">
          <w:marLeft w:val="0"/>
          <w:marRight w:val="0"/>
          <w:marTop w:val="0"/>
          <w:marBottom w:val="240"/>
          <w:divBdr>
            <w:top w:val="none" w:sz="0" w:space="0" w:color="auto"/>
            <w:left w:val="none" w:sz="0" w:space="0" w:color="auto"/>
            <w:bottom w:val="single" w:sz="6" w:space="10" w:color="E8E4DC"/>
            <w:right w:val="none" w:sz="0" w:space="0" w:color="auto"/>
          </w:divBdr>
        </w:div>
        <w:div w:id="2111965800">
          <w:marLeft w:val="0"/>
          <w:marRight w:val="0"/>
          <w:marTop w:val="0"/>
          <w:marBottom w:val="240"/>
          <w:divBdr>
            <w:top w:val="none" w:sz="0" w:space="0" w:color="auto"/>
            <w:left w:val="none" w:sz="0" w:space="0" w:color="auto"/>
            <w:bottom w:val="single" w:sz="6" w:space="10" w:color="E8E4DC"/>
            <w:right w:val="none" w:sz="0" w:space="0" w:color="auto"/>
          </w:divBdr>
        </w:div>
        <w:div w:id="1322005645">
          <w:marLeft w:val="0"/>
          <w:marRight w:val="0"/>
          <w:marTop w:val="0"/>
          <w:marBottom w:val="240"/>
          <w:divBdr>
            <w:top w:val="none" w:sz="0" w:space="0" w:color="auto"/>
            <w:left w:val="none" w:sz="0" w:space="0" w:color="auto"/>
            <w:bottom w:val="single" w:sz="6" w:space="10" w:color="E8E4DC"/>
            <w:right w:val="none" w:sz="0" w:space="0" w:color="auto"/>
          </w:divBdr>
        </w:div>
        <w:div w:id="762728295">
          <w:marLeft w:val="0"/>
          <w:marRight w:val="0"/>
          <w:marTop w:val="0"/>
          <w:marBottom w:val="240"/>
          <w:divBdr>
            <w:top w:val="none" w:sz="0" w:space="0" w:color="auto"/>
            <w:left w:val="none" w:sz="0" w:space="0" w:color="auto"/>
            <w:bottom w:val="single" w:sz="6" w:space="10" w:color="E8E4DC"/>
            <w:right w:val="none" w:sz="0" w:space="0" w:color="auto"/>
          </w:divBdr>
        </w:div>
        <w:div w:id="1289504849">
          <w:marLeft w:val="0"/>
          <w:marRight w:val="0"/>
          <w:marTop w:val="0"/>
          <w:marBottom w:val="240"/>
          <w:divBdr>
            <w:top w:val="none" w:sz="0" w:space="0" w:color="auto"/>
            <w:left w:val="none" w:sz="0" w:space="0" w:color="auto"/>
            <w:bottom w:val="single" w:sz="6" w:space="10" w:color="E8E4DC"/>
            <w:right w:val="none" w:sz="0" w:space="0" w:color="auto"/>
          </w:divBdr>
        </w:div>
        <w:div w:id="2073847139">
          <w:marLeft w:val="0"/>
          <w:marRight w:val="0"/>
          <w:marTop w:val="0"/>
          <w:marBottom w:val="240"/>
          <w:divBdr>
            <w:top w:val="none" w:sz="0" w:space="0" w:color="auto"/>
            <w:left w:val="none" w:sz="0" w:space="0" w:color="auto"/>
            <w:bottom w:val="single" w:sz="6" w:space="10" w:color="E8E4DC"/>
            <w:right w:val="none" w:sz="0" w:space="0" w:color="auto"/>
          </w:divBdr>
        </w:div>
        <w:div w:id="949623086">
          <w:marLeft w:val="0"/>
          <w:marRight w:val="0"/>
          <w:marTop w:val="0"/>
          <w:marBottom w:val="240"/>
          <w:divBdr>
            <w:top w:val="none" w:sz="0" w:space="0" w:color="auto"/>
            <w:left w:val="none" w:sz="0" w:space="0" w:color="auto"/>
            <w:bottom w:val="single" w:sz="6" w:space="10" w:color="E8E4DC"/>
            <w:right w:val="none" w:sz="0" w:space="0" w:color="auto"/>
          </w:divBdr>
        </w:div>
        <w:div w:id="406149721">
          <w:marLeft w:val="0"/>
          <w:marRight w:val="0"/>
          <w:marTop w:val="0"/>
          <w:marBottom w:val="240"/>
          <w:divBdr>
            <w:top w:val="none" w:sz="0" w:space="0" w:color="auto"/>
            <w:left w:val="none" w:sz="0" w:space="0" w:color="auto"/>
            <w:bottom w:val="single" w:sz="6" w:space="10" w:color="E8E4DC"/>
            <w:right w:val="none" w:sz="0" w:space="0" w:color="auto"/>
          </w:divBdr>
        </w:div>
        <w:div w:id="621426358">
          <w:marLeft w:val="0"/>
          <w:marRight w:val="0"/>
          <w:marTop w:val="0"/>
          <w:marBottom w:val="240"/>
          <w:divBdr>
            <w:top w:val="none" w:sz="0" w:space="0" w:color="auto"/>
            <w:left w:val="none" w:sz="0" w:space="0" w:color="auto"/>
            <w:bottom w:val="single" w:sz="6" w:space="10" w:color="E8E4DC"/>
            <w:right w:val="none" w:sz="0" w:space="0" w:color="auto"/>
          </w:divBdr>
        </w:div>
        <w:div w:id="214507795">
          <w:marLeft w:val="0"/>
          <w:marRight w:val="0"/>
          <w:marTop w:val="0"/>
          <w:marBottom w:val="240"/>
          <w:divBdr>
            <w:top w:val="none" w:sz="0" w:space="0" w:color="auto"/>
            <w:left w:val="none" w:sz="0" w:space="0" w:color="auto"/>
            <w:bottom w:val="single" w:sz="6" w:space="10" w:color="E8E4DC"/>
            <w:right w:val="none" w:sz="0" w:space="0" w:color="auto"/>
          </w:divBdr>
        </w:div>
        <w:div w:id="1998728279">
          <w:marLeft w:val="0"/>
          <w:marRight w:val="0"/>
          <w:marTop w:val="0"/>
          <w:marBottom w:val="240"/>
          <w:divBdr>
            <w:top w:val="none" w:sz="0" w:space="0" w:color="auto"/>
            <w:left w:val="none" w:sz="0" w:space="0" w:color="auto"/>
            <w:bottom w:val="single" w:sz="6" w:space="10" w:color="E8E4DC"/>
            <w:right w:val="none" w:sz="0" w:space="0" w:color="auto"/>
          </w:divBdr>
        </w:div>
        <w:div w:id="319848092">
          <w:marLeft w:val="0"/>
          <w:marRight w:val="0"/>
          <w:marTop w:val="0"/>
          <w:marBottom w:val="240"/>
          <w:divBdr>
            <w:top w:val="none" w:sz="0" w:space="0" w:color="auto"/>
            <w:left w:val="none" w:sz="0" w:space="0" w:color="auto"/>
            <w:bottom w:val="single" w:sz="6" w:space="10" w:color="E8E4DC"/>
            <w:right w:val="none" w:sz="0" w:space="0" w:color="auto"/>
          </w:divBdr>
        </w:div>
        <w:div w:id="1297687474">
          <w:marLeft w:val="0"/>
          <w:marRight w:val="0"/>
          <w:marTop w:val="0"/>
          <w:marBottom w:val="240"/>
          <w:divBdr>
            <w:top w:val="none" w:sz="0" w:space="0" w:color="auto"/>
            <w:left w:val="none" w:sz="0" w:space="0" w:color="auto"/>
            <w:bottom w:val="single" w:sz="6" w:space="10" w:color="E8E4DC"/>
            <w:right w:val="none" w:sz="0" w:space="0" w:color="auto"/>
          </w:divBdr>
        </w:div>
        <w:div w:id="1786460807">
          <w:marLeft w:val="0"/>
          <w:marRight w:val="0"/>
          <w:marTop w:val="0"/>
          <w:marBottom w:val="240"/>
          <w:divBdr>
            <w:top w:val="none" w:sz="0" w:space="0" w:color="auto"/>
            <w:left w:val="none" w:sz="0" w:space="0" w:color="auto"/>
            <w:bottom w:val="single" w:sz="6" w:space="10" w:color="E8E4DC"/>
            <w:right w:val="none" w:sz="0" w:space="0" w:color="auto"/>
          </w:divBdr>
        </w:div>
        <w:div w:id="1931891666">
          <w:marLeft w:val="0"/>
          <w:marRight w:val="0"/>
          <w:marTop w:val="0"/>
          <w:marBottom w:val="240"/>
          <w:divBdr>
            <w:top w:val="none" w:sz="0" w:space="0" w:color="auto"/>
            <w:left w:val="none" w:sz="0" w:space="0" w:color="auto"/>
            <w:bottom w:val="single" w:sz="6" w:space="10" w:color="E8E4DC"/>
            <w:right w:val="none" w:sz="0" w:space="0" w:color="auto"/>
          </w:divBdr>
        </w:div>
        <w:div w:id="1006597391">
          <w:marLeft w:val="0"/>
          <w:marRight w:val="0"/>
          <w:marTop w:val="0"/>
          <w:marBottom w:val="240"/>
          <w:divBdr>
            <w:top w:val="none" w:sz="0" w:space="0" w:color="auto"/>
            <w:left w:val="none" w:sz="0" w:space="0" w:color="auto"/>
            <w:bottom w:val="single" w:sz="6" w:space="10" w:color="E8E4DC"/>
            <w:right w:val="none" w:sz="0" w:space="0" w:color="auto"/>
          </w:divBdr>
        </w:div>
        <w:div w:id="1492988896">
          <w:marLeft w:val="0"/>
          <w:marRight w:val="0"/>
          <w:marTop w:val="0"/>
          <w:marBottom w:val="240"/>
          <w:divBdr>
            <w:top w:val="none" w:sz="0" w:space="0" w:color="auto"/>
            <w:left w:val="none" w:sz="0" w:space="0" w:color="auto"/>
            <w:bottom w:val="single" w:sz="6" w:space="10" w:color="E8E4DC"/>
            <w:right w:val="none" w:sz="0" w:space="0" w:color="auto"/>
          </w:divBdr>
        </w:div>
        <w:div w:id="996302484">
          <w:marLeft w:val="0"/>
          <w:marRight w:val="0"/>
          <w:marTop w:val="0"/>
          <w:marBottom w:val="240"/>
          <w:divBdr>
            <w:top w:val="none" w:sz="0" w:space="0" w:color="auto"/>
            <w:left w:val="none" w:sz="0" w:space="0" w:color="auto"/>
            <w:bottom w:val="single" w:sz="6" w:space="10" w:color="E8E4DC"/>
            <w:right w:val="none" w:sz="0" w:space="0" w:color="auto"/>
          </w:divBdr>
        </w:div>
        <w:div w:id="16779709">
          <w:marLeft w:val="0"/>
          <w:marRight w:val="0"/>
          <w:marTop w:val="0"/>
          <w:marBottom w:val="240"/>
          <w:divBdr>
            <w:top w:val="none" w:sz="0" w:space="0" w:color="auto"/>
            <w:left w:val="none" w:sz="0" w:space="0" w:color="auto"/>
            <w:bottom w:val="single" w:sz="6" w:space="10" w:color="E8E4DC"/>
            <w:right w:val="none" w:sz="0" w:space="0" w:color="auto"/>
          </w:divBdr>
        </w:div>
        <w:div w:id="486478371">
          <w:marLeft w:val="0"/>
          <w:marRight w:val="0"/>
          <w:marTop w:val="0"/>
          <w:marBottom w:val="240"/>
          <w:divBdr>
            <w:top w:val="none" w:sz="0" w:space="0" w:color="auto"/>
            <w:left w:val="none" w:sz="0" w:space="0" w:color="auto"/>
            <w:bottom w:val="single" w:sz="6" w:space="10" w:color="E8E4DC"/>
            <w:right w:val="none" w:sz="0" w:space="0" w:color="auto"/>
          </w:divBdr>
        </w:div>
        <w:div w:id="1300962287">
          <w:marLeft w:val="0"/>
          <w:marRight w:val="0"/>
          <w:marTop w:val="0"/>
          <w:marBottom w:val="240"/>
          <w:divBdr>
            <w:top w:val="none" w:sz="0" w:space="0" w:color="auto"/>
            <w:left w:val="none" w:sz="0" w:space="0" w:color="auto"/>
            <w:bottom w:val="single" w:sz="6" w:space="10" w:color="E8E4DC"/>
            <w:right w:val="none" w:sz="0" w:space="0" w:color="auto"/>
          </w:divBdr>
        </w:div>
        <w:div w:id="1100838128">
          <w:marLeft w:val="0"/>
          <w:marRight w:val="0"/>
          <w:marTop w:val="0"/>
          <w:marBottom w:val="240"/>
          <w:divBdr>
            <w:top w:val="none" w:sz="0" w:space="0" w:color="auto"/>
            <w:left w:val="none" w:sz="0" w:space="0" w:color="auto"/>
            <w:bottom w:val="single" w:sz="6" w:space="10" w:color="E8E4DC"/>
            <w:right w:val="none" w:sz="0" w:space="0" w:color="auto"/>
          </w:divBdr>
        </w:div>
        <w:div w:id="1053505833">
          <w:marLeft w:val="0"/>
          <w:marRight w:val="0"/>
          <w:marTop w:val="0"/>
          <w:marBottom w:val="240"/>
          <w:divBdr>
            <w:top w:val="none" w:sz="0" w:space="0" w:color="auto"/>
            <w:left w:val="none" w:sz="0" w:space="0" w:color="auto"/>
            <w:bottom w:val="single" w:sz="6" w:space="10" w:color="E8E4DC"/>
            <w:right w:val="none" w:sz="0" w:space="0" w:color="auto"/>
          </w:divBdr>
        </w:div>
        <w:div w:id="1841433563">
          <w:marLeft w:val="0"/>
          <w:marRight w:val="0"/>
          <w:marTop w:val="0"/>
          <w:marBottom w:val="240"/>
          <w:divBdr>
            <w:top w:val="none" w:sz="0" w:space="0" w:color="auto"/>
            <w:left w:val="none" w:sz="0" w:space="0" w:color="auto"/>
            <w:bottom w:val="single" w:sz="6" w:space="10" w:color="E8E4DC"/>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103"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footer" Target="footer1.xml"/><Relationship Id="rId10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header" Target="header1.xml"/><Relationship Id="rId104"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119</Pages>
  <Words>29683</Words>
  <Characters>163258</Characters>
  <Application>Microsoft Office Word</Application>
  <DocSecurity>0</DocSecurity>
  <Lines>1360</Lines>
  <Paragraphs>385</Paragraphs>
  <ScaleCrop>false</ScaleCrop>
  <Company/>
  <LinksUpToDate>false</LinksUpToDate>
  <CharactersWithSpaces>192556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 système — Document C — L'architecture visuelle</dc:title>
  <dc:subject/>
  <dc:creator>Eric Messa</dc:creator>
  <cp:keywords/>
  <dc:description/>
  <cp:lastModifiedBy>Eric Messa</cp:lastModifiedBy>
  <cp:revision>2</cp:revision>
  <dcterms:created xsi:type="dcterms:W3CDTF">2026-10-05T12:16:00Z</dcterms:created>
  <dcterms:modified xsi:type="dcterms:W3CDTF">2026-10-05T12:16:00Z</dcterms:modified>
</cp:coreProperties>
</file>