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43E46C" w14:textId="547846A1" w:rsidR="009650FE" w:rsidRDefault="009650FE">
      <w:pPr>
        <w:divId w:val="2091389549"/>
        <w:rPr>
          <w:rFonts w:eastAsia="Times New Roman"/>
          <w:sz w:val="24"/>
          <w:lang w:val="en-GB"/>
        </w:rPr>
      </w:pPr>
      <w:r>
        <w:rPr>
          <w:rFonts w:eastAsia="Times New Roman"/>
          <w:lang w:val="en-GB"/>
        </w:rPr>
        <w:t xml:space="preserve">Language: </w:t>
      </w:r>
      <w:hyperlink r:id="rId7" w:history="1">
        <w:r>
          <w:rPr>
            <w:rStyle w:val="Hyperlink"/>
            <w:rFonts w:eastAsia="Times New Roman"/>
            <w:lang w:val="en-GB"/>
          </w:rPr>
          <w:t>NL</w:t>
        </w:r>
      </w:hyperlink>
      <w:r>
        <w:rPr>
          <w:rFonts w:eastAsia="Times New Roman"/>
          <w:lang w:val="en-GB"/>
        </w:rPr>
        <w:t xml:space="preserve"> </w:t>
      </w:r>
      <w:hyperlink r:id="rId8" w:history="1">
        <w:r>
          <w:rPr>
            <w:rStyle w:val="Hyperlink"/>
            <w:rFonts w:eastAsia="Times New Roman"/>
            <w:lang w:val="en-GB"/>
          </w:rPr>
          <w:t>DE</w:t>
        </w:r>
      </w:hyperlink>
      <w:r>
        <w:rPr>
          <w:rFonts w:eastAsia="Times New Roman"/>
          <w:lang w:val="en-GB"/>
        </w:rPr>
        <w:t xml:space="preserve"> </w:t>
      </w:r>
      <w:hyperlink r:id="rId9" w:history="1">
        <w:r>
          <w:rPr>
            <w:rStyle w:val="Hyperlink"/>
            <w:rFonts w:eastAsia="Times New Roman"/>
            <w:lang w:val="en-GB"/>
          </w:rPr>
          <w:t>EN</w:t>
        </w:r>
      </w:hyperlink>
      <w:r>
        <w:rPr>
          <w:rFonts w:eastAsia="Times New Roman"/>
          <w:lang w:val="en-GB"/>
        </w:rPr>
        <w:t xml:space="preserve"> </w:t>
      </w:r>
      <w:hyperlink r:id="rId10" w:history="1">
        <w:r>
          <w:rPr>
            <w:rStyle w:val="Hyperlink"/>
            <w:rFonts w:eastAsia="Times New Roman"/>
            <w:lang w:val="en-GB"/>
          </w:rPr>
          <w:t>FR</w:t>
        </w:r>
      </w:hyperlink>
      <w:r>
        <w:rPr>
          <w:rFonts w:eastAsia="Times New Roman"/>
          <w:lang w:val="en-GB"/>
        </w:rPr>
        <w:t xml:space="preserve"> </w:t>
      </w:r>
      <w:hyperlink r:id="rId11" w:history="1">
        <w:r>
          <w:rPr>
            <w:rStyle w:val="Hyperlink"/>
            <w:rFonts w:ascii="Cambria Math" w:eastAsia="Times New Roman" w:hAnsi="Cambria Math" w:cs="Cambria Math"/>
            <w:lang w:val="en-GB"/>
          </w:rPr>
          <w:t>⬇</w:t>
        </w:r>
        <w:r>
          <w:rPr>
            <w:rStyle w:val="Hyperlink"/>
            <w:rFonts w:eastAsia="Times New Roman"/>
            <w:lang w:val="en-GB"/>
          </w:rPr>
          <w:t xml:space="preserve"> PDF</w:t>
        </w:r>
      </w:hyperlink>
    </w:p>
    <w:p w14:paraId="2A9ED5F5" w14:textId="77777777" w:rsidR="009650FE" w:rsidRDefault="009650FE">
      <w:pPr>
        <w:spacing w:after="480"/>
        <w:jc w:val="center"/>
        <w:outlineLvl w:val="1"/>
        <w:divId w:val="1815246566"/>
        <w:rPr>
          <w:rFonts w:ascii="Aptos Display" w:eastAsia="Times New Roman" w:hAnsi="Aptos Display"/>
          <w:b/>
          <w:bCs/>
          <w:color w:val="4A3B6B"/>
          <w:kern w:val="36"/>
          <w:sz w:val="72"/>
          <w:szCs w:val="72"/>
          <w:lang w:val="en-GB"/>
        </w:rPr>
      </w:pPr>
      <w:r>
        <w:rPr>
          <w:rFonts w:ascii="Aptos Display" w:eastAsia="Times New Roman" w:hAnsi="Aptos Display"/>
          <w:b/>
          <w:bCs/>
          <w:color w:val="4A3B6B"/>
          <w:kern w:val="36"/>
          <w:sz w:val="72"/>
          <w:szCs w:val="72"/>
          <w:lang w:val="en-GB"/>
        </w:rPr>
        <w:t>System Audit</w:t>
      </w:r>
    </w:p>
    <w:p w14:paraId="2A82DFDD" w14:textId="77777777" w:rsidR="009650FE" w:rsidRDefault="009650FE">
      <w:pPr>
        <w:pStyle w:val="ondertitel2"/>
        <w:divId w:val="1815246566"/>
        <w:rPr>
          <w:lang w:val="en-GB"/>
        </w:rPr>
      </w:pPr>
      <w:r>
        <w:rPr>
          <w:lang w:val="en-GB"/>
        </w:rPr>
        <w:t>Cross-border jurisdictional vacuum in social security</w:t>
      </w:r>
    </w:p>
    <w:p w14:paraId="79D2DC2D" w14:textId="77777777" w:rsidR="009650FE" w:rsidRDefault="009650FE">
      <w:pPr>
        <w:pStyle w:val="documentaanduiding2"/>
        <w:divId w:val="1815246566"/>
        <w:rPr>
          <w:lang w:val="en-GB"/>
        </w:rPr>
      </w:pPr>
      <w:r>
        <w:rPr>
          <w:lang w:val="en-GB"/>
        </w:rPr>
        <w:t>Document C — The visual architecture</w:t>
      </w:r>
    </w:p>
    <w:p w14:paraId="2955A1B6" w14:textId="77777777" w:rsidR="009650FE" w:rsidRDefault="009650FE">
      <w:pPr>
        <w:pStyle w:val="auteur2"/>
        <w:divId w:val="1815246566"/>
        <w:rPr>
          <w:lang w:val="en-GB"/>
        </w:rPr>
      </w:pPr>
      <w:r>
        <w:rPr>
          <w:lang w:val="en-GB"/>
        </w:rPr>
        <w:t>Author: Eric Messa</w:t>
      </w:r>
    </w:p>
    <w:p w14:paraId="5529843B" w14:textId="77777777" w:rsidR="009650FE" w:rsidRDefault="009650FE">
      <w:pPr>
        <w:pStyle w:val="meta-lijn2"/>
        <w:divId w:val="1815246566"/>
        <w:rPr>
          <w:lang w:val="en-GB"/>
        </w:rPr>
      </w:pPr>
      <w:r>
        <w:rPr>
          <w:lang w:val="en-GB"/>
        </w:rPr>
        <w:t>Last updated: 1 October 2026, 13:02</w:t>
      </w:r>
    </w:p>
    <w:tbl>
      <w:tblPr>
        <w:tblW w:w="5000" w:type="pct"/>
        <w:tblCellMar>
          <w:top w:w="15" w:type="dxa"/>
          <w:left w:w="15" w:type="dxa"/>
          <w:bottom w:w="15" w:type="dxa"/>
          <w:right w:w="15" w:type="dxa"/>
        </w:tblCellMar>
        <w:tblLook w:val="04A0" w:firstRow="1" w:lastRow="0" w:firstColumn="1" w:lastColumn="0" w:noHBand="0" w:noVBand="1"/>
      </w:tblPr>
      <w:tblGrid>
        <w:gridCol w:w="9019"/>
      </w:tblGrid>
      <w:tr w:rsidR="00000000" w14:paraId="29682A52" w14:textId="77777777">
        <w:trPr>
          <w:divId w:val="953290302"/>
        </w:trPr>
        <w:tc>
          <w:tcPr>
            <w:tcW w:w="0" w:type="auto"/>
            <w:tcBorders>
              <w:top w:val="single" w:sz="6" w:space="0" w:color="D5D0C5"/>
              <w:left w:val="single" w:sz="36" w:space="0" w:color="E6A817"/>
              <w:bottom w:val="single" w:sz="6" w:space="0" w:color="D5D0C5"/>
              <w:right w:val="single" w:sz="6" w:space="0" w:color="D5D0C5"/>
            </w:tcBorders>
            <w:shd w:val="clear" w:color="auto" w:fill="FFF8E1"/>
            <w:tcMar>
              <w:top w:w="160" w:type="dxa"/>
              <w:left w:w="240" w:type="dxa"/>
              <w:bottom w:w="160" w:type="dxa"/>
              <w:right w:w="240" w:type="dxa"/>
            </w:tcMar>
            <w:hideMark/>
          </w:tcPr>
          <w:p w14:paraId="34C29F5B" w14:textId="77777777" w:rsidR="009650FE" w:rsidRDefault="009650FE">
            <w:pPr>
              <w:spacing w:before="240" w:after="240"/>
              <w:rPr>
                <w:rFonts w:eastAsia="Times New Roman"/>
                <w:color w:val="665500"/>
                <w:sz w:val="21"/>
                <w:szCs w:val="21"/>
              </w:rPr>
            </w:pPr>
            <w:r>
              <w:rPr>
                <w:rStyle w:val="Zwaar"/>
                <w:rFonts w:eastAsia="Times New Roman"/>
                <w:color w:val="665500"/>
                <w:sz w:val="21"/>
                <w:szCs w:val="21"/>
              </w:rPr>
              <w:t>Note on translation:</w:t>
            </w:r>
            <w:r>
              <w:rPr>
                <w:rFonts w:eastAsia="Times New Roman"/>
                <w:color w:val="665500"/>
                <w:sz w:val="21"/>
                <w:szCs w:val="21"/>
              </w:rPr>
              <w:t xml:space="preserve"> </w:t>
            </w:r>
            <w:r>
              <w:rPr>
                <w:rFonts w:eastAsia="Times New Roman"/>
                <w:color w:val="665500"/>
                <w:sz w:val="21"/>
                <w:szCs w:val="21"/>
              </w:rPr>
              <w:t>This document is a translation of the Dutch source version. As a result, it may contain minor translation errors or linguistic irregularities. In case of doubt, the Dutch text serves as the reference.</w:t>
            </w:r>
          </w:p>
        </w:tc>
      </w:tr>
    </w:tbl>
    <w:p w14:paraId="307DAAD7" w14:textId="77777777" w:rsidR="009650FE" w:rsidRDefault="009650FE">
      <w:pPr>
        <w:pStyle w:val="marker"/>
        <w:ind w:left="800" w:right="800"/>
        <w:divId w:val="953290302"/>
        <w:rPr>
          <w:lang w:val="en-GB"/>
        </w:rPr>
      </w:pPr>
      <w:r>
        <w:br w:type="page"/>
      </w:r>
    </w:p>
    <w:p w14:paraId="6B3E65F2" w14:textId="77777777" w:rsidR="009650FE" w:rsidRDefault="009650FE">
      <w:pPr>
        <w:pStyle w:val="Kop2"/>
        <w:divId w:val="863442105"/>
        <w:rPr>
          <w:rFonts w:eastAsia="Times New Roman"/>
          <w:lang w:val="en-GB"/>
        </w:rPr>
      </w:pPr>
      <w:bookmarkStart w:id="0" w:name="_Toc242103138"/>
      <w:r>
        <w:rPr>
          <w:rFonts w:eastAsia="Times New Roman"/>
          <w:lang w:val="en-GB"/>
        </w:rPr>
        <w:t>Table of Contents</w:t>
      </w:r>
      <w:bookmarkEnd w:id="0"/>
    </w:p>
    <w:p w14:paraId="1B88AAE4" w14:textId="2943CC32" w:rsidR="009650FE" w:rsidRDefault="009650FE" w:rsidP="009650FE">
      <w:pPr>
        <w:pStyle w:val="Inhopg2"/>
        <w:tabs>
          <w:tab w:val="right" w:leader="dot" w:pos="9062"/>
        </w:tabs>
        <w:divId w:val="863442105"/>
        <w:rPr>
          <w:rFonts w:asciiTheme="minorHAnsi" w:hAnsiTheme="minorHAnsi" w:cstheme="minorBidi"/>
          <w:noProof/>
          <w:kern w:val="2"/>
          <w:sz w:val="24"/>
          <w14:ligatures w14:val="standardContextual"/>
        </w:rPr>
      </w:pPr>
      <w:r>
        <w:rPr>
          <w:lang w:val="en-GB"/>
        </w:rPr>
        <w:fldChar w:fldCharType="begin"/>
      </w:r>
      <w:r>
        <w:rPr>
          <w:lang w:val="en-GB"/>
        </w:rPr>
        <w:instrText xml:space="preserve"> TOC \o "1-3" </w:instrText>
      </w:r>
      <w:r>
        <w:rPr>
          <w:lang w:val="en-GB"/>
        </w:rPr>
        <w:fldChar w:fldCharType="separate"/>
      </w:r>
      <w:r w:rsidRPr="0040793E">
        <w:rPr>
          <w:rFonts w:eastAsia="Times New Roman"/>
          <w:noProof/>
          <w:lang w:val="en-GB"/>
        </w:rPr>
        <w:t>Table of Contents</w:t>
      </w:r>
      <w:r>
        <w:rPr>
          <w:noProof/>
        </w:rPr>
        <w:tab/>
      </w:r>
      <w:r>
        <w:rPr>
          <w:noProof/>
        </w:rPr>
        <w:fldChar w:fldCharType="begin"/>
      </w:r>
      <w:r>
        <w:rPr>
          <w:noProof/>
        </w:rPr>
        <w:instrText xml:space="preserve"> PAGEREF _Toc242103138 \h </w:instrText>
      </w:r>
      <w:r>
        <w:rPr>
          <w:noProof/>
        </w:rPr>
      </w:r>
      <w:r>
        <w:rPr>
          <w:noProof/>
        </w:rPr>
        <w:fldChar w:fldCharType="separate"/>
      </w:r>
      <w:r>
        <w:rPr>
          <w:noProof/>
        </w:rPr>
        <w:t>2</w:t>
      </w:r>
      <w:r>
        <w:rPr>
          <w:noProof/>
        </w:rPr>
        <w:fldChar w:fldCharType="end"/>
      </w:r>
    </w:p>
    <w:p w14:paraId="6510AD31" w14:textId="4F6750C5" w:rsidR="009650FE" w:rsidRDefault="009650FE" w:rsidP="009650FE">
      <w:pPr>
        <w:pStyle w:val="Inhopg1"/>
        <w:tabs>
          <w:tab w:val="right" w:leader="dot" w:pos="9062"/>
        </w:tabs>
        <w:divId w:val="863442105"/>
        <w:rPr>
          <w:rFonts w:asciiTheme="minorHAnsi" w:hAnsiTheme="minorHAnsi" w:cstheme="minorBidi"/>
          <w:noProof/>
          <w:kern w:val="2"/>
          <w:sz w:val="24"/>
          <w14:ligatures w14:val="standardContextual"/>
        </w:rPr>
      </w:pPr>
      <w:r w:rsidRPr="0040793E">
        <w:rPr>
          <w:rFonts w:eastAsia="Times New Roman"/>
          <w:noProof/>
          <w:lang w:val="en-GB"/>
        </w:rPr>
        <w:t>Introduction and reading guide</w:t>
      </w:r>
      <w:r>
        <w:rPr>
          <w:noProof/>
        </w:rPr>
        <w:tab/>
      </w:r>
      <w:r>
        <w:rPr>
          <w:noProof/>
        </w:rPr>
        <w:fldChar w:fldCharType="begin"/>
      </w:r>
      <w:r>
        <w:rPr>
          <w:noProof/>
        </w:rPr>
        <w:instrText xml:space="preserve"> PAGEREF _Toc242103139 \h </w:instrText>
      </w:r>
      <w:r>
        <w:rPr>
          <w:noProof/>
        </w:rPr>
      </w:r>
      <w:r>
        <w:rPr>
          <w:noProof/>
        </w:rPr>
        <w:fldChar w:fldCharType="separate"/>
      </w:r>
      <w:r>
        <w:rPr>
          <w:noProof/>
        </w:rPr>
        <w:t>7</w:t>
      </w:r>
      <w:r>
        <w:rPr>
          <w:noProof/>
        </w:rPr>
        <w:fldChar w:fldCharType="end"/>
      </w:r>
    </w:p>
    <w:p w14:paraId="4BD10BC3" w14:textId="4E3D8B1F" w:rsidR="009650FE" w:rsidRDefault="009650FE" w:rsidP="009650FE">
      <w:pPr>
        <w:pStyle w:val="Inhopg2"/>
        <w:tabs>
          <w:tab w:val="right" w:leader="dot" w:pos="9062"/>
        </w:tabs>
        <w:divId w:val="863442105"/>
        <w:rPr>
          <w:rFonts w:asciiTheme="minorHAnsi" w:hAnsiTheme="minorHAnsi" w:cstheme="minorBidi"/>
          <w:noProof/>
          <w:kern w:val="2"/>
          <w:sz w:val="24"/>
          <w14:ligatures w14:val="standardContextual"/>
        </w:rPr>
      </w:pPr>
      <w:r w:rsidRPr="0040793E">
        <w:rPr>
          <w:rFonts w:eastAsia="Times New Roman"/>
          <w:noProof/>
          <w:lang w:val="en-GB"/>
        </w:rPr>
        <w:t>What this document is</w:t>
      </w:r>
      <w:r>
        <w:rPr>
          <w:noProof/>
        </w:rPr>
        <w:tab/>
      </w:r>
      <w:r>
        <w:rPr>
          <w:noProof/>
        </w:rPr>
        <w:fldChar w:fldCharType="begin"/>
      </w:r>
      <w:r>
        <w:rPr>
          <w:noProof/>
        </w:rPr>
        <w:instrText xml:space="preserve"> PAGEREF _Toc242103140 \h </w:instrText>
      </w:r>
      <w:r>
        <w:rPr>
          <w:noProof/>
        </w:rPr>
      </w:r>
      <w:r>
        <w:rPr>
          <w:noProof/>
        </w:rPr>
        <w:fldChar w:fldCharType="separate"/>
      </w:r>
      <w:r>
        <w:rPr>
          <w:noProof/>
        </w:rPr>
        <w:t>7</w:t>
      </w:r>
      <w:r>
        <w:rPr>
          <w:noProof/>
        </w:rPr>
        <w:fldChar w:fldCharType="end"/>
      </w:r>
    </w:p>
    <w:p w14:paraId="2DBD2550" w14:textId="51728021" w:rsidR="009650FE" w:rsidRDefault="009650FE" w:rsidP="009650FE">
      <w:pPr>
        <w:pStyle w:val="Inhopg2"/>
        <w:tabs>
          <w:tab w:val="right" w:leader="dot" w:pos="9062"/>
        </w:tabs>
        <w:divId w:val="863442105"/>
        <w:rPr>
          <w:rFonts w:asciiTheme="minorHAnsi" w:hAnsiTheme="minorHAnsi" w:cstheme="minorBidi"/>
          <w:noProof/>
          <w:kern w:val="2"/>
          <w:sz w:val="24"/>
          <w14:ligatures w14:val="standardContextual"/>
        </w:rPr>
      </w:pPr>
      <w:r w:rsidRPr="0040793E">
        <w:rPr>
          <w:rFonts w:eastAsia="Times New Roman"/>
          <w:noProof/>
          <w:lang w:val="en-GB"/>
        </w:rPr>
        <w:t>The difference compared with the other documents</w:t>
      </w:r>
      <w:r>
        <w:rPr>
          <w:noProof/>
        </w:rPr>
        <w:tab/>
      </w:r>
      <w:r>
        <w:rPr>
          <w:noProof/>
        </w:rPr>
        <w:fldChar w:fldCharType="begin"/>
      </w:r>
      <w:r>
        <w:rPr>
          <w:noProof/>
        </w:rPr>
        <w:instrText xml:space="preserve"> PAGEREF _Toc242103141 \h </w:instrText>
      </w:r>
      <w:r>
        <w:rPr>
          <w:noProof/>
        </w:rPr>
      </w:r>
      <w:r>
        <w:rPr>
          <w:noProof/>
        </w:rPr>
        <w:fldChar w:fldCharType="separate"/>
      </w:r>
      <w:r>
        <w:rPr>
          <w:noProof/>
        </w:rPr>
        <w:t>7</w:t>
      </w:r>
      <w:r>
        <w:rPr>
          <w:noProof/>
        </w:rPr>
        <w:fldChar w:fldCharType="end"/>
      </w:r>
    </w:p>
    <w:p w14:paraId="4C4D3000" w14:textId="45217F82" w:rsidR="009650FE" w:rsidRDefault="009650FE" w:rsidP="009650FE">
      <w:pPr>
        <w:pStyle w:val="Inhopg2"/>
        <w:tabs>
          <w:tab w:val="right" w:leader="dot" w:pos="9062"/>
        </w:tabs>
        <w:divId w:val="863442105"/>
        <w:rPr>
          <w:rFonts w:asciiTheme="minorHAnsi" w:hAnsiTheme="minorHAnsi" w:cstheme="minorBidi"/>
          <w:noProof/>
          <w:kern w:val="2"/>
          <w:sz w:val="24"/>
          <w14:ligatures w14:val="standardContextual"/>
        </w:rPr>
      </w:pPr>
      <w:r w:rsidRPr="0040793E">
        <w:rPr>
          <w:rFonts w:eastAsia="Times New Roman"/>
          <w:noProof/>
          <w:lang w:val="en-GB"/>
        </w:rPr>
        <w:t>Fixed grammar</w:t>
      </w:r>
      <w:r>
        <w:rPr>
          <w:noProof/>
        </w:rPr>
        <w:tab/>
      </w:r>
      <w:r>
        <w:rPr>
          <w:noProof/>
        </w:rPr>
        <w:fldChar w:fldCharType="begin"/>
      </w:r>
      <w:r>
        <w:rPr>
          <w:noProof/>
        </w:rPr>
        <w:instrText xml:space="preserve"> PAGEREF _Toc242103142 \h </w:instrText>
      </w:r>
      <w:r>
        <w:rPr>
          <w:noProof/>
        </w:rPr>
      </w:r>
      <w:r>
        <w:rPr>
          <w:noProof/>
        </w:rPr>
        <w:fldChar w:fldCharType="separate"/>
      </w:r>
      <w:r>
        <w:rPr>
          <w:noProof/>
        </w:rPr>
        <w:t>7</w:t>
      </w:r>
      <w:r>
        <w:rPr>
          <w:noProof/>
        </w:rPr>
        <w:fldChar w:fldCharType="end"/>
      </w:r>
    </w:p>
    <w:p w14:paraId="483743D8" w14:textId="0B792C09" w:rsidR="009650FE" w:rsidRDefault="009650FE" w:rsidP="009650FE">
      <w:pPr>
        <w:pStyle w:val="Inhopg3"/>
        <w:tabs>
          <w:tab w:val="right" w:leader="dot" w:pos="9062"/>
        </w:tabs>
        <w:divId w:val="863442105"/>
        <w:rPr>
          <w:rFonts w:asciiTheme="minorHAnsi" w:hAnsiTheme="minorHAnsi" w:cstheme="minorBidi"/>
          <w:noProof/>
          <w:kern w:val="2"/>
          <w:sz w:val="24"/>
          <w14:ligatures w14:val="standardContextual"/>
        </w:rPr>
      </w:pPr>
      <w:r w:rsidRPr="0040793E">
        <w:rPr>
          <w:rFonts w:eastAsia="Times New Roman"/>
          <w:noProof/>
          <w:lang w:val="en-GB"/>
        </w:rPr>
        <w:t>The Two Worlds</w:t>
      </w:r>
      <w:r>
        <w:rPr>
          <w:noProof/>
        </w:rPr>
        <w:tab/>
      </w:r>
      <w:r>
        <w:rPr>
          <w:noProof/>
        </w:rPr>
        <w:fldChar w:fldCharType="begin"/>
      </w:r>
      <w:r>
        <w:rPr>
          <w:noProof/>
        </w:rPr>
        <w:instrText xml:space="preserve"> PAGEREF _Toc242103143 \h </w:instrText>
      </w:r>
      <w:r>
        <w:rPr>
          <w:noProof/>
        </w:rPr>
      </w:r>
      <w:r>
        <w:rPr>
          <w:noProof/>
        </w:rPr>
        <w:fldChar w:fldCharType="separate"/>
      </w:r>
      <w:r>
        <w:rPr>
          <w:noProof/>
        </w:rPr>
        <w:t>7</w:t>
      </w:r>
      <w:r>
        <w:rPr>
          <w:noProof/>
        </w:rPr>
        <w:fldChar w:fldCharType="end"/>
      </w:r>
    </w:p>
    <w:p w14:paraId="0B329920" w14:textId="5C3318DC" w:rsidR="009650FE" w:rsidRDefault="009650FE" w:rsidP="009650FE">
      <w:pPr>
        <w:pStyle w:val="Inhopg3"/>
        <w:tabs>
          <w:tab w:val="right" w:leader="dot" w:pos="9062"/>
        </w:tabs>
        <w:divId w:val="863442105"/>
        <w:rPr>
          <w:rFonts w:asciiTheme="minorHAnsi" w:hAnsiTheme="minorHAnsi" w:cstheme="minorBidi"/>
          <w:noProof/>
          <w:kern w:val="2"/>
          <w:sz w:val="24"/>
          <w14:ligatures w14:val="standardContextual"/>
        </w:rPr>
      </w:pPr>
      <w:r w:rsidRPr="0040793E">
        <w:rPr>
          <w:rFonts w:eastAsia="Times New Roman"/>
          <w:noProof/>
          <w:lang w:val="en-GB"/>
        </w:rPr>
        <w:t>The membrane</w:t>
      </w:r>
      <w:r>
        <w:rPr>
          <w:noProof/>
        </w:rPr>
        <w:tab/>
      </w:r>
      <w:r>
        <w:rPr>
          <w:noProof/>
        </w:rPr>
        <w:fldChar w:fldCharType="begin"/>
      </w:r>
      <w:r>
        <w:rPr>
          <w:noProof/>
        </w:rPr>
        <w:instrText xml:space="preserve"> PAGEREF _Toc242103144 \h </w:instrText>
      </w:r>
      <w:r>
        <w:rPr>
          <w:noProof/>
        </w:rPr>
      </w:r>
      <w:r>
        <w:rPr>
          <w:noProof/>
        </w:rPr>
        <w:fldChar w:fldCharType="separate"/>
      </w:r>
      <w:r>
        <w:rPr>
          <w:noProof/>
        </w:rPr>
        <w:t>8</w:t>
      </w:r>
      <w:r>
        <w:rPr>
          <w:noProof/>
        </w:rPr>
        <w:fldChar w:fldCharType="end"/>
      </w:r>
    </w:p>
    <w:p w14:paraId="2F292A6E" w14:textId="10DB2004" w:rsidR="009650FE" w:rsidRDefault="009650FE" w:rsidP="009650FE">
      <w:pPr>
        <w:pStyle w:val="Inhopg3"/>
        <w:tabs>
          <w:tab w:val="right" w:leader="dot" w:pos="9062"/>
        </w:tabs>
        <w:divId w:val="863442105"/>
        <w:rPr>
          <w:rFonts w:asciiTheme="minorHAnsi" w:hAnsiTheme="minorHAnsi" w:cstheme="minorBidi"/>
          <w:noProof/>
          <w:kern w:val="2"/>
          <w:sz w:val="24"/>
          <w14:ligatures w14:val="standardContextual"/>
        </w:rPr>
      </w:pPr>
      <w:r w:rsidRPr="0040793E">
        <w:rPr>
          <w:rFonts w:eastAsia="Times New Roman"/>
          <w:noProof/>
          <w:lang w:val="en-GB"/>
        </w:rPr>
        <w:t>The three channels</w:t>
      </w:r>
      <w:r>
        <w:rPr>
          <w:noProof/>
        </w:rPr>
        <w:tab/>
      </w:r>
      <w:r>
        <w:rPr>
          <w:noProof/>
        </w:rPr>
        <w:fldChar w:fldCharType="begin"/>
      </w:r>
      <w:r>
        <w:rPr>
          <w:noProof/>
        </w:rPr>
        <w:instrText xml:space="preserve"> PAGEREF _Toc242103145 \h </w:instrText>
      </w:r>
      <w:r>
        <w:rPr>
          <w:noProof/>
        </w:rPr>
      </w:r>
      <w:r>
        <w:rPr>
          <w:noProof/>
        </w:rPr>
        <w:fldChar w:fldCharType="separate"/>
      </w:r>
      <w:r>
        <w:rPr>
          <w:noProof/>
        </w:rPr>
        <w:t>8</w:t>
      </w:r>
      <w:r>
        <w:rPr>
          <w:noProof/>
        </w:rPr>
        <w:fldChar w:fldCharType="end"/>
      </w:r>
    </w:p>
    <w:p w14:paraId="594D9494" w14:textId="560A66D9" w:rsidR="009650FE" w:rsidRDefault="009650FE" w:rsidP="009650FE">
      <w:pPr>
        <w:pStyle w:val="Inhopg3"/>
        <w:tabs>
          <w:tab w:val="right" w:leader="dot" w:pos="9062"/>
        </w:tabs>
        <w:divId w:val="863442105"/>
        <w:rPr>
          <w:rFonts w:asciiTheme="minorHAnsi" w:hAnsiTheme="minorHAnsi" w:cstheme="minorBidi"/>
          <w:noProof/>
          <w:kern w:val="2"/>
          <w:sz w:val="24"/>
          <w14:ligatures w14:val="standardContextual"/>
        </w:rPr>
      </w:pPr>
      <w:r w:rsidRPr="0040793E">
        <w:rPr>
          <w:rFonts w:eastAsia="Times New Roman"/>
          <w:noProof/>
          <w:lang w:val="en-GB"/>
        </w:rPr>
        <w:t>The colours</w:t>
      </w:r>
      <w:r>
        <w:rPr>
          <w:noProof/>
        </w:rPr>
        <w:tab/>
      </w:r>
      <w:r>
        <w:rPr>
          <w:noProof/>
        </w:rPr>
        <w:fldChar w:fldCharType="begin"/>
      </w:r>
      <w:r>
        <w:rPr>
          <w:noProof/>
        </w:rPr>
        <w:instrText xml:space="preserve"> PAGEREF _Toc242103146 \h </w:instrText>
      </w:r>
      <w:r>
        <w:rPr>
          <w:noProof/>
        </w:rPr>
      </w:r>
      <w:r>
        <w:rPr>
          <w:noProof/>
        </w:rPr>
        <w:fldChar w:fldCharType="separate"/>
      </w:r>
      <w:r>
        <w:rPr>
          <w:noProof/>
        </w:rPr>
        <w:t>8</w:t>
      </w:r>
      <w:r>
        <w:rPr>
          <w:noProof/>
        </w:rPr>
        <w:fldChar w:fldCharType="end"/>
      </w:r>
    </w:p>
    <w:p w14:paraId="1049CAB5" w14:textId="525E186C" w:rsidR="009650FE" w:rsidRDefault="009650FE" w:rsidP="009650FE">
      <w:pPr>
        <w:pStyle w:val="Inhopg2"/>
        <w:tabs>
          <w:tab w:val="right" w:leader="dot" w:pos="9062"/>
        </w:tabs>
        <w:divId w:val="863442105"/>
        <w:rPr>
          <w:rFonts w:asciiTheme="minorHAnsi" w:hAnsiTheme="minorHAnsi" w:cstheme="minorBidi"/>
          <w:noProof/>
          <w:kern w:val="2"/>
          <w:sz w:val="24"/>
          <w14:ligatures w14:val="standardContextual"/>
        </w:rPr>
      </w:pPr>
      <w:r w:rsidRPr="0040793E">
        <w:rPr>
          <w:rFonts w:eastAsia="Times New Roman"/>
          <w:noProof/>
          <w:lang w:val="en-GB"/>
        </w:rPr>
        <w:t>The structure of this document</w:t>
      </w:r>
      <w:r>
        <w:rPr>
          <w:noProof/>
        </w:rPr>
        <w:tab/>
      </w:r>
      <w:r>
        <w:rPr>
          <w:noProof/>
        </w:rPr>
        <w:fldChar w:fldCharType="begin"/>
      </w:r>
      <w:r>
        <w:rPr>
          <w:noProof/>
        </w:rPr>
        <w:instrText xml:space="preserve"> PAGEREF _Toc242103147 \h </w:instrText>
      </w:r>
      <w:r>
        <w:rPr>
          <w:noProof/>
        </w:rPr>
      </w:r>
      <w:r>
        <w:rPr>
          <w:noProof/>
        </w:rPr>
        <w:fldChar w:fldCharType="separate"/>
      </w:r>
      <w:r>
        <w:rPr>
          <w:noProof/>
        </w:rPr>
        <w:t>8</w:t>
      </w:r>
      <w:r>
        <w:rPr>
          <w:noProof/>
        </w:rPr>
        <w:fldChar w:fldCharType="end"/>
      </w:r>
    </w:p>
    <w:p w14:paraId="79F24C87" w14:textId="41773D52" w:rsidR="009650FE" w:rsidRDefault="009650FE" w:rsidP="009650FE">
      <w:pPr>
        <w:pStyle w:val="Inhopg2"/>
        <w:tabs>
          <w:tab w:val="right" w:leader="dot" w:pos="9062"/>
        </w:tabs>
        <w:divId w:val="863442105"/>
        <w:rPr>
          <w:rFonts w:asciiTheme="minorHAnsi" w:hAnsiTheme="minorHAnsi" w:cstheme="minorBidi"/>
          <w:noProof/>
          <w:kern w:val="2"/>
          <w:sz w:val="24"/>
          <w14:ligatures w14:val="standardContextual"/>
        </w:rPr>
      </w:pPr>
      <w:r w:rsidRPr="0040793E">
        <w:rPr>
          <w:rFonts w:eastAsia="Times New Roman"/>
          <w:noProof/>
          <w:lang w:val="en-GB"/>
        </w:rPr>
        <w:t>How to read it</w:t>
      </w:r>
      <w:r>
        <w:rPr>
          <w:noProof/>
        </w:rPr>
        <w:tab/>
      </w:r>
      <w:r>
        <w:rPr>
          <w:noProof/>
        </w:rPr>
        <w:fldChar w:fldCharType="begin"/>
      </w:r>
      <w:r>
        <w:rPr>
          <w:noProof/>
        </w:rPr>
        <w:instrText xml:space="preserve"> PAGEREF _Toc242103148 \h </w:instrText>
      </w:r>
      <w:r>
        <w:rPr>
          <w:noProof/>
        </w:rPr>
      </w:r>
      <w:r>
        <w:rPr>
          <w:noProof/>
        </w:rPr>
        <w:fldChar w:fldCharType="separate"/>
      </w:r>
      <w:r>
        <w:rPr>
          <w:noProof/>
        </w:rPr>
        <w:t>9</w:t>
      </w:r>
      <w:r>
        <w:rPr>
          <w:noProof/>
        </w:rPr>
        <w:fldChar w:fldCharType="end"/>
      </w:r>
    </w:p>
    <w:p w14:paraId="5F6EE1E2" w14:textId="2BCD4655" w:rsidR="009650FE" w:rsidRDefault="009650FE" w:rsidP="009650FE">
      <w:pPr>
        <w:pStyle w:val="Inhopg2"/>
        <w:tabs>
          <w:tab w:val="right" w:leader="dot" w:pos="9062"/>
        </w:tabs>
        <w:divId w:val="863442105"/>
        <w:rPr>
          <w:rFonts w:asciiTheme="minorHAnsi" w:hAnsiTheme="minorHAnsi" w:cstheme="minorBidi"/>
          <w:noProof/>
          <w:kern w:val="2"/>
          <w:sz w:val="24"/>
          <w14:ligatures w14:val="standardContextual"/>
        </w:rPr>
      </w:pPr>
      <w:r w:rsidRPr="0040793E">
        <w:rPr>
          <w:rFonts w:eastAsia="Times New Roman"/>
          <w:noProof/>
          <w:lang w:val="en-GB"/>
        </w:rPr>
        <w:t>What the reader can expect</w:t>
      </w:r>
      <w:r>
        <w:rPr>
          <w:noProof/>
        </w:rPr>
        <w:tab/>
      </w:r>
      <w:r>
        <w:rPr>
          <w:noProof/>
        </w:rPr>
        <w:fldChar w:fldCharType="begin"/>
      </w:r>
      <w:r>
        <w:rPr>
          <w:noProof/>
        </w:rPr>
        <w:instrText xml:space="preserve"> PAGEREF _Toc242103149 \h </w:instrText>
      </w:r>
      <w:r>
        <w:rPr>
          <w:noProof/>
        </w:rPr>
      </w:r>
      <w:r>
        <w:rPr>
          <w:noProof/>
        </w:rPr>
        <w:fldChar w:fldCharType="separate"/>
      </w:r>
      <w:r>
        <w:rPr>
          <w:noProof/>
        </w:rPr>
        <w:t>9</w:t>
      </w:r>
      <w:r>
        <w:rPr>
          <w:noProof/>
        </w:rPr>
        <w:fldChar w:fldCharType="end"/>
      </w:r>
    </w:p>
    <w:p w14:paraId="3BDC8B45" w14:textId="02A776AC" w:rsidR="009650FE" w:rsidRDefault="009650FE" w:rsidP="009650FE">
      <w:pPr>
        <w:pStyle w:val="Inhopg2"/>
        <w:tabs>
          <w:tab w:val="right" w:leader="dot" w:pos="9062"/>
        </w:tabs>
        <w:divId w:val="863442105"/>
        <w:rPr>
          <w:rFonts w:asciiTheme="minorHAnsi" w:hAnsiTheme="minorHAnsi" w:cstheme="minorBidi"/>
          <w:noProof/>
          <w:kern w:val="2"/>
          <w:sz w:val="24"/>
          <w14:ligatures w14:val="standardContextual"/>
        </w:rPr>
      </w:pPr>
      <w:r w:rsidRPr="0040793E">
        <w:rPr>
          <w:rFonts w:eastAsia="Times New Roman"/>
          <w:noProof/>
          <w:lang w:val="en-GB"/>
        </w:rPr>
        <w:t>The position of Document C within the whole</w:t>
      </w:r>
      <w:r>
        <w:rPr>
          <w:noProof/>
        </w:rPr>
        <w:tab/>
      </w:r>
      <w:r>
        <w:rPr>
          <w:noProof/>
        </w:rPr>
        <w:fldChar w:fldCharType="begin"/>
      </w:r>
      <w:r>
        <w:rPr>
          <w:noProof/>
        </w:rPr>
        <w:instrText xml:space="preserve"> PAGEREF _Toc242103150 \h </w:instrText>
      </w:r>
      <w:r>
        <w:rPr>
          <w:noProof/>
        </w:rPr>
      </w:r>
      <w:r>
        <w:rPr>
          <w:noProof/>
        </w:rPr>
        <w:fldChar w:fldCharType="separate"/>
      </w:r>
      <w:r>
        <w:rPr>
          <w:noProof/>
        </w:rPr>
        <w:t>9</w:t>
      </w:r>
      <w:r>
        <w:rPr>
          <w:noProof/>
        </w:rPr>
        <w:fldChar w:fldCharType="end"/>
      </w:r>
    </w:p>
    <w:p w14:paraId="16D7ACB0" w14:textId="347F4E91" w:rsidR="009650FE" w:rsidRDefault="009650FE" w:rsidP="009650FE">
      <w:pPr>
        <w:pStyle w:val="Inhopg1"/>
        <w:tabs>
          <w:tab w:val="right" w:leader="dot" w:pos="9062"/>
        </w:tabs>
        <w:divId w:val="863442105"/>
        <w:rPr>
          <w:rFonts w:asciiTheme="minorHAnsi" w:hAnsiTheme="minorHAnsi" w:cstheme="minorBidi"/>
          <w:noProof/>
          <w:kern w:val="2"/>
          <w:sz w:val="24"/>
          <w14:ligatures w14:val="standardContextual"/>
        </w:rPr>
      </w:pPr>
      <w:r w:rsidRPr="0040793E">
        <w:rPr>
          <w:rFonts w:eastAsia="Times New Roman"/>
          <w:noProof/>
          <w:lang w:val="en-GB"/>
        </w:rPr>
        <w:t>I. Human beings</w:t>
      </w:r>
      <w:r>
        <w:rPr>
          <w:noProof/>
        </w:rPr>
        <w:tab/>
      </w:r>
      <w:r>
        <w:rPr>
          <w:noProof/>
        </w:rPr>
        <w:fldChar w:fldCharType="begin"/>
      </w:r>
      <w:r>
        <w:rPr>
          <w:noProof/>
        </w:rPr>
        <w:instrText xml:space="preserve"> PAGEREF _Toc242103151 \h </w:instrText>
      </w:r>
      <w:r>
        <w:rPr>
          <w:noProof/>
        </w:rPr>
      </w:r>
      <w:r>
        <w:rPr>
          <w:noProof/>
        </w:rPr>
        <w:fldChar w:fldCharType="separate"/>
      </w:r>
      <w:r>
        <w:rPr>
          <w:noProof/>
        </w:rPr>
        <w:t>11</w:t>
      </w:r>
      <w:r>
        <w:rPr>
          <w:noProof/>
        </w:rPr>
        <w:fldChar w:fldCharType="end"/>
      </w:r>
    </w:p>
    <w:p w14:paraId="6B088E83" w14:textId="02A3E156" w:rsidR="009650FE" w:rsidRDefault="009650FE" w:rsidP="009650FE">
      <w:pPr>
        <w:pStyle w:val="Inhopg2"/>
        <w:tabs>
          <w:tab w:val="right" w:leader="dot" w:pos="9062"/>
        </w:tabs>
        <w:divId w:val="863442105"/>
        <w:rPr>
          <w:rFonts w:asciiTheme="minorHAnsi" w:hAnsiTheme="minorHAnsi" w:cstheme="minorBidi"/>
          <w:noProof/>
          <w:kern w:val="2"/>
          <w:sz w:val="24"/>
          <w14:ligatures w14:val="standardContextual"/>
        </w:rPr>
      </w:pPr>
      <w:r w:rsidRPr="0040793E">
        <w:rPr>
          <w:rFonts w:eastAsia="Times New Roman"/>
          <w:noProof/>
          <w:lang w:val="en-GB"/>
        </w:rPr>
        <w:t>The presentation</w:t>
      </w:r>
      <w:r>
        <w:rPr>
          <w:noProof/>
        </w:rPr>
        <w:tab/>
      </w:r>
      <w:r>
        <w:rPr>
          <w:noProof/>
        </w:rPr>
        <w:fldChar w:fldCharType="begin"/>
      </w:r>
      <w:r>
        <w:rPr>
          <w:noProof/>
        </w:rPr>
        <w:instrText xml:space="preserve"> PAGEREF _Toc242103152 \h </w:instrText>
      </w:r>
      <w:r>
        <w:rPr>
          <w:noProof/>
        </w:rPr>
      </w:r>
      <w:r>
        <w:rPr>
          <w:noProof/>
        </w:rPr>
        <w:fldChar w:fldCharType="separate"/>
      </w:r>
      <w:r>
        <w:rPr>
          <w:noProof/>
        </w:rPr>
        <w:t>11</w:t>
      </w:r>
      <w:r>
        <w:rPr>
          <w:noProof/>
        </w:rPr>
        <w:fldChar w:fldCharType="end"/>
      </w:r>
    </w:p>
    <w:p w14:paraId="425028BB" w14:textId="30AC6981" w:rsidR="009650FE" w:rsidRDefault="009650FE" w:rsidP="009650FE">
      <w:pPr>
        <w:pStyle w:val="Inhopg3"/>
        <w:tabs>
          <w:tab w:val="right" w:leader="dot" w:pos="9062"/>
        </w:tabs>
        <w:divId w:val="863442105"/>
        <w:rPr>
          <w:rFonts w:asciiTheme="minorHAnsi" w:hAnsiTheme="minorHAnsi" w:cstheme="minorBidi"/>
          <w:noProof/>
          <w:kern w:val="2"/>
          <w:sz w:val="24"/>
          <w14:ligatures w14:val="standardContextual"/>
        </w:rPr>
      </w:pPr>
      <w:r w:rsidRPr="0040793E">
        <w:rPr>
          <w:rFonts w:eastAsia="Times New Roman"/>
          <w:noProof/>
          <w:lang w:val="en-GB"/>
        </w:rPr>
        <w:t>Part I-A — The structure</w:t>
      </w:r>
      <w:r>
        <w:rPr>
          <w:noProof/>
        </w:rPr>
        <w:tab/>
      </w:r>
      <w:r>
        <w:rPr>
          <w:noProof/>
        </w:rPr>
        <w:fldChar w:fldCharType="begin"/>
      </w:r>
      <w:r>
        <w:rPr>
          <w:noProof/>
        </w:rPr>
        <w:instrText xml:space="preserve"> PAGEREF _Toc242103153 \h </w:instrText>
      </w:r>
      <w:r>
        <w:rPr>
          <w:noProof/>
        </w:rPr>
      </w:r>
      <w:r>
        <w:rPr>
          <w:noProof/>
        </w:rPr>
        <w:fldChar w:fldCharType="separate"/>
      </w:r>
      <w:r>
        <w:rPr>
          <w:noProof/>
        </w:rPr>
        <w:t>11</w:t>
      </w:r>
      <w:r>
        <w:rPr>
          <w:noProof/>
        </w:rPr>
        <w:fldChar w:fldCharType="end"/>
      </w:r>
    </w:p>
    <w:p w14:paraId="18377291" w14:textId="0CFEA810" w:rsidR="009650FE" w:rsidRDefault="009650FE" w:rsidP="009650FE">
      <w:pPr>
        <w:pStyle w:val="Inhopg3"/>
        <w:tabs>
          <w:tab w:val="right" w:leader="dot" w:pos="9062"/>
        </w:tabs>
        <w:divId w:val="863442105"/>
        <w:rPr>
          <w:rFonts w:asciiTheme="minorHAnsi" w:hAnsiTheme="minorHAnsi" w:cstheme="minorBidi"/>
          <w:noProof/>
          <w:kern w:val="2"/>
          <w:sz w:val="24"/>
          <w14:ligatures w14:val="standardContextual"/>
        </w:rPr>
      </w:pPr>
      <w:r w:rsidRPr="0040793E">
        <w:rPr>
          <w:rFonts w:eastAsia="Times New Roman"/>
          <w:noProof/>
          <w:lang w:val="en-GB"/>
        </w:rPr>
        <w:t>Part I-B — The key players</w:t>
      </w:r>
      <w:r>
        <w:rPr>
          <w:noProof/>
        </w:rPr>
        <w:tab/>
      </w:r>
      <w:r>
        <w:rPr>
          <w:noProof/>
        </w:rPr>
        <w:fldChar w:fldCharType="begin"/>
      </w:r>
      <w:r>
        <w:rPr>
          <w:noProof/>
        </w:rPr>
        <w:instrText xml:space="preserve"> PAGEREF _Toc242103154 \h </w:instrText>
      </w:r>
      <w:r>
        <w:rPr>
          <w:noProof/>
        </w:rPr>
      </w:r>
      <w:r>
        <w:rPr>
          <w:noProof/>
        </w:rPr>
        <w:fldChar w:fldCharType="separate"/>
      </w:r>
      <w:r>
        <w:rPr>
          <w:noProof/>
        </w:rPr>
        <w:t>13</w:t>
      </w:r>
      <w:r>
        <w:rPr>
          <w:noProof/>
        </w:rPr>
        <w:fldChar w:fldCharType="end"/>
      </w:r>
    </w:p>
    <w:p w14:paraId="2232D5FB" w14:textId="0996773A" w:rsidR="009650FE" w:rsidRDefault="009650FE" w:rsidP="009650FE">
      <w:pPr>
        <w:pStyle w:val="Inhopg3"/>
        <w:tabs>
          <w:tab w:val="right" w:leader="dot" w:pos="9062"/>
        </w:tabs>
        <w:divId w:val="863442105"/>
        <w:rPr>
          <w:rFonts w:asciiTheme="minorHAnsi" w:hAnsiTheme="minorHAnsi" w:cstheme="minorBidi"/>
          <w:noProof/>
          <w:kern w:val="2"/>
          <w:sz w:val="24"/>
          <w14:ligatures w14:val="standardContextual"/>
        </w:rPr>
      </w:pPr>
      <w:r w:rsidRPr="0040793E">
        <w:rPr>
          <w:rFonts w:eastAsia="Times New Roman"/>
          <w:noProof/>
          <w:lang w:val="en-GB"/>
        </w:rPr>
        <w:t>Part I-C — The relationships</w:t>
      </w:r>
      <w:r>
        <w:rPr>
          <w:noProof/>
        </w:rPr>
        <w:tab/>
      </w:r>
      <w:r>
        <w:rPr>
          <w:noProof/>
        </w:rPr>
        <w:fldChar w:fldCharType="begin"/>
      </w:r>
      <w:r>
        <w:rPr>
          <w:noProof/>
        </w:rPr>
        <w:instrText xml:space="preserve"> PAGEREF _Toc242103155 \h </w:instrText>
      </w:r>
      <w:r>
        <w:rPr>
          <w:noProof/>
        </w:rPr>
      </w:r>
      <w:r>
        <w:rPr>
          <w:noProof/>
        </w:rPr>
        <w:fldChar w:fldCharType="separate"/>
      </w:r>
      <w:r>
        <w:rPr>
          <w:noProof/>
        </w:rPr>
        <w:t>22</w:t>
      </w:r>
      <w:r>
        <w:rPr>
          <w:noProof/>
        </w:rPr>
        <w:fldChar w:fldCharType="end"/>
      </w:r>
    </w:p>
    <w:p w14:paraId="1347C598" w14:textId="5D669314" w:rsidR="009650FE" w:rsidRDefault="009650FE" w:rsidP="009650FE">
      <w:pPr>
        <w:pStyle w:val="Inhopg2"/>
        <w:tabs>
          <w:tab w:val="right" w:leader="dot" w:pos="9062"/>
        </w:tabs>
        <w:divId w:val="863442105"/>
        <w:rPr>
          <w:rFonts w:asciiTheme="minorHAnsi" w:hAnsiTheme="minorHAnsi" w:cstheme="minorBidi"/>
          <w:noProof/>
          <w:kern w:val="2"/>
          <w:sz w:val="24"/>
          <w14:ligatures w14:val="standardContextual"/>
        </w:rPr>
      </w:pPr>
      <w:r w:rsidRPr="0040793E">
        <w:rPr>
          <w:rFonts w:eastAsia="Times New Roman"/>
          <w:noProof/>
          <w:lang w:val="en-GB"/>
        </w:rPr>
        <w:t>The cascade</w:t>
      </w:r>
      <w:r>
        <w:rPr>
          <w:noProof/>
        </w:rPr>
        <w:tab/>
      </w:r>
      <w:r>
        <w:rPr>
          <w:noProof/>
        </w:rPr>
        <w:fldChar w:fldCharType="begin"/>
      </w:r>
      <w:r>
        <w:rPr>
          <w:noProof/>
        </w:rPr>
        <w:instrText xml:space="preserve"> PAGEREF _Toc242103156 \h </w:instrText>
      </w:r>
      <w:r>
        <w:rPr>
          <w:noProof/>
        </w:rPr>
      </w:r>
      <w:r>
        <w:rPr>
          <w:noProof/>
        </w:rPr>
        <w:fldChar w:fldCharType="separate"/>
      </w:r>
      <w:r>
        <w:rPr>
          <w:noProof/>
        </w:rPr>
        <w:t>26</w:t>
      </w:r>
      <w:r>
        <w:rPr>
          <w:noProof/>
        </w:rPr>
        <w:fldChar w:fldCharType="end"/>
      </w:r>
    </w:p>
    <w:p w14:paraId="43740FAA" w14:textId="26935DDF" w:rsidR="009650FE" w:rsidRDefault="009650FE" w:rsidP="009650FE">
      <w:pPr>
        <w:pStyle w:val="Inhopg3"/>
        <w:tabs>
          <w:tab w:val="right" w:leader="dot" w:pos="9062"/>
        </w:tabs>
        <w:divId w:val="863442105"/>
        <w:rPr>
          <w:rFonts w:asciiTheme="minorHAnsi" w:hAnsiTheme="minorHAnsi" w:cstheme="minorBidi"/>
          <w:noProof/>
          <w:kern w:val="2"/>
          <w:sz w:val="24"/>
          <w14:ligatures w14:val="standardContextual"/>
        </w:rPr>
      </w:pPr>
      <w:r w:rsidRPr="0040793E">
        <w:rPr>
          <w:rFonts w:eastAsia="Times New Roman"/>
          <w:noProof/>
          <w:lang w:val="en-GB"/>
        </w:rPr>
        <w:t>Frame 1 — The trigger</w:t>
      </w:r>
      <w:r>
        <w:rPr>
          <w:noProof/>
        </w:rPr>
        <w:tab/>
      </w:r>
      <w:r>
        <w:rPr>
          <w:noProof/>
        </w:rPr>
        <w:fldChar w:fldCharType="begin"/>
      </w:r>
      <w:r>
        <w:rPr>
          <w:noProof/>
        </w:rPr>
        <w:instrText xml:space="preserve"> PAGEREF _Toc242103157 \h </w:instrText>
      </w:r>
      <w:r>
        <w:rPr>
          <w:noProof/>
        </w:rPr>
      </w:r>
      <w:r>
        <w:rPr>
          <w:noProof/>
        </w:rPr>
        <w:fldChar w:fldCharType="separate"/>
      </w:r>
      <w:r>
        <w:rPr>
          <w:noProof/>
        </w:rPr>
        <w:t>26</w:t>
      </w:r>
      <w:r>
        <w:rPr>
          <w:noProof/>
        </w:rPr>
        <w:fldChar w:fldCharType="end"/>
      </w:r>
    </w:p>
    <w:p w14:paraId="5689D67B" w14:textId="6BAB021E" w:rsidR="009650FE" w:rsidRDefault="009650FE" w:rsidP="009650FE">
      <w:pPr>
        <w:pStyle w:val="Inhopg3"/>
        <w:tabs>
          <w:tab w:val="right" w:leader="dot" w:pos="9062"/>
        </w:tabs>
        <w:divId w:val="863442105"/>
        <w:rPr>
          <w:rFonts w:asciiTheme="minorHAnsi" w:hAnsiTheme="minorHAnsi" w:cstheme="minorBidi"/>
          <w:noProof/>
          <w:kern w:val="2"/>
          <w:sz w:val="24"/>
          <w14:ligatures w14:val="standardContextual"/>
        </w:rPr>
      </w:pPr>
      <w:r w:rsidRPr="0040793E">
        <w:rPr>
          <w:rFonts w:eastAsia="Times New Roman"/>
          <w:noProof/>
          <w:lang w:val="en-GB"/>
        </w:rPr>
        <w:t>Frame 2 — What keeps flowing</w:t>
      </w:r>
      <w:r>
        <w:rPr>
          <w:noProof/>
        </w:rPr>
        <w:tab/>
      </w:r>
      <w:r>
        <w:rPr>
          <w:noProof/>
        </w:rPr>
        <w:fldChar w:fldCharType="begin"/>
      </w:r>
      <w:r>
        <w:rPr>
          <w:noProof/>
        </w:rPr>
        <w:instrText xml:space="preserve"> PAGEREF _Toc242103158 \h </w:instrText>
      </w:r>
      <w:r>
        <w:rPr>
          <w:noProof/>
        </w:rPr>
      </w:r>
      <w:r>
        <w:rPr>
          <w:noProof/>
        </w:rPr>
        <w:fldChar w:fldCharType="separate"/>
      </w:r>
      <w:r>
        <w:rPr>
          <w:noProof/>
        </w:rPr>
        <w:t>26</w:t>
      </w:r>
      <w:r>
        <w:rPr>
          <w:noProof/>
        </w:rPr>
        <w:fldChar w:fldCharType="end"/>
      </w:r>
    </w:p>
    <w:p w14:paraId="00F611D7" w14:textId="378E1D54" w:rsidR="009650FE" w:rsidRDefault="009650FE" w:rsidP="009650FE">
      <w:pPr>
        <w:pStyle w:val="Inhopg3"/>
        <w:tabs>
          <w:tab w:val="right" w:leader="dot" w:pos="9062"/>
        </w:tabs>
        <w:divId w:val="863442105"/>
        <w:rPr>
          <w:rFonts w:asciiTheme="minorHAnsi" w:hAnsiTheme="minorHAnsi" w:cstheme="minorBidi"/>
          <w:noProof/>
          <w:kern w:val="2"/>
          <w:sz w:val="24"/>
          <w14:ligatures w14:val="standardContextual"/>
        </w:rPr>
      </w:pPr>
      <w:r w:rsidRPr="0040793E">
        <w:rPr>
          <w:rFonts w:eastAsia="Times New Roman"/>
          <w:noProof/>
          <w:lang w:val="en-GB"/>
        </w:rPr>
        <w:t>Frame 3 — What’s leaking out</w:t>
      </w:r>
      <w:r>
        <w:rPr>
          <w:noProof/>
        </w:rPr>
        <w:tab/>
      </w:r>
      <w:r>
        <w:rPr>
          <w:noProof/>
        </w:rPr>
        <w:fldChar w:fldCharType="begin"/>
      </w:r>
      <w:r>
        <w:rPr>
          <w:noProof/>
        </w:rPr>
        <w:instrText xml:space="preserve"> PAGEREF _Toc242103159 \h </w:instrText>
      </w:r>
      <w:r>
        <w:rPr>
          <w:noProof/>
        </w:rPr>
      </w:r>
      <w:r>
        <w:rPr>
          <w:noProof/>
        </w:rPr>
        <w:fldChar w:fldCharType="separate"/>
      </w:r>
      <w:r>
        <w:rPr>
          <w:noProof/>
        </w:rPr>
        <w:t>26</w:t>
      </w:r>
      <w:r>
        <w:rPr>
          <w:noProof/>
        </w:rPr>
        <w:fldChar w:fldCharType="end"/>
      </w:r>
    </w:p>
    <w:p w14:paraId="7B1720D2" w14:textId="7953D5C9" w:rsidR="009650FE" w:rsidRDefault="009650FE" w:rsidP="009650FE">
      <w:pPr>
        <w:pStyle w:val="Inhopg3"/>
        <w:tabs>
          <w:tab w:val="right" w:leader="dot" w:pos="9062"/>
        </w:tabs>
        <w:divId w:val="863442105"/>
        <w:rPr>
          <w:rFonts w:asciiTheme="minorHAnsi" w:hAnsiTheme="minorHAnsi" w:cstheme="minorBidi"/>
          <w:noProof/>
          <w:kern w:val="2"/>
          <w:sz w:val="24"/>
          <w14:ligatures w14:val="standardContextual"/>
        </w:rPr>
      </w:pPr>
      <w:r w:rsidRPr="0040793E">
        <w:rPr>
          <w:rFonts w:eastAsia="Times New Roman"/>
          <w:noProof/>
          <w:lang w:val="en-GB"/>
        </w:rPr>
        <w:t>Frame 4 — What doesn’t get in</w:t>
      </w:r>
      <w:r>
        <w:rPr>
          <w:noProof/>
        </w:rPr>
        <w:tab/>
      </w:r>
      <w:r>
        <w:rPr>
          <w:noProof/>
        </w:rPr>
        <w:fldChar w:fldCharType="begin"/>
      </w:r>
      <w:r>
        <w:rPr>
          <w:noProof/>
        </w:rPr>
        <w:instrText xml:space="preserve"> PAGEREF _Toc242103160 \h </w:instrText>
      </w:r>
      <w:r>
        <w:rPr>
          <w:noProof/>
        </w:rPr>
      </w:r>
      <w:r>
        <w:rPr>
          <w:noProof/>
        </w:rPr>
        <w:fldChar w:fldCharType="separate"/>
      </w:r>
      <w:r>
        <w:rPr>
          <w:noProof/>
        </w:rPr>
        <w:t>27</w:t>
      </w:r>
      <w:r>
        <w:rPr>
          <w:noProof/>
        </w:rPr>
        <w:fldChar w:fldCharType="end"/>
      </w:r>
    </w:p>
    <w:p w14:paraId="41530F94" w14:textId="6CC350AB" w:rsidR="009650FE" w:rsidRDefault="009650FE" w:rsidP="009650FE">
      <w:pPr>
        <w:pStyle w:val="Inhopg3"/>
        <w:tabs>
          <w:tab w:val="right" w:leader="dot" w:pos="9062"/>
        </w:tabs>
        <w:divId w:val="863442105"/>
        <w:rPr>
          <w:rFonts w:asciiTheme="minorHAnsi" w:hAnsiTheme="minorHAnsi" w:cstheme="minorBidi"/>
          <w:noProof/>
          <w:kern w:val="2"/>
          <w:sz w:val="24"/>
          <w14:ligatures w14:val="standardContextual"/>
        </w:rPr>
      </w:pPr>
      <w:r w:rsidRPr="0040793E">
        <w:rPr>
          <w:rFonts w:eastAsia="Times New Roman"/>
          <w:noProof/>
          <w:lang w:val="en-GB"/>
        </w:rPr>
        <w:t>Frame 5 — The result</w:t>
      </w:r>
      <w:r>
        <w:rPr>
          <w:noProof/>
        </w:rPr>
        <w:tab/>
      </w:r>
      <w:r>
        <w:rPr>
          <w:noProof/>
        </w:rPr>
        <w:fldChar w:fldCharType="begin"/>
      </w:r>
      <w:r>
        <w:rPr>
          <w:noProof/>
        </w:rPr>
        <w:instrText xml:space="preserve"> PAGEREF _Toc242103161 \h </w:instrText>
      </w:r>
      <w:r>
        <w:rPr>
          <w:noProof/>
        </w:rPr>
      </w:r>
      <w:r>
        <w:rPr>
          <w:noProof/>
        </w:rPr>
        <w:fldChar w:fldCharType="separate"/>
      </w:r>
      <w:r>
        <w:rPr>
          <w:noProof/>
        </w:rPr>
        <w:t>27</w:t>
      </w:r>
      <w:r>
        <w:rPr>
          <w:noProof/>
        </w:rPr>
        <w:fldChar w:fldCharType="end"/>
      </w:r>
    </w:p>
    <w:p w14:paraId="2A896660" w14:textId="2CC2DF28" w:rsidR="009650FE" w:rsidRDefault="009650FE" w:rsidP="009650FE">
      <w:pPr>
        <w:pStyle w:val="Inhopg1"/>
        <w:tabs>
          <w:tab w:val="right" w:leader="dot" w:pos="9062"/>
        </w:tabs>
        <w:divId w:val="863442105"/>
        <w:rPr>
          <w:rFonts w:asciiTheme="minorHAnsi" w:hAnsiTheme="minorHAnsi" w:cstheme="minorBidi"/>
          <w:noProof/>
          <w:kern w:val="2"/>
          <w:sz w:val="24"/>
          <w14:ligatures w14:val="standardContextual"/>
        </w:rPr>
      </w:pPr>
      <w:r w:rsidRPr="0040793E">
        <w:rPr>
          <w:rFonts w:eastAsia="Times New Roman"/>
          <w:noProof/>
          <w:lang w:val="en-GB"/>
        </w:rPr>
        <w:t>II. Belgium</w:t>
      </w:r>
      <w:r>
        <w:rPr>
          <w:noProof/>
        </w:rPr>
        <w:tab/>
      </w:r>
      <w:r>
        <w:rPr>
          <w:noProof/>
        </w:rPr>
        <w:fldChar w:fldCharType="begin"/>
      </w:r>
      <w:r>
        <w:rPr>
          <w:noProof/>
        </w:rPr>
        <w:instrText xml:space="preserve"> PAGEREF _Toc242103162 \h </w:instrText>
      </w:r>
      <w:r>
        <w:rPr>
          <w:noProof/>
        </w:rPr>
      </w:r>
      <w:r>
        <w:rPr>
          <w:noProof/>
        </w:rPr>
        <w:fldChar w:fldCharType="separate"/>
      </w:r>
      <w:r>
        <w:rPr>
          <w:noProof/>
        </w:rPr>
        <w:t>29</w:t>
      </w:r>
      <w:r>
        <w:rPr>
          <w:noProof/>
        </w:rPr>
        <w:fldChar w:fldCharType="end"/>
      </w:r>
    </w:p>
    <w:p w14:paraId="742940E5" w14:textId="4CA71773" w:rsidR="009650FE" w:rsidRDefault="009650FE" w:rsidP="009650FE">
      <w:pPr>
        <w:pStyle w:val="Inhopg2"/>
        <w:tabs>
          <w:tab w:val="right" w:leader="dot" w:pos="9062"/>
        </w:tabs>
        <w:divId w:val="863442105"/>
        <w:rPr>
          <w:rFonts w:asciiTheme="minorHAnsi" w:hAnsiTheme="minorHAnsi" w:cstheme="minorBidi"/>
          <w:noProof/>
          <w:kern w:val="2"/>
          <w:sz w:val="24"/>
          <w14:ligatures w14:val="standardContextual"/>
        </w:rPr>
      </w:pPr>
      <w:r w:rsidRPr="0040793E">
        <w:rPr>
          <w:rFonts w:eastAsia="Times New Roman"/>
          <w:noProof/>
          <w:lang w:val="en-GB"/>
        </w:rPr>
        <w:t>The pots and the tie-in sales</w:t>
      </w:r>
      <w:r>
        <w:rPr>
          <w:noProof/>
        </w:rPr>
        <w:tab/>
      </w:r>
      <w:r>
        <w:rPr>
          <w:noProof/>
        </w:rPr>
        <w:fldChar w:fldCharType="begin"/>
      </w:r>
      <w:r>
        <w:rPr>
          <w:noProof/>
        </w:rPr>
        <w:instrText xml:space="preserve"> PAGEREF _Toc242103163 \h </w:instrText>
      </w:r>
      <w:r>
        <w:rPr>
          <w:noProof/>
        </w:rPr>
      </w:r>
      <w:r>
        <w:rPr>
          <w:noProof/>
        </w:rPr>
        <w:fldChar w:fldCharType="separate"/>
      </w:r>
      <w:r>
        <w:rPr>
          <w:noProof/>
        </w:rPr>
        <w:t>29</w:t>
      </w:r>
      <w:r>
        <w:rPr>
          <w:noProof/>
        </w:rPr>
        <w:fldChar w:fldCharType="end"/>
      </w:r>
    </w:p>
    <w:p w14:paraId="6DAB9117" w14:textId="6A1973E1" w:rsidR="009650FE" w:rsidRDefault="009650FE" w:rsidP="009650FE">
      <w:pPr>
        <w:pStyle w:val="Inhopg3"/>
        <w:tabs>
          <w:tab w:val="right" w:leader="dot" w:pos="9062"/>
        </w:tabs>
        <w:divId w:val="863442105"/>
        <w:rPr>
          <w:rFonts w:asciiTheme="minorHAnsi" w:hAnsiTheme="minorHAnsi" w:cstheme="minorBidi"/>
          <w:noProof/>
          <w:kern w:val="2"/>
          <w:sz w:val="24"/>
          <w14:ligatures w14:val="standardContextual"/>
        </w:rPr>
      </w:pPr>
      <w:r w:rsidRPr="0040793E">
        <w:rPr>
          <w:rFonts w:eastAsia="Times New Roman"/>
          <w:noProof/>
          <w:lang w:val="en-GB"/>
        </w:rPr>
        <w:t>Part II-A — The jars</w:t>
      </w:r>
      <w:r>
        <w:rPr>
          <w:noProof/>
        </w:rPr>
        <w:tab/>
      </w:r>
      <w:r>
        <w:rPr>
          <w:noProof/>
        </w:rPr>
        <w:fldChar w:fldCharType="begin"/>
      </w:r>
      <w:r>
        <w:rPr>
          <w:noProof/>
        </w:rPr>
        <w:instrText xml:space="preserve"> PAGEREF _Toc242103164 \h </w:instrText>
      </w:r>
      <w:r>
        <w:rPr>
          <w:noProof/>
        </w:rPr>
      </w:r>
      <w:r>
        <w:rPr>
          <w:noProof/>
        </w:rPr>
        <w:fldChar w:fldCharType="separate"/>
      </w:r>
      <w:r>
        <w:rPr>
          <w:noProof/>
        </w:rPr>
        <w:t>29</w:t>
      </w:r>
      <w:r>
        <w:rPr>
          <w:noProof/>
        </w:rPr>
        <w:fldChar w:fldCharType="end"/>
      </w:r>
    </w:p>
    <w:p w14:paraId="69EA21F4" w14:textId="6EB230CD" w:rsidR="009650FE" w:rsidRDefault="009650FE" w:rsidP="009650FE">
      <w:pPr>
        <w:pStyle w:val="Inhopg3"/>
        <w:tabs>
          <w:tab w:val="right" w:leader="dot" w:pos="9062"/>
        </w:tabs>
        <w:divId w:val="863442105"/>
        <w:rPr>
          <w:rFonts w:asciiTheme="minorHAnsi" w:hAnsiTheme="minorHAnsi" w:cstheme="minorBidi"/>
          <w:noProof/>
          <w:kern w:val="2"/>
          <w:sz w:val="24"/>
          <w14:ligatures w14:val="standardContextual"/>
        </w:rPr>
      </w:pPr>
      <w:r w:rsidRPr="0040793E">
        <w:rPr>
          <w:rFonts w:eastAsia="Times New Roman"/>
          <w:noProof/>
          <w:lang w:val="en-GB"/>
        </w:rPr>
        <w:t>Part II-B — Tying</w:t>
      </w:r>
      <w:r>
        <w:rPr>
          <w:noProof/>
        </w:rPr>
        <w:tab/>
      </w:r>
      <w:r>
        <w:rPr>
          <w:noProof/>
        </w:rPr>
        <w:fldChar w:fldCharType="begin"/>
      </w:r>
      <w:r>
        <w:rPr>
          <w:noProof/>
        </w:rPr>
        <w:instrText xml:space="preserve"> PAGEREF _Toc242103165 \h </w:instrText>
      </w:r>
      <w:r>
        <w:rPr>
          <w:noProof/>
        </w:rPr>
      </w:r>
      <w:r>
        <w:rPr>
          <w:noProof/>
        </w:rPr>
        <w:fldChar w:fldCharType="separate"/>
      </w:r>
      <w:r>
        <w:rPr>
          <w:noProof/>
        </w:rPr>
        <w:t>33</w:t>
      </w:r>
      <w:r>
        <w:rPr>
          <w:noProof/>
        </w:rPr>
        <w:fldChar w:fldCharType="end"/>
      </w:r>
    </w:p>
    <w:p w14:paraId="56257E8E" w14:textId="52996AFE" w:rsidR="009650FE" w:rsidRDefault="009650FE" w:rsidP="009650FE">
      <w:pPr>
        <w:pStyle w:val="Inhopg3"/>
        <w:tabs>
          <w:tab w:val="right" w:leader="dot" w:pos="9062"/>
        </w:tabs>
        <w:divId w:val="863442105"/>
        <w:rPr>
          <w:rFonts w:asciiTheme="minorHAnsi" w:hAnsiTheme="minorHAnsi" w:cstheme="minorBidi"/>
          <w:noProof/>
          <w:kern w:val="2"/>
          <w:sz w:val="24"/>
          <w14:ligatures w14:val="standardContextual"/>
        </w:rPr>
      </w:pPr>
      <w:r w:rsidRPr="0040793E">
        <w:rPr>
          <w:rFonts w:eastAsia="Times New Roman"/>
          <w:noProof/>
          <w:lang w:val="en-GB"/>
        </w:rPr>
        <w:t>Part II-C — The four catch-22s</w:t>
      </w:r>
      <w:r>
        <w:rPr>
          <w:noProof/>
        </w:rPr>
        <w:tab/>
      </w:r>
      <w:r>
        <w:rPr>
          <w:noProof/>
        </w:rPr>
        <w:fldChar w:fldCharType="begin"/>
      </w:r>
      <w:r>
        <w:rPr>
          <w:noProof/>
        </w:rPr>
        <w:instrText xml:space="preserve"> PAGEREF _Toc242103166 \h </w:instrText>
      </w:r>
      <w:r>
        <w:rPr>
          <w:noProof/>
        </w:rPr>
      </w:r>
      <w:r>
        <w:rPr>
          <w:noProof/>
        </w:rPr>
        <w:fldChar w:fldCharType="separate"/>
      </w:r>
      <w:r>
        <w:rPr>
          <w:noProof/>
        </w:rPr>
        <w:t>34</w:t>
      </w:r>
      <w:r>
        <w:rPr>
          <w:noProof/>
        </w:rPr>
        <w:fldChar w:fldCharType="end"/>
      </w:r>
    </w:p>
    <w:p w14:paraId="77750385" w14:textId="23234F5C" w:rsidR="009650FE" w:rsidRDefault="009650FE" w:rsidP="009650FE">
      <w:pPr>
        <w:pStyle w:val="Inhopg3"/>
        <w:tabs>
          <w:tab w:val="right" w:leader="dot" w:pos="9062"/>
        </w:tabs>
        <w:divId w:val="863442105"/>
        <w:rPr>
          <w:rFonts w:asciiTheme="minorHAnsi" w:hAnsiTheme="minorHAnsi" w:cstheme="minorBidi"/>
          <w:noProof/>
          <w:kern w:val="2"/>
          <w:sz w:val="24"/>
          <w14:ligatures w14:val="standardContextual"/>
        </w:rPr>
      </w:pPr>
      <w:r w:rsidRPr="0040793E">
        <w:rPr>
          <w:rFonts w:eastAsia="Times New Roman"/>
          <w:noProof/>
          <w:lang w:val="en-GB"/>
        </w:rPr>
        <w:t>What this chapter sets out</w:t>
      </w:r>
      <w:r>
        <w:rPr>
          <w:noProof/>
        </w:rPr>
        <w:tab/>
      </w:r>
      <w:r>
        <w:rPr>
          <w:noProof/>
        </w:rPr>
        <w:fldChar w:fldCharType="begin"/>
      </w:r>
      <w:r>
        <w:rPr>
          <w:noProof/>
        </w:rPr>
        <w:instrText xml:space="preserve"> PAGEREF _Toc242103167 \h </w:instrText>
      </w:r>
      <w:r>
        <w:rPr>
          <w:noProof/>
        </w:rPr>
      </w:r>
      <w:r>
        <w:rPr>
          <w:noProof/>
        </w:rPr>
        <w:fldChar w:fldCharType="separate"/>
      </w:r>
      <w:r>
        <w:rPr>
          <w:noProof/>
        </w:rPr>
        <w:t>36</w:t>
      </w:r>
      <w:r>
        <w:rPr>
          <w:noProof/>
        </w:rPr>
        <w:fldChar w:fldCharType="end"/>
      </w:r>
    </w:p>
    <w:p w14:paraId="5F1501C5" w14:textId="7E17BB05" w:rsidR="009650FE" w:rsidRDefault="009650FE" w:rsidP="009650FE">
      <w:pPr>
        <w:pStyle w:val="Inhopg2"/>
        <w:tabs>
          <w:tab w:val="right" w:leader="dot" w:pos="9062"/>
        </w:tabs>
        <w:divId w:val="863442105"/>
        <w:rPr>
          <w:rFonts w:asciiTheme="minorHAnsi" w:hAnsiTheme="minorHAnsi" w:cstheme="minorBidi"/>
          <w:noProof/>
          <w:kern w:val="2"/>
          <w:sz w:val="24"/>
          <w14:ligatures w14:val="standardContextual"/>
        </w:rPr>
      </w:pPr>
      <w:r w:rsidRPr="0040793E">
        <w:rPr>
          <w:rFonts w:eastAsia="Times New Roman"/>
          <w:noProof/>
          <w:lang w:val="en-GB"/>
        </w:rPr>
        <w:t>Determination and decision</w:t>
      </w:r>
      <w:r>
        <w:rPr>
          <w:noProof/>
        </w:rPr>
        <w:tab/>
      </w:r>
      <w:r>
        <w:rPr>
          <w:noProof/>
        </w:rPr>
        <w:fldChar w:fldCharType="begin"/>
      </w:r>
      <w:r>
        <w:rPr>
          <w:noProof/>
        </w:rPr>
        <w:instrText xml:space="preserve"> PAGEREF _Toc242103168 \h </w:instrText>
      </w:r>
      <w:r>
        <w:rPr>
          <w:noProof/>
        </w:rPr>
      </w:r>
      <w:r>
        <w:rPr>
          <w:noProof/>
        </w:rPr>
        <w:fldChar w:fldCharType="separate"/>
      </w:r>
      <w:r>
        <w:rPr>
          <w:noProof/>
        </w:rPr>
        <w:t>37</w:t>
      </w:r>
      <w:r>
        <w:rPr>
          <w:noProof/>
        </w:rPr>
        <w:fldChar w:fldCharType="end"/>
      </w:r>
    </w:p>
    <w:p w14:paraId="43F1D788" w14:textId="0BF9226D" w:rsidR="009650FE" w:rsidRDefault="009650FE" w:rsidP="009650FE">
      <w:pPr>
        <w:pStyle w:val="Inhopg3"/>
        <w:tabs>
          <w:tab w:val="right" w:leader="dot" w:pos="9062"/>
        </w:tabs>
        <w:divId w:val="863442105"/>
        <w:rPr>
          <w:rFonts w:asciiTheme="minorHAnsi" w:hAnsiTheme="minorHAnsi" w:cstheme="minorBidi"/>
          <w:noProof/>
          <w:kern w:val="2"/>
          <w:sz w:val="24"/>
          <w14:ligatures w14:val="standardContextual"/>
        </w:rPr>
      </w:pPr>
      <w:r w:rsidRPr="0040793E">
        <w:rPr>
          <w:rFonts w:eastAsia="Times New Roman"/>
          <w:noProof/>
          <w:lang w:val="en-GB"/>
        </w:rPr>
        <w:t>The five votes</w:t>
      </w:r>
      <w:r>
        <w:rPr>
          <w:noProof/>
        </w:rPr>
        <w:tab/>
      </w:r>
      <w:r>
        <w:rPr>
          <w:noProof/>
        </w:rPr>
        <w:fldChar w:fldCharType="begin"/>
      </w:r>
      <w:r>
        <w:rPr>
          <w:noProof/>
        </w:rPr>
        <w:instrText xml:space="preserve"> PAGEREF _Toc242103169 \h </w:instrText>
      </w:r>
      <w:r>
        <w:rPr>
          <w:noProof/>
        </w:rPr>
      </w:r>
      <w:r>
        <w:rPr>
          <w:noProof/>
        </w:rPr>
        <w:fldChar w:fldCharType="separate"/>
      </w:r>
      <w:r>
        <w:rPr>
          <w:noProof/>
        </w:rPr>
        <w:t>37</w:t>
      </w:r>
      <w:r>
        <w:rPr>
          <w:noProof/>
        </w:rPr>
        <w:fldChar w:fldCharType="end"/>
      </w:r>
    </w:p>
    <w:p w14:paraId="2FE644A3" w14:textId="7A5F8D47" w:rsidR="009650FE" w:rsidRDefault="009650FE" w:rsidP="009650FE">
      <w:pPr>
        <w:pStyle w:val="Inhopg3"/>
        <w:tabs>
          <w:tab w:val="right" w:leader="dot" w:pos="9062"/>
        </w:tabs>
        <w:divId w:val="863442105"/>
        <w:rPr>
          <w:rFonts w:asciiTheme="minorHAnsi" w:hAnsiTheme="minorHAnsi" w:cstheme="minorBidi"/>
          <w:noProof/>
          <w:kern w:val="2"/>
          <w:sz w:val="24"/>
          <w14:ligatures w14:val="standardContextual"/>
        </w:rPr>
      </w:pPr>
      <w:r w:rsidRPr="0040793E">
        <w:rPr>
          <w:rFonts w:eastAsia="Times New Roman"/>
          <w:noProof/>
          <w:lang w:val="en-GB"/>
        </w:rPr>
        <w:t>Two decision-makers, one mechanism</w:t>
      </w:r>
      <w:r>
        <w:rPr>
          <w:noProof/>
        </w:rPr>
        <w:tab/>
      </w:r>
      <w:r>
        <w:rPr>
          <w:noProof/>
        </w:rPr>
        <w:fldChar w:fldCharType="begin"/>
      </w:r>
      <w:r>
        <w:rPr>
          <w:noProof/>
        </w:rPr>
        <w:instrText xml:space="preserve"> PAGEREF _Toc242103170 \h </w:instrText>
      </w:r>
      <w:r>
        <w:rPr>
          <w:noProof/>
        </w:rPr>
      </w:r>
      <w:r>
        <w:rPr>
          <w:noProof/>
        </w:rPr>
        <w:fldChar w:fldCharType="separate"/>
      </w:r>
      <w:r>
        <w:rPr>
          <w:noProof/>
        </w:rPr>
        <w:t>37</w:t>
      </w:r>
      <w:r>
        <w:rPr>
          <w:noProof/>
        </w:rPr>
        <w:fldChar w:fldCharType="end"/>
      </w:r>
    </w:p>
    <w:p w14:paraId="2FE3FEF4" w14:textId="7D1CE71E" w:rsidR="009650FE" w:rsidRDefault="009650FE" w:rsidP="009650FE">
      <w:pPr>
        <w:pStyle w:val="Inhopg3"/>
        <w:tabs>
          <w:tab w:val="right" w:leader="dot" w:pos="9062"/>
        </w:tabs>
        <w:divId w:val="863442105"/>
        <w:rPr>
          <w:rFonts w:asciiTheme="minorHAnsi" w:hAnsiTheme="minorHAnsi" w:cstheme="minorBidi"/>
          <w:noProof/>
          <w:kern w:val="2"/>
          <w:sz w:val="24"/>
          <w14:ligatures w14:val="standardContextual"/>
        </w:rPr>
      </w:pPr>
      <w:r w:rsidRPr="0040793E">
        <w:rPr>
          <w:rFonts w:eastAsia="Times New Roman"/>
          <w:noProof/>
          <w:lang w:val="en-GB"/>
        </w:rPr>
        <w:t>The common pattern</w:t>
      </w:r>
      <w:r>
        <w:rPr>
          <w:noProof/>
        </w:rPr>
        <w:tab/>
      </w:r>
      <w:r>
        <w:rPr>
          <w:noProof/>
        </w:rPr>
        <w:fldChar w:fldCharType="begin"/>
      </w:r>
      <w:r>
        <w:rPr>
          <w:noProof/>
        </w:rPr>
        <w:instrText xml:space="preserve"> PAGEREF _Toc242103171 \h </w:instrText>
      </w:r>
      <w:r>
        <w:rPr>
          <w:noProof/>
        </w:rPr>
      </w:r>
      <w:r>
        <w:rPr>
          <w:noProof/>
        </w:rPr>
        <w:fldChar w:fldCharType="separate"/>
      </w:r>
      <w:r>
        <w:rPr>
          <w:noProof/>
        </w:rPr>
        <w:t>38</w:t>
      </w:r>
      <w:r>
        <w:rPr>
          <w:noProof/>
        </w:rPr>
        <w:fldChar w:fldCharType="end"/>
      </w:r>
    </w:p>
    <w:p w14:paraId="58B89308" w14:textId="700CC7E8" w:rsidR="009650FE" w:rsidRDefault="009650FE" w:rsidP="009650FE">
      <w:pPr>
        <w:pStyle w:val="Inhopg2"/>
        <w:tabs>
          <w:tab w:val="right" w:leader="dot" w:pos="9062"/>
        </w:tabs>
        <w:divId w:val="863442105"/>
        <w:rPr>
          <w:rFonts w:asciiTheme="minorHAnsi" w:hAnsiTheme="minorHAnsi" w:cstheme="minorBidi"/>
          <w:noProof/>
          <w:kern w:val="2"/>
          <w:sz w:val="24"/>
          <w14:ligatures w14:val="standardContextual"/>
        </w:rPr>
      </w:pPr>
      <w:r w:rsidRPr="0040793E">
        <w:rPr>
          <w:rFonts w:eastAsia="Times New Roman"/>
          <w:noProof/>
          <w:lang w:val="en-GB"/>
        </w:rPr>
        <w:t>The Parentia Staircase</w:t>
      </w:r>
      <w:r>
        <w:rPr>
          <w:noProof/>
        </w:rPr>
        <w:tab/>
      </w:r>
      <w:r>
        <w:rPr>
          <w:noProof/>
        </w:rPr>
        <w:fldChar w:fldCharType="begin"/>
      </w:r>
      <w:r>
        <w:rPr>
          <w:noProof/>
        </w:rPr>
        <w:instrText xml:space="preserve"> PAGEREF _Toc242103172 \h </w:instrText>
      </w:r>
      <w:r>
        <w:rPr>
          <w:noProof/>
        </w:rPr>
      </w:r>
      <w:r>
        <w:rPr>
          <w:noProof/>
        </w:rPr>
        <w:fldChar w:fldCharType="separate"/>
      </w:r>
      <w:r>
        <w:rPr>
          <w:noProof/>
        </w:rPr>
        <w:t>39</w:t>
      </w:r>
      <w:r>
        <w:rPr>
          <w:noProof/>
        </w:rPr>
        <w:fldChar w:fldCharType="end"/>
      </w:r>
    </w:p>
    <w:p w14:paraId="3BED832E" w14:textId="70715D9A" w:rsidR="009650FE" w:rsidRDefault="009650FE" w:rsidP="009650FE">
      <w:pPr>
        <w:pStyle w:val="Inhopg3"/>
        <w:tabs>
          <w:tab w:val="right" w:leader="dot" w:pos="9062"/>
        </w:tabs>
        <w:divId w:val="863442105"/>
        <w:rPr>
          <w:rFonts w:asciiTheme="minorHAnsi" w:hAnsiTheme="minorHAnsi" w:cstheme="minorBidi"/>
          <w:noProof/>
          <w:kern w:val="2"/>
          <w:sz w:val="24"/>
          <w14:ligatures w14:val="standardContextual"/>
        </w:rPr>
      </w:pPr>
      <w:r w:rsidRPr="0040793E">
        <w:rPr>
          <w:rFonts w:eastAsia="Times New Roman"/>
          <w:noProof/>
          <w:lang w:val="en-GB"/>
        </w:rPr>
        <w:t>Level 1 — The KSZ blockade</w:t>
      </w:r>
      <w:r>
        <w:rPr>
          <w:noProof/>
        </w:rPr>
        <w:tab/>
      </w:r>
      <w:r>
        <w:rPr>
          <w:noProof/>
        </w:rPr>
        <w:fldChar w:fldCharType="begin"/>
      </w:r>
      <w:r>
        <w:rPr>
          <w:noProof/>
        </w:rPr>
        <w:instrText xml:space="preserve"> PAGEREF _Toc242103173 \h </w:instrText>
      </w:r>
      <w:r>
        <w:rPr>
          <w:noProof/>
        </w:rPr>
      </w:r>
      <w:r>
        <w:rPr>
          <w:noProof/>
        </w:rPr>
        <w:fldChar w:fldCharType="separate"/>
      </w:r>
      <w:r>
        <w:rPr>
          <w:noProof/>
        </w:rPr>
        <w:t>39</w:t>
      </w:r>
      <w:r>
        <w:rPr>
          <w:noProof/>
        </w:rPr>
        <w:fldChar w:fldCharType="end"/>
      </w:r>
    </w:p>
    <w:p w14:paraId="21CE5D6B" w14:textId="4B1042D4" w:rsidR="009650FE" w:rsidRDefault="009650FE" w:rsidP="009650FE">
      <w:pPr>
        <w:pStyle w:val="Inhopg3"/>
        <w:tabs>
          <w:tab w:val="right" w:leader="dot" w:pos="9062"/>
        </w:tabs>
        <w:divId w:val="863442105"/>
        <w:rPr>
          <w:rFonts w:asciiTheme="minorHAnsi" w:hAnsiTheme="minorHAnsi" w:cstheme="minorBidi"/>
          <w:noProof/>
          <w:kern w:val="2"/>
          <w:sz w:val="24"/>
          <w14:ligatures w14:val="standardContextual"/>
        </w:rPr>
      </w:pPr>
      <w:r w:rsidRPr="0040793E">
        <w:rPr>
          <w:rFonts w:eastAsia="Times New Roman"/>
          <w:noProof/>
          <w:lang w:val="en-GB"/>
        </w:rPr>
        <w:t>Level 2 — The bypass is accepted</w:t>
      </w:r>
      <w:r>
        <w:rPr>
          <w:noProof/>
        </w:rPr>
        <w:tab/>
      </w:r>
      <w:r>
        <w:rPr>
          <w:noProof/>
        </w:rPr>
        <w:fldChar w:fldCharType="begin"/>
      </w:r>
      <w:r>
        <w:rPr>
          <w:noProof/>
        </w:rPr>
        <w:instrText xml:space="preserve"> PAGEREF _Toc242103174 \h </w:instrText>
      </w:r>
      <w:r>
        <w:rPr>
          <w:noProof/>
        </w:rPr>
      </w:r>
      <w:r>
        <w:rPr>
          <w:noProof/>
        </w:rPr>
        <w:fldChar w:fldCharType="separate"/>
      </w:r>
      <w:r>
        <w:rPr>
          <w:noProof/>
        </w:rPr>
        <w:t>39</w:t>
      </w:r>
      <w:r>
        <w:rPr>
          <w:noProof/>
        </w:rPr>
        <w:fldChar w:fldCharType="end"/>
      </w:r>
    </w:p>
    <w:p w14:paraId="04E2A652" w14:textId="2F78E50C" w:rsidR="009650FE" w:rsidRDefault="009650FE" w:rsidP="009650FE">
      <w:pPr>
        <w:pStyle w:val="Inhopg3"/>
        <w:tabs>
          <w:tab w:val="right" w:leader="dot" w:pos="9062"/>
        </w:tabs>
        <w:divId w:val="863442105"/>
        <w:rPr>
          <w:rFonts w:asciiTheme="minorHAnsi" w:hAnsiTheme="minorHAnsi" w:cstheme="minorBidi"/>
          <w:noProof/>
          <w:kern w:val="2"/>
          <w:sz w:val="24"/>
          <w14:ligatures w14:val="standardContextual"/>
        </w:rPr>
      </w:pPr>
      <w:r w:rsidRPr="0040793E">
        <w:rPr>
          <w:rFonts w:eastAsia="Times New Roman"/>
          <w:noProof/>
          <w:lang w:val="en-GB"/>
        </w:rPr>
        <w:t>Level 3 — Refusal on income grounds</w:t>
      </w:r>
      <w:r>
        <w:rPr>
          <w:noProof/>
        </w:rPr>
        <w:tab/>
      </w:r>
      <w:r>
        <w:rPr>
          <w:noProof/>
        </w:rPr>
        <w:fldChar w:fldCharType="begin"/>
      </w:r>
      <w:r>
        <w:rPr>
          <w:noProof/>
        </w:rPr>
        <w:instrText xml:space="preserve"> PAGEREF _Toc242103175 \h </w:instrText>
      </w:r>
      <w:r>
        <w:rPr>
          <w:noProof/>
        </w:rPr>
      </w:r>
      <w:r>
        <w:rPr>
          <w:noProof/>
        </w:rPr>
        <w:fldChar w:fldCharType="separate"/>
      </w:r>
      <w:r>
        <w:rPr>
          <w:noProof/>
        </w:rPr>
        <w:t>39</w:t>
      </w:r>
      <w:r>
        <w:rPr>
          <w:noProof/>
        </w:rPr>
        <w:fldChar w:fldCharType="end"/>
      </w:r>
    </w:p>
    <w:p w14:paraId="0613401B" w14:textId="3B287FF3" w:rsidR="009650FE" w:rsidRDefault="009650FE" w:rsidP="009650FE">
      <w:pPr>
        <w:pStyle w:val="Inhopg3"/>
        <w:tabs>
          <w:tab w:val="right" w:leader="dot" w:pos="9062"/>
        </w:tabs>
        <w:divId w:val="863442105"/>
        <w:rPr>
          <w:rFonts w:asciiTheme="minorHAnsi" w:hAnsiTheme="minorHAnsi" w:cstheme="minorBidi"/>
          <w:noProof/>
          <w:kern w:val="2"/>
          <w:sz w:val="24"/>
          <w14:ligatures w14:val="standardContextual"/>
        </w:rPr>
      </w:pPr>
      <w:r w:rsidRPr="0040793E">
        <w:rPr>
          <w:rFonts w:eastAsia="Times New Roman"/>
          <w:noProof/>
          <w:lang w:val="en-GB"/>
        </w:rPr>
        <w:t>The pattern is repeating itself</w:t>
      </w:r>
      <w:r>
        <w:rPr>
          <w:noProof/>
        </w:rPr>
        <w:tab/>
      </w:r>
      <w:r>
        <w:rPr>
          <w:noProof/>
        </w:rPr>
        <w:fldChar w:fldCharType="begin"/>
      </w:r>
      <w:r>
        <w:rPr>
          <w:noProof/>
        </w:rPr>
        <w:instrText xml:space="preserve"> PAGEREF _Toc242103176 \h </w:instrText>
      </w:r>
      <w:r>
        <w:rPr>
          <w:noProof/>
        </w:rPr>
      </w:r>
      <w:r>
        <w:rPr>
          <w:noProof/>
        </w:rPr>
        <w:fldChar w:fldCharType="separate"/>
      </w:r>
      <w:r>
        <w:rPr>
          <w:noProof/>
        </w:rPr>
        <w:t>40</w:t>
      </w:r>
      <w:r>
        <w:rPr>
          <w:noProof/>
        </w:rPr>
        <w:fldChar w:fldCharType="end"/>
      </w:r>
    </w:p>
    <w:p w14:paraId="2B8EF4A5" w14:textId="74E6559E" w:rsidR="009650FE" w:rsidRDefault="009650FE" w:rsidP="009650FE">
      <w:pPr>
        <w:pStyle w:val="Inhopg2"/>
        <w:tabs>
          <w:tab w:val="right" w:leader="dot" w:pos="9062"/>
        </w:tabs>
        <w:divId w:val="863442105"/>
        <w:rPr>
          <w:rFonts w:asciiTheme="minorHAnsi" w:hAnsiTheme="minorHAnsi" w:cstheme="minorBidi"/>
          <w:noProof/>
          <w:kern w:val="2"/>
          <w:sz w:val="24"/>
          <w14:ligatures w14:val="standardContextual"/>
        </w:rPr>
      </w:pPr>
      <w:r w:rsidRPr="0040793E">
        <w:rPr>
          <w:rFonts w:eastAsia="Times New Roman"/>
          <w:noProof/>
          <w:lang w:val="en-GB"/>
        </w:rPr>
        <w:t>The Belgian tax route</w:t>
      </w:r>
      <w:r>
        <w:rPr>
          <w:noProof/>
        </w:rPr>
        <w:tab/>
      </w:r>
      <w:r>
        <w:rPr>
          <w:noProof/>
        </w:rPr>
        <w:fldChar w:fldCharType="begin"/>
      </w:r>
      <w:r>
        <w:rPr>
          <w:noProof/>
        </w:rPr>
        <w:instrText xml:space="preserve"> PAGEREF _Toc242103177 \h </w:instrText>
      </w:r>
      <w:r>
        <w:rPr>
          <w:noProof/>
        </w:rPr>
      </w:r>
      <w:r>
        <w:rPr>
          <w:noProof/>
        </w:rPr>
        <w:fldChar w:fldCharType="separate"/>
      </w:r>
      <w:r>
        <w:rPr>
          <w:noProof/>
        </w:rPr>
        <w:t>41</w:t>
      </w:r>
      <w:r>
        <w:rPr>
          <w:noProof/>
        </w:rPr>
        <w:fldChar w:fldCharType="end"/>
      </w:r>
    </w:p>
    <w:p w14:paraId="264C378F" w14:textId="56AAADAC" w:rsidR="009650FE" w:rsidRDefault="009650FE" w:rsidP="009650FE">
      <w:pPr>
        <w:pStyle w:val="Inhopg3"/>
        <w:tabs>
          <w:tab w:val="right" w:leader="dot" w:pos="9062"/>
        </w:tabs>
        <w:divId w:val="863442105"/>
        <w:rPr>
          <w:rFonts w:asciiTheme="minorHAnsi" w:hAnsiTheme="minorHAnsi" w:cstheme="minorBidi"/>
          <w:noProof/>
          <w:kern w:val="2"/>
          <w:sz w:val="24"/>
          <w14:ligatures w14:val="standardContextual"/>
        </w:rPr>
      </w:pPr>
      <w:r w:rsidRPr="0040793E">
        <w:rPr>
          <w:rFonts w:eastAsia="Times New Roman"/>
          <w:noProof/>
          <w:lang w:val="en-GB"/>
        </w:rPr>
        <w:t>Part A — What works</w:t>
      </w:r>
      <w:r>
        <w:rPr>
          <w:noProof/>
        </w:rPr>
        <w:tab/>
      </w:r>
      <w:r>
        <w:rPr>
          <w:noProof/>
        </w:rPr>
        <w:fldChar w:fldCharType="begin"/>
      </w:r>
      <w:r>
        <w:rPr>
          <w:noProof/>
        </w:rPr>
        <w:instrText xml:space="preserve"> PAGEREF _Toc242103178 \h </w:instrText>
      </w:r>
      <w:r>
        <w:rPr>
          <w:noProof/>
        </w:rPr>
      </w:r>
      <w:r>
        <w:rPr>
          <w:noProof/>
        </w:rPr>
        <w:fldChar w:fldCharType="separate"/>
      </w:r>
      <w:r>
        <w:rPr>
          <w:noProof/>
        </w:rPr>
        <w:t>41</w:t>
      </w:r>
      <w:r>
        <w:rPr>
          <w:noProof/>
        </w:rPr>
        <w:fldChar w:fldCharType="end"/>
      </w:r>
    </w:p>
    <w:p w14:paraId="54FC25B7" w14:textId="544CE075" w:rsidR="009650FE" w:rsidRDefault="009650FE" w:rsidP="009650FE">
      <w:pPr>
        <w:pStyle w:val="Inhopg3"/>
        <w:tabs>
          <w:tab w:val="right" w:leader="dot" w:pos="9062"/>
        </w:tabs>
        <w:divId w:val="863442105"/>
        <w:rPr>
          <w:rFonts w:asciiTheme="minorHAnsi" w:hAnsiTheme="minorHAnsi" w:cstheme="minorBidi"/>
          <w:noProof/>
          <w:kern w:val="2"/>
          <w:sz w:val="24"/>
          <w14:ligatures w14:val="standardContextual"/>
        </w:rPr>
      </w:pPr>
      <w:r w:rsidRPr="0040793E">
        <w:rPr>
          <w:rFonts w:eastAsia="Times New Roman"/>
          <w:noProof/>
          <w:lang w:val="en-GB"/>
        </w:rPr>
        <w:t>Part B — The bypass for the increased tax-free allowance</w:t>
      </w:r>
      <w:r>
        <w:rPr>
          <w:noProof/>
        </w:rPr>
        <w:tab/>
      </w:r>
      <w:r>
        <w:rPr>
          <w:noProof/>
        </w:rPr>
        <w:fldChar w:fldCharType="begin"/>
      </w:r>
      <w:r>
        <w:rPr>
          <w:noProof/>
        </w:rPr>
        <w:instrText xml:space="preserve"> PAGEREF _Toc242103179 \h </w:instrText>
      </w:r>
      <w:r>
        <w:rPr>
          <w:noProof/>
        </w:rPr>
      </w:r>
      <w:r>
        <w:rPr>
          <w:noProof/>
        </w:rPr>
        <w:fldChar w:fldCharType="separate"/>
      </w:r>
      <w:r>
        <w:rPr>
          <w:noProof/>
        </w:rPr>
        <w:t>42</w:t>
      </w:r>
      <w:r>
        <w:rPr>
          <w:noProof/>
        </w:rPr>
        <w:fldChar w:fldCharType="end"/>
      </w:r>
    </w:p>
    <w:p w14:paraId="683FC33B" w14:textId="1AF962F4" w:rsidR="009650FE" w:rsidRDefault="009650FE" w:rsidP="009650FE">
      <w:pPr>
        <w:pStyle w:val="Inhopg3"/>
        <w:tabs>
          <w:tab w:val="right" w:leader="dot" w:pos="9062"/>
        </w:tabs>
        <w:divId w:val="863442105"/>
        <w:rPr>
          <w:rFonts w:asciiTheme="minorHAnsi" w:hAnsiTheme="minorHAnsi" w:cstheme="minorBidi"/>
          <w:noProof/>
          <w:kern w:val="2"/>
          <w:sz w:val="24"/>
          <w14:ligatures w14:val="standardContextual"/>
        </w:rPr>
      </w:pPr>
      <w:r w:rsidRPr="0040793E">
        <w:rPr>
          <w:rFonts w:eastAsia="Times New Roman"/>
          <w:noProof/>
          <w:lang w:val="en-GB"/>
        </w:rPr>
        <w:t>Part C — The double confirmation</w:t>
      </w:r>
      <w:r>
        <w:rPr>
          <w:noProof/>
        </w:rPr>
        <w:tab/>
      </w:r>
      <w:r>
        <w:rPr>
          <w:noProof/>
        </w:rPr>
        <w:fldChar w:fldCharType="begin"/>
      </w:r>
      <w:r>
        <w:rPr>
          <w:noProof/>
        </w:rPr>
        <w:instrText xml:space="preserve"> PAGEREF _Toc242103180 \h </w:instrText>
      </w:r>
      <w:r>
        <w:rPr>
          <w:noProof/>
        </w:rPr>
      </w:r>
      <w:r>
        <w:rPr>
          <w:noProof/>
        </w:rPr>
        <w:fldChar w:fldCharType="separate"/>
      </w:r>
      <w:r>
        <w:rPr>
          <w:noProof/>
        </w:rPr>
        <w:t>43</w:t>
      </w:r>
      <w:r>
        <w:rPr>
          <w:noProof/>
        </w:rPr>
        <w:fldChar w:fldCharType="end"/>
      </w:r>
    </w:p>
    <w:p w14:paraId="7131A1E5" w14:textId="7E6F2676" w:rsidR="009650FE" w:rsidRDefault="009650FE" w:rsidP="009650FE">
      <w:pPr>
        <w:pStyle w:val="Inhopg3"/>
        <w:tabs>
          <w:tab w:val="right" w:leader="dot" w:pos="9062"/>
        </w:tabs>
        <w:divId w:val="863442105"/>
        <w:rPr>
          <w:rFonts w:asciiTheme="minorHAnsi" w:hAnsiTheme="minorHAnsi" w:cstheme="minorBidi"/>
          <w:noProof/>
          <w:kern w:val="2"/>
          <w:sz w:val="24"/>
          <w14:ligatures w14:val="standardContextual"/>
        </w:rPr>
      </w:pPr>
      <w:r w:rsidRPr="0040793E">
        <w:rPr>
          <w:rFonts w:eastAsia="Times New Roman"/>
          <w:noProof/>
          <w:lang w:val="en-GB"/>
        </w:rPr>
        <w:t>Part D — AGODI: the moving target and the final conclusion</w:t>
      </w:r>
      <w:r>
        <w:rPr>
          <w:noProof/>
        </w:rPr>
        <w:tab/>
      </w:r>
      <w:r>
        <w:rPr>
          <w:noProof/>
        </w:rPr>
        <w:fldChar w:fldCharType="begin"/>
      </w:r>
      <w:r>
        <w:rPr>
          <w:noProof/>
        </w:rPr>
        <w:instrText xml:space="preserve"> PAGEREF _Toc242103181 \h </w:instrText>
      </w:r>
      <w:r>
        <w:rPr>
          <w:noProof/>
        </w:rPr>
      </w:r>
      <w:r>
        <w:rPr>
          <w:noProof/>
        </w:rPr>
        <w:fldChar w:fldCharType="separate"/>
      </w:r>
      <w:r>
        <w:rPr>
          <w:noProof/>
        </w:rPr>
        <w:t>44</w:t>
      </w:r>
      <w:r>
        <w:rPr>
          <w:noProof/>
        </w:rPr>
        <w:fldChar w:fldCharType="end"/>
      </w:r>
    </w:p>
    <w:p w14:paraId="181CCAE0" w14:textId="119C89BD" w:rsidR="009650FE" w:rsidRDefault="009650FE" w:rsidP="009650FE">
      <w:pPr>
        <w:pStyle w:val="Inhopg3"/>
        <w:tabs>
          <w:tab w:val="right" w:leader="dot" w:pos="9062"/>
        </w:tabs>
        <w:divId w:val="863442105"/>
        <w:rPr>
          <w:rFonts w:asciiTheme="minorHAnsi" w:hAnsiTheme="minorHAnsi" w:cstheme="minorBidi"/>
          <w:noProof/>
          <w:kern w:val="2"/>
          <w:sz w:val="24"/>
          <w14:ligatures w14:val="standardContextual"/>
        </w:rPr>
      </w:pPr>
      <w:r w:rsidRPr="0040793E">
        <w:rPr>
          <w:rFonts w:eastAsia="Times New Roman"/>
          <w:noProof/>
          <w:lang w:val="en-GB"/>
        </w:rPr>
        <w:t>Part E — What this chapter sets out</w:t>
      </w:r>
      <w:r>
        <w:rPr>
          <w:noProof/>
        </w:rPr>
        <w:tab/>
      </w:r>
      <w:r>
        <w:rPr>
          <w:noProof/>
        </w:rPr>
        <w:fldChar w:fldCharType="begin"/>
      </w:r>
      <w:r>
        <w:rPr>
          <w:noProof/>
        </w:rPr>
        <w:instrText xml:space="preserve"> PAGEREF _Toc242103182 \h </w:instrText>
      </w:r>
      <w:r>
        <w:rPr>
          <w:noProof/>
        </w:rPr>
      </w:r>
      <w:r>
        <w:rPr>
          <w:noProof/>
        </w:rPr>
        <w:fldChar w:fldCharType="separate"/>
      </w:r>
      <w:r>
        <w:rPr>
          <w:noProof/>
        </w:rPr>
        <w:t>45</w:t>
      </w:r>
      <w:r>
        <w:rPr>
          <w:noProof/>
        </w:rPr>
        <w:fldChar w:fldCharType="end"/>
      </w:r>
    </w:p>
    <w:p w14:paraId="239FB072" w14:textId="12860544" w:rsidR="009650FE" w:rsidRDefault="009650FE" w:rsidP="009650FE">
      <w:pPr>
        <w:pStyle w:val="Inhopg2"/>
        <w:tabs>
          <w:tab w:val="right" w:leader="dot" w:pos="9062"/>
        </w:tabs>
        <w:divId w:val="863442105"/>
        <w:rPr>
          <w:rFonts w:asciiTheme="minorHAnsi" w:hAnsiTheme="minorHAnsi" w:cstheme="minorBidi"/>
          <w:noProof/>
          <w:kern w:val="2"/>
          <w:sz w:val="24"/>
          <w14:ligatures w14:val="standardContextual"/>
        </w:rPr>
      </w:pPr>
      <w:r w:rsidRPr="0040793E">
        <w:rPr>
          <w:rFonts w:eastAsia="Times New Roman"/>
          <w:noProof/>
          <w:lang w:val="en-GB"/>
        </w:rPr>
        <w:t>The reopening</w:t>
      </w:r>
      <w:r>
        <w:rPr>
          <w:noProof/>
        </w:rPr>
        <w:tab/>
      </w:r>
      <w:r>
        <w:rPr>
          <w:noProof/>
        </w:rPr>
        <w:fldChar w:fldCharType="begin"/>
      </w:r>
      <w:r>
        <w:rPr>
          <w:noProof/>
        </w:rPr>
        <w:instrText xml:space="preserve"> PAGEREF _Toc242103183 \h </w:instrText>
      </w:r>
      <w:r>
        <w:rPr>
          <w:noProof/>
        </w:rPr>
      </w:r>
      <w:r>
        <w:rPr>
          <w:noProof/>
        </w:rPr>
        <w:fldChar w:fldCharType="separate"/>
      </w:r>
      <w:r>
        <w:rPr>
          <w:noProof/>
        </w:rPr>
        <w:t>47</w:t>
      </w:r>
      <w:r>
        <w:rPr>
          <w:noProof/>
        </w:rPr>
        <w:fldChar w:fldCharType="end"/>
      </w:r>
    </w:p>
    <w:p w14:paraId="4040BA50" w14:textId="1A3A5579" w:rsidR="009650FE" w:rsidRDefault="009650FE" w:rsidP="009650FE">
      <w:pPr>
        <w:pStyle w:val="Inhopg3"/>
        <w:tabs>
          <w:tab w:val="right" w:leader="dot" w:pos="9062"/>
        </w:tabs>
        <w:divId w:val="863442105"/>
        <w:rPr>
          <w:rFonts w:asciiTheme="minorHAnsi" w:hAnsiTheme="minorHAnsi" w:cstheme="minorBidi"/>
          <w:noProof/>
          <w:kern w:val="2"/>
          <w:sz w:val="24"/>
          <w14:ligatures w14:val="standardContextual"/>
        </w:rPr>
      </w:pPr>
      <w:r w:rsidRPr="0040793E">
        <w:rPr>
          <w:rFonts w:eastAsia="Times New Roman"/>
          <w:noProof/>
          <w:lang w:val="en-GB"/>
        </w:rPr>
        <w:t>What the letter says</w:t>
      </w:r>
      <w:r>
        <w:rPr>
          <w:noProof/>
        </w:rPr>
        <w:tab/>
      </w:r>
      <w:r>
        <w:rPr>
          <w:noProof/>
        </w:rPr>
        <w:fldChar w:fldCharType="begin"/>
      </w:r>
      <w:r>
        <w:rPr>
          <w:noProof/>
        </w:rPr>
        <w:instrText xml:space="preserve"> PAGEREF _Toc242103184 \h </w:instrText>
      </w:r>
      <w:r>
        <w:rPr>
          <w:noProof/>
        </w:rPr>
      </w:r>
      <w:r>
        <w:rPr>
          <w:noProof/>
        </w:rPr>
        <w:fldChar w:fldCharType="separate"/>
      </w:r>
      <w:r>
        <w:rPr>
          <w:noProof/>
        </w:rPr>
        <w:t>47</w:t>
      </w:r>
      <w:r>
        <w:rPr>
          <w:noProof/>
        </w:rPr>
        <w:fldChar w:fldCharType="end"/>
      </w:r>
    </w:p>
    <w:p w14:paraId="0E38720C" w14:textId="2098076B" w:rsidR="009650FE" w:rsidRDefault="009650FE" w:rsidP="009650FE">
      <w:pPr>
        <w:pStyle w:val="Inhopg3"/>
        <w:tabs>
          <w:tab w:val="right" w:leader="dot" w:pos="9062"/>
        </w:tabs>
        <w:divId w:val="863442105"/>
        <w:rPr>
          <w:rFonts w:asciiTheme="minorHAnsi" w:hAnsiTheme="minorHAnsi" w:cstheme="minorBidi"/>
          <w:noProof/>
          <w:kern w:val="2"/>
          <w:sz w:val="24"/>
          <w14:ligatures w14:val="standardContextual"/>
        </w:rPr>
      </w:pPr>
      <w:r w:rsidRPr="0040793E">
        <w:rPr>
          <w:rFonts w:eastAsia="Times New Roman"/>
          <w:noProof/>
          <w:lang w:val="en-GB"/>
        </w:rPr>
        <w:t>What the website says</w:t>
      </w:r>
      <w:r>
        <w:rPr>
          <w:noProof/>
        </w:rPr>
        <w:tab/>
      </w:r>
      <w:r>
        <w:rPr>
          <w:noProof/>
        </w:rPr>
        <w:fldChar w:fldCharType="begin"/>
      </w:r>
      <w:r>
        <w:rPr>
          <w:noProof/>
        </w:rPr>
        <w:instrText xml:space="preserve"> PAGEREF _Toc242103185 \h </w:instrText>
      </w:r>
      <w:r>
        <w:rPr>
          <w:noProof/>
        </w:rPr>
      </w:r>
      <w:r>
        <w:rPr>
          <w:noProof/>
        </w:rPr>
        <w:fldChar w:fldCharType="separate"/>
      </w:r>
      <w:r>
        <w:rPr>
          <w:noProof/>
        </w:rPr>
        <w:t>47</w:t>
      </w:r>
      <w:r>
        <w:rPr>
          <w:noProof/>
        </w:rPr>
        <w:fldChar w:fldCharType="end"/>
      </w:r>
    </w:p>
    <w:p w14:paraId="267BE7D0" w14:textId="45434595" w:rsidR="009650FE" w:rsidRDefault="009650FE" w:rsidP="009650FE">
      <w:pPr>
        <w:pStyle w:val="Inhopg3"/>
        <w:tabs>
          <w:tab w:val="right" w:leader="dot" w:pos="9062"/>
        </w:tabs>
        <w:divId w:val="863442105"/>
        <w:rPr>
          <w:rFonts w:asciiTheme="minorHAnsi" w:hAnsiTheme="minorHAnsi" w:cstheme="minorBidi"/>
          <w:noProof/>
          <w:kern w:val="2"/>
          <w:sz w:val="24"/>
          <w14:ligatures w14:val="standardContextual"/>
        </w:rPr>
      </w:pPr>
      <w:r w:rsidRPr="0040793E">
        <w:rPr>
          <w:rFonts w:eastAsia="Times New Roman"/>
          <w:noProof/>
          <w:lang w:val="en-GB"/>
        </w:rPr>
        <w:t>What this achieves</w:t>
      </w:r>
      <w:r>
        <w:rPr>
          <w:noProof/>
        </w:rPr>
        <w:tab/>
      </w:r>
      <w:r>
        <w:rPr>
          <w:noProof/>
        </w:rPr>
        <w:fldChar w:fldCharType="begin"/>
      </w:r>
      <w:r>
        <w:rPr>
          <w:noProof/>
        </w:rPr>
        <w:instrText xml:space="preserve"> PAGEREF _Toc242103186 \h </w:instrText>
      </w:r>
      <w:r>
        <w:rPr>
          <w:noProof/>
        </w:rPr>
      </w:r>
      <w:r>
        <w:rPr>
          <w:noProof/>
        </w:rPr>
        <w:fldChar w:fldCharType="separate"/>
      </w:r>
      <w:r>
        <w:rPr>
          <w:noProof/>
        </w:rPr>
        <w:t>47</w:t>
      </w:r>
      <w:r>
        <w:rPr>
          <w:noProof/>
        </w:rPr>
        <w:fldChar w:fldCharType="end"/>
      </w:r>
    </w:p>
    <w:p w14:paraId="7A78EBE7" w14:textId="39E3F2B0" w:rsidR="009650FE" w:rsidRDefault="009650FE" w:rsidP="009650FE">
      <w:pPr>
        <w:pStyle w:val="Inhopg2"/>
        <w:tabs>
          <w:tab w:val="right" w:leader="dot" w:pos="9062"/>
        </w:tabs>
        <w:divId w:val="863442105"/>
        <w:rPr>
          <w:rFonts w:asciiTheme="minorHAnsi" w:hAnsiTheme="minorHAnsi" w:cstheme="minorBidi"/>
          <w:noProof/>
          <w:kern w:val="2"/>
          <w:sz w:val="24"/>
          <w14:ligatures w14:val="standardContextual"/>
        </w:rPr>
      </w:pPr>
      <w:r w:rsidRPr="0040793E">
        <w:rPr>
          <w:rFonts w:eastAsia="Times New Roman"/>
          <w:noProof/>
          <w:lang w:val="en-GB"/>
        </w:rPr>
        <w:t>The CM and the flow of funds</w:t>
      </w:r>
      <w:r>
        <w:rPr>
          <w:noProof/>
        </w:rPr>
        <w:tab/>
      </w:r>
      <w:r>
        <w:rPr>
          <w:noProof/>
        </w:rPr>
        <w:fldChar w:fldCharType="begin"/>
      </w:r>
      <w:r>
        <w:rPr>
          <w:noProof/>
        </w:rPr>
        <w:instrText xml:space="preserve"> PAGEREF _Toc242103187 \h </w:instrText>
      </w:r>
      <w:r>
        <w:rPr>
          <w:noProof/>
        </w:rPr>
      </w:r>
      <w:r>
        <w:rPr>
          <w:noProof/>
        </w:rPr>
        <w:fldChar w:fldCharType="separate"/>
      </w:r>
      <w:r>
        <w:rPr>
          <w:noProof/>
        </w:rPr>
        <w:t>49</w:t>
      </w:r>
      <w:r>
        <w:rPr>
          <w:noProof/>
        </w:rPr>
        <w:fldChar w:fldCharType="end"/>
      </w:r>
    </w:p>
    <w:p w14:paraId="0BFEF8DA" w14:textId="79E2C39B" w:rsidR="009650FE" w:rsidRDefault="009650FE" w:rsidP="009650FE">
      <w:pPr>
        <w:pStyle w:val="Inhopg3"/>
        <w:tabs>
          <w:tab w:val="right" w:leader="dot" w:pos="9062"/>
        </w:tabs>
        <w:divId w:val="863442105"/>
        <w:rPr>
          <w:rFonts w:asciiTheme="minorHAnsi" w:hAnsiTheme="minorHAnsi" w:cstheme="minorBidi"/>
          <w:noProof/>
          <w:kern w:val="2"/>
          <w:sz w:val="24"/>
          <w14:ligatures w14:val="standardContextual"/>
        </w:rPr>
      </w:pPr>
      <w:r w:rsidRPr="0040793E">
        <w:rPr>
          <w:rFonts w:eastAsia="Times New Roman"/>
          <w:noProof/>
          <w:lang w:val="en-GB"/>
        </w:rPr>
        <w:t>Part A — The three funding streams</w:t>
      </w:r>
      <w:r>
        <w:rPr>
          <w:noProof/>
        </w:rPr>
        <w:tab/>
      </w:r>
      <w:r>
        <w:rPr>
          <w:noProof/>
        </w:rPr>
        <w:fldChar w:fldCharType="begin"/>
      </w:r>
      <w:r>
        <w:rPr>
          <w:noProof/>
        </w:rPr>
        <w:instrText xml:space="preserve"> PAGEREF _Toc242103188 \h </w:instrText>
      </w:r>
      <w:r>
        <w:rPr>
          <w:noProof/>
        </w:rPr>
      </w:r>
      <w:r>
        <w:rPr>
          <w:noProof/>
        </w:rPr>
        <w:fldChar w:fldCharType="separate"/>
      </w:r>
      <w:r>
        <w:rPr>
          <w:noProof/>
        </w:rPr>
        <w:t>49</w:t>
      </w:r>
      <w:r>
        <w:rPr>
          <w:noProof/>
        </w:rPr>
        <w:fldChar w:fldCharType="end"/>
      </w:r>
    </w:p>
    <w:p w14:paraId="4F9D8774" w14:textId="3AA7F49E" w:rsidR="009650FE" w:rsidRDefault="009650FE" w:rsidP="009650FE">
      <w:pPr>
        <w:pStyle w:val="Inhopg3"/>
        <w:tabs>
          <w:tab w:val="right" w:leader="dot" w:pos="9062"/>
        </w:tabs>
        <w:divId w:val="863442105"/>
        <w:rPr>
          <w:rFonts w:asciiTheme="minorHAnsi" w:hAnsiTheme="minorHAnsi" w:cstheme="minorBidi"/>
          <w:noProof/>
          <w:kern w:val="2"/>
          <w:sz w:val="24"/>
          <w14:ligatures w14:val="standardContextual"/>
        </w:rPr>
      </w:pPr>
      <w:r w:rsidRPr="0040793E">
        <w:rPr>
          <w:rFonts w:eastAsia="Times New Roman"/>
          <w:noProof/>
          <w:lang w:val="en-GB"/>
        </w:rPr>
        <w:t>Part B — Social Security contributions and their allocation</w:t>
      </w:r>
      <w:r>
        <w:rPr>
          <w:noProof/>
        </w:rPr>
        <w:tab/>
      </w:r>
      <w:r>
        <w:rPr>
          <w:noProof/>
        </w:rPr>
        <w:fldChar w:fldCharType="begin"/>
      </w:r>
      <w:r>
        <w:rPr>
          <w:noProof/>
        </w:rPr>
        <w:instrText xml:space="preserve"> PAGEREF _Toc242103189 \h </w:instrText>
      </w:r>
      <w:r>
        <w:rPr>
          <w:noProof/>
        </w:rPr>
      </w:r>
      <w:r>
        <w:rPr>
          <w:noProof/>
        </w:rPr>
        <w:fldChar w:fldCharType="separate"/>
      </w:r>
      <w:r>
        <w:rPr>
          <w:noProof/>
        </w:rPr>
        <w:t>49</w:t>
      </w:r>
      <w:r>
        <w:rPr>
          <w:noProof/>
        </w:rPr>
        <w:fldChar w:fldCharType="end"/>
      </w:r>
    </w:p>
    <w:p w14:paraId="6962592F" w14:textId="20DFBBF6" w:rsidR="009650FE" w:rsidRDefault="009650FE" w:rsidP="009650FE">
      <w:pPr>
        <w:pStyle w:val="Inhopg3"/>
        <w:tabs>
          <w:tab w:val="right" w:leader="dot" w:pos="9062"/>
        </w:tabs>
        <w:divId w:val="863442105"/>
        <w:rPr>
          <w:rFonts w:asciiTheme="minorHAnsi" w:hAnsiTheme="minorHAnsi" w:cstheme="minorBidi"/>
          <w:noProof/>
          <w:kern w:val="2"/>
          <w:sz w:val="24"/>
          <w14:ligatures w14:val="standardContextual"/>
        </w:rPr>
      </w:pPr>
      <w:r w:rsidRPr="0040793E">
        <w:rPr>
          <w:rFonts w:eastAsia="Times New Roman"/>
          <w:noProof/>
          <w:lang w:val="en-GB"/>
        </w:rPr>
        <w:t>Part C — Why assistive devices are covered but benefits are not</w:t>
      </w:r>
      <w:r>
        <w:rPr>
          <w:noProof/>
        </w:rPr>
        <w:tab/>
      </w:r>
      <w:r>
        <w:rPr>
          <w:noProof/>
        </w:rPr>
        <w:fldChar w:fldCharType="begin"/>
      </w:r>
      <w:r>
        <w:rPr>
          <w:noProof/>
        </w:rPr>
        <w:instrText xml:space="preserve"> PAGEREF _Toc242103190 \h </w:instrText>
      </w:r>
      <w:r>
        <w:rPr>
          <w:noProof/>
        </w:rPr>
      </w:r>
      <w:r>
        <w:rPr>
          <w:noProof/>
        </w:rPr>
        <w:fldChar w:fldCharType="separate"/>
      </w:r>
      <w:r>
        <w:rPr>
          <w:noProof/>
        </w:rPr>
        <w:t>50</w:t>
      </w:r>
      <w:r>
        <w:rPr>
          <w:noProof/>
        </w:rPr>
        <w:fldChar w:fldCharType="end"/>
      </w:r>
    </w:p>
    <w:p w14:paraId="7D045D6D" w14:textId="0E74B241" w:rsidR="009650FE" w:rsidRDefault="009650FE" w:rsidP="009650FE">
      <w:pPr>
        <w:pStyle w:val="Inhopg3"/>
        <w:tabs>
          <w:tab w:val="right" w:leader="dot" w:pos="9062"/>
        </w:tabs>
        <w:divId w:val="863442105"/>
        <w:rPr>
          <w:rFonts w:asciiTheme="minorHAnsi" w:hAnsiTheme="minorHAnsi" w:cstheme="minorBidi"/>
          <w:noProof/>
          <w:kern w:val="2"/>
          <w:sz w:val="24"/>
          <w14:ligatures w14:val="standardContextual"/>
        </w:rPr>
      </w:pPr>
      <w:r w:rsidRPr="0040793E">
        <w:rPr>
          <w:rFonts w:eastAsia="Times New Roman"/>
          <w:noProof/>
          <w:lang w:val="en-GB"/>
        </w:rPr>
        <w:t>Part D — The CDZ as a supervisory authority</w:t>
      </w:r>
      <w:r>
        <w:rPr>
          <w:noProof/>
        </w:rPr>
        <w:tab/>
      </w:r>
      <w:r>
        <w:rPr>
          <w:noProof/>
        </w:rPr>
        <w:fldChar w:fldCharType="begin"/>
      </w:r>
      <w:r>
        <w:rPr>
          <w:noProof/>
        </w:rPr>
        <w:instrText xml:space="preserve"> PAGEREF _Toc242103191 \h </w:instrText>
      </w:r>
      <w:r>
        <w:rPr>
          <w:noProof/>
        </w:rPr>
      </w:r>
      <w:r>
        <w:rPr>
          <w:noProof/>
        </w:rPr>
        <w:fldChar w:fldCharType="separate"/>
      </w:r>
      <w:r>
        <w:rPr>
          <w:noProof/>
        </w:rPr>
        <w:t>50</w:t>
      </w:r>
      <w:r>
        <w:rPr>
          <w:noProof/>
        </w:rPr>
        <w:fldChar w:fldCharType="end"/>
      </w:r>
    </w:p>
    <w:p w14:paraId="2B811A61" w14:textId="0A942FCD" w:rsidR="009650FE" w:rsidRDefault="009650FE" w:rsidP="009650FE">
      <w:pPr>
        <w:pStyle w:val="Inhopg3"/>
        <w:tabs>
          <w:tab w:val="right" w:leader="dot" w:pos="9062"/>
        </w:tabs>
        <w:divId w:val="863442105"/>
        <w:rPr>
          <w:rFonts w:asciiTheme="minorHAnsi" w:hAnsiTheme="minorHAnsi" w:cstheme="minorBidi"/>
          <w:noProof/>
          <w:kern w:val="2"/>
          <w:sz w:val="24"/>
          <w14:ligatures w14:val="standardContextual"/>
        </w:rPr>
      </w:pPr>
      <w:r w:rsidRPr="0040793E">
        <w:rPr>
          <w:rFonts w:eastAsia="Times New Roman"/>
          <w:noProof/>
          <w:lang w:val="en-GB"/>
        </w:rPr>
        <w:t>Part E — The Labour Audit Office: who monitors the monitor?</w:t>
      </w:r>
      <w:r>
        <w:rPr>
          <w:noProof/>
        </w:rPr>
        <w:tab/>
      </w:r>
      <w:r>
        <w:rPr>
          <w:noProof/>
        </w:rPr>
        <w:fldChar w:fldCharType="begin"/>
      </w:r>
      <w:r>
        <w:rPr>
          <w:noProof/>
        </w:rPr>
        <w:instrText xml:space="preserve"> PAGEREF _Toc242103192 \h </w:instrText>
      </w:r>
      <w:r>
        <w:rPr>
          <w:noProof/>
        </w:rPr>
      </w:r>
      <w:r>
        <w:rPr>
          <w:noProof/>
        </w:rPr>
        <w:fldChar w:fldCharType="separate"/>
      </w:r>
      <w:r>
        <w:rPr>
          <w:noProof/>
        </w:rPr>
        <w:t>51</w:t>
      </w:r>
      <w:r>
        <w:rPr>
          <w:noProof/>
        </w:rPr>
        <w:fldChar w:fldCharType="end"/>
      </w:r>
    </w:p>
    <w:p w14:paraId="12DDD7C7" w14:textId="52BEAA13" w:rsidR="009650FE" w:rsidRDefault="009650FE" w:rsidP="009650FE">
      <w:pPr>
        <w:pStyle w:val="Inhopg3"/>
        <w:tabs>
          <w:tab w:val="right" w:leader="dot" w:pos="9062"/>
        </w:tabs>
        <w:divId w:val="863442105"/>
        <w:rPr>
          <w:rFonts w:asciiTheme="minorHAnsi" w:hAnsiTheme="minorHAnsi" w:cstheme="minorBidi"/>
          <w:noProof/>
          <w:kern w:val="2"/>
          <w:sz w:val="24"/>
          <w14:ligatures w14:val="standardContextual"/>
        </w:rPr>
      </w:pPr>
      <w:r w:rsidRPr="0040793E">
        <w:rPr>
          <w:rFonts w:eastAsia="Times New Roman"/>
          <w:noProof/>
          <w:lang w:val="en-GB"/>
        </w:rPr>
        <w:t>Part F — The Medical Council: disciplinary proceedings against the medical adviser</w:t>
      </w:r>
      <w:r>
        <w:rPr>
          <w:noProof/>
        </w:rPr>
        <w:tab/>
      </w:r>
      <w:r>
        <w:rPr>
          <w:noProof/>
        </w:rPr>
        <w:fldChar w:fldCharType="begin"/>
      </w:r>
      <w:r>
        <w:rPr>
          <w:noProof/>
        </w:rPr>
        <w:instrText xml:space="preserve"> PAGEREF _Toc242103193 \h </w:instrText>
      </w:r>
      <w:r>
        <w:rPr>
          <w:noProof/>
        </w:rPr>
      </w:r>
      <w:r>
        <w:rPr>
          <w:noProof/>
        </w:rPr>
        <w:fldChar w:fldCharType="separate"/>
      </w:r>
      <w:r>
        <w:rPr>
          <w:noProof/>
        </w:rPr>
        <w:t>51</w:t>
      </w:r>
      <w:r>
        <w:rPr>
          <w:noProof/>
        </w:rPr>
        <w:fldChar w:fldCharType="end"/>
      </w:r>
    </w:p>
    <w:p w14:paraId="63ABAD48" w14:textId="2D56ECFE" w:rsidR="009650FE" w:rsidRDefault="009650FE" w:rsidP="009650FE">
      <w:pPr>
        <w:pStyle w:val="Inhopg3"/>
        <w:tabs>
          <w:tab w:val="right" w:leader="dot" w:pos="9062"/>
        </w:tabs>
        <w:divId w:val="863442105"/>
        <w:rPr>
          <w:rFonts w:asciiTheme="minorHAnsi" w:hAnsiTheme="minorHAnsi" w:cstheme="minorBidi"/>
          <w:noProof/>
          <w:kern w:val="2"/>
          <w:sz w:val="24"/>
          <w14:ligatures w14:val="standardContextual"/>
        </w:rPr>
      </w:pPr>
      <w:r w:rsidRPr="0040793E">
        <w:rPr>
          <w:rFonts w:eastAsia="Times New Roman"/>
          <w:noProof/>
          <w:lang w:val="en-GB"/>
        </w:rPr>
        <w:t>Part G — What this chapter sets out</w:t>
      </w:r>
      <w:r>
        <w:rPr>
          <w:noProof/>
        </w:rPr>
        <w:tab/>
      </w:r>
      <w:r>
        <w:rPr>
          <w:noProof/>
        </w:rPr>
        <w:fldChar w:fldCharType="begin"/>
      </w:r>
      <w:r>
        <w:rPr>
          <w:noProof/>
        </w:rPr>
        <w:instrText xml:space="preserve"> PAGEREF _Toc242103194 \h </w:instrText>
      </w:r>
      <w:r>
        <w:rPr>
          <w:noProof/>
        </w:rPr>
      </w:r>
      <w:r>
        <w:rPr>
          <w:noProof/>
        </w:rPr>
        <w:fldChar w:fldCharType="separate"/>
      </w:r>
      <w:r>
        <w:rPr>
          <w:noProof/>
        </w:rPr>
        <w:t>52</w:t>
      </w:r>
      <w:r>
        <w:rPr>
          <w:noProof/>
        </w:rPr>
        <w:fldChar w:fldCharType="end"/>
      </w:r>
    </w:p>
    <w:p w14:paraId="4C2381A4" w14:textId="4C1D29C8" w:rsidR="009650FE" w:rsidRDefault="009650FE" w:rsidP="009650FE">
      <w:pPr>
        <w:pStyle w:val="Inhopg1"/>
        <w:tabs>
          <w:tab w:val="right" w:leader="dot" w:pos="9062"/>
        </w:tabs>
        <w:divId w:val="863442105"/>
        <w:rPr>
          <w:rFonts w:asciiTheme="minorHAnsi" w:hAnsiTheme="minorHAnsi" w:cstheme="minorBidi"/>
          <w:noProof/>
          <w:kern w:val="2"/>
          <w:sz w:val="24"/>
          <w14:ligatures w14:val="standardContextual"/>
        </w:rPr>
      </w:pPr>
      <w:r w:rsidRPr="0040793E">
        <w:rPr>
          <w:rFonts w:eastAsia="Times New Roman"/>
          <w:noProof/>
          <w:lang w:val="en-GB"/>
        </w:rPr>
        <w:t>III. The Netherlands</w:t>
      </w:r>
      <w:r>
        <w:rPr>
          <w:noProof/>
        </w:rPr>
        <w:tab/>
      </w:r>
      <w:r>
        <w:rPr>
          <w:noProof/>
        </w:rPr>
        <w:fldChar w:fldCharType="begin"/>
      </w:r>
      <w:r>
        <w:rPr>
          <w:noProof/>
        </w:rPr>
        <w:instrText xml:space="preserve"> PAGEREF _Toc242103195 \h </w:instrText>
      </w:r>
      <w:r>
        <w:rPr>
          <w:noProof/>
        </w:rPr>
      </w:r>
      <w:r>
        <w:rPr>
          <w:noProof/>
        </w:rPr>
        <w:fldChar w:fldCharType="separate"/>
      </w:r>
      <w:r>
        <w:rPr>
          <w:noProof/>
        </w:rPr>
        <w:t>54</w:t>
      </w:r>
      <w:r>
        <w:rPr>
          <w:noProof/>
        </w:rPr>
        <w:fldChar w:fldCharType="end"/>
      </w:r>
    </w:p>
    <w:p w14:paraId="09314C4B" w14:textId="3940C0C6" w:rsidR="009650FE" w:rsidRDefault="009650FE" w:rsidP="009650FE">
      <w:pPr>
        <w:pStyle w:val="Inhopg2"/>
        <w:tabs>
          <w:tab w:val="right" w:leader="dot" w:pos="9062"/>
        </w:tabs>
        <w:divId w:val="863442105"/>
        <w:rPr>
          <w:rFonts w:asciiTheme="minorHAnsi" w:hAnsiTheme="minorHAnsi" w:cstheme="minorBidi"/>
          <w:noProof/>
          <w:kern w:val="2"/>
          <w:sz w:val="24"/>
          <w14:ligatures w14:val="standardContextual"/>
        </w:rPr>
      </w:pPr>
      <w:r w:rsidRPr="0040793E">
        <w:rPr>
          <w:rFonts w:eastAsia="Times New Roman"/>
          <w:noProof/>
          <w:lang w:val="en-GB"/>
        </w:rPr>
        <w:t>The UWV and the appeals process</w:t>
      </w:r>
      <w:r>
        <w:rPr>
          <w:noProof/>
        </w:rPr>
        <w:tab/>
      </w:r>
      <w:r>
        <w:rPr>
          <w:noProof/>
        </w:rPr>
        <w:fldChar w:fldCharType="begin"/>
      </w:r>
      <w:r>
        <w:rPr>
          <w:noProof/>
        </w:rPr>
        <w:instrText xml:space="preserve"> PAGEREF _Toc242103196 \h </w:instrText>
      </w:r>
      <w:r>
        <w:rPr>
          <w:noProof/>
        </w:rPr>
      </w:r>
      <w:r>
        <w:rPr>
          <w:noProof/>
        </w:rPr>
        <w:fldChar w:fldCharType="separate"/>
      </w:r>
      <w:r>
        <w:rPr>
          <w:noProof/>
        </w:rPr>
        <w:t>54</w:t>
      </w:r>
      <w:r>
        <w:rPr>
          <w:noProof/>
        </w:rPr>
        <w:fldChar w:fldCharType="end"/>
      </w:r>
    </w:p>
    <w:p w14:paraId="4348994F" w14:textId="014F275B" w:rsidR="009650FE" w:rsidRDefault="009650FE" w:rsidP="009650FE">
      <w:pPr>
        <w:pStyle w:val="Inhopg3"/>
        <w:tabs>
          <w:tab w:val="right" w:leader="dot" w:pos="9062"/>
        </w:tabs>
        <w:divId w:val="863442105"/>
        <w:rPr>
          <w:rFonts w:asciiTheme="minorHAnsi" w:hAnsiTheme="minorHAnsi" w:cstheme="minorBidi"/>
          <w:noProof/>
          <w:kern w:val="2"/>
          <w:sz w:val="24"/>
          <w14:ligatures w14:val="standardContextual"/>
        </w:rPr>
      </w:pPr>
      <w:r w:rsidRPr="0040793E">
        <w:rPr>
          <w:rFonts w:eastAsia="Times New Roman"/>
          <w:noProof/>
          <w:lang w:val="en-GB"/>
        </w:rPr>
        <w:t>Part A — Six rounds at the UWV</w:t>
      </w:r>
      <w:r>
        <w:rPr>
          <w:noProof/>
        </w:rPr>
        <w:tab/>
      </w:r>
      <w:r>
        <w:rPr>
          <w:noProof/>
        </w:rPr>
        <w:fldChar w:fldCharType="begin"/>
      </w:r>
      <w:r>
        <w:rPr>
          <w:noProof/>
        </w:rPr>
        <w:instrText xml:space="preserve"> PAGEREF _Toc242103197 \h </w:instrText>
      </w:r>
      <w:r>
        <w:rPr>
          <w:noProof/>
        </w:rPr>
      </w:r>
      <w:r>
        <w:rPr>
          <w:noProof/>
        </w:rPr>
        <w:fldChar w:fldCharType="separate"/>
      </w:r>
      <w:r>
        <w:rPr>
          <w:noProof/>
        </w:rPr>
        <w:t>54</w:t>
      </w:r>
      <w:r>
        <w:rPr>
          <w:noProof/>
        </w:rPr>
        <w:fldChar w:fldCharType="end"/>
      </w:r>
    </w:p>
    <w:p w14:paraId="532E5127" w14:textId="63E995ED" w:rsidR="009650FE" w:rsidRDefault="009650FE" w:rsidP="009650FE">
      <w:pPr>
        <w:pStyle w:val="Inhopg3"/>
        <w:tabs>
          <w:tab w:val="right" w:leader="dot" w:pos="9062"/>
        </w:tabs>
        <w:divId w:val="863442105"/>
        <w:rPr>
          <w:rFonts w:asciiTheme="minorHAnsi" w:hAnsiTheme="minorHAnsi" w:cstheme="minorBidi"/>
          <w:noProof/>
          <w:kern w:val="2"/>
          <w:sz w:val="24"/>
          <w14:ligatures w14:val="standardContextual"/>
        </w:rPr>
      </w:pPr>
      <w:r w:rsidRPr="0040793E">
        <w:rPr>
          <w:rFonts w:eastAsia="Times New Roman"/>
          <w:noProof/>
          <w:lang w:val="en-GB"/>
        </w:rPr>
        <w:t>Part B — NEO and the C4 form</w:t>
      </w:r>
      <w:r>
        <w:rPr>
          <w:noProof/>
        </w:rPr>
        <w:tab/>
      </w:r>
      <w:r>
        <w:rPr>
          <w:noProof/>
        </w:rPr>
        <w:fldChar w:fldCharType="begin"/>
      </w:r>
      <w:r>
        <w:rPr>
          <w:noProof/>
        </w:rPr>
        <w:instrText xml:space="preserve"> PAGEREF _Toc242103198 \h </w:instrText>
      </w:r>
      <w:r>
        <w:rPr>
          <w:noProof/>
        </w:rPr>
      </w:r>
      <w:r>
        <w:rPr>
          <w:noProof/>
        </w:rPr>
        <w:fldChar w:fldCharType="separate"/>
      </w:r>
      <w:r>
        <w:rPr>
          <w:noProof/>
        </w:rPr>
        <w:t>54</w:t>
      </w:r>
      <w:r>
        <w:rPr>
          <w:noProof/>
        </w:rPr>
        <w:fldChar w:fldCharType="end"/>
      </w:r>
    </w:p>
    <w:p w14:paraId="32EC1CC3" w14:textId="59005DF2" w:rsidR="009650FE" w:rsidRDefault="009650FE" w:rsidP="009650FE">
      <w:pPr>
        <w:pStyle w:val="Inhopg3"/>
        <w:tabs>
          <w:tab w:val="right" w:leader="dot" w:pos="9062"/>
        </w:tabs>
        <w:divId w:val="863442105"/>
        <w:rPr>
          <w:rFonts w:asciiTheme="minorHAnsi" w:hAnsiTheme="minorHAnsi" w:cstheme="minorBidi"/>
          <w:noProof/>
          <w:kern w:val="2"/>
          <w:sz w:val="24"/>
          <w14:ligatures w14:val="standardContextual"/>
        </w:rPr>
      </w:pPr>
      <w:r w:rsidRPr="0040793E">
        <w:rPr>
          <w:rFonts w:eastAsia="Times New Roman"/>
          <w:noProof/>
          <w:lang w:val="en-GB"/>
        </w:rPr>
        <w:t>Part C — The refusal to synchronise foreign data</w:t>
      </w:r>
      <w:r>
        <w:rPr>
          <w:noProof/>
        </w:rPr>
        <w:tab/>
      </w:r>
      <w:r>
        <w:rPr>
          <w:noProof/>
        </w:rPr>
        <w:fldChar w:fldCharType="begin"/>
      </w:r>
      <w:r>
        <w:rPr>
          <w:noProof/>
        </w:rPr>
        <w:instrText xml:space="preserve"> PAGEREF _Toc242103199 \h </w:instrText>
      </w:r>
      <w:r>
        <w:rPr>
          <w:noProof/>
        </w:rPr>
      </w:r>
      <w:r>
        <w:rPr>
          <w:noProof/>
        </w:rPr>
        <w:fldChar w:fldCharType="separate"/>
      </w:r>
      <w:r>
        <w:rPr>
          <w:noProof/>
        </w:rPr>
        <w:t>55</w:t>
      </w:r>
      <w:r>
        <w:rPr>
          <w:noProof/>
        </w:rPr>
        <w:fldChar w:fldCharType="end"/>
      </w:r>
    </w:p>
    <w:p w14:paraId="27182548" w14:textId="67CB5B8F" w:rsidR="009650FE" w:rsidRDefault="009650FE" w:rsidP="009650FE">
      <w:pPr>
        <w:pStyle w:val="Inhopg3"/>
        <w:tabs>
          <w:tab w:val="right" w:leader="dot" w:pos="9062"/>
        </w:tabs>
        <w:divId w:val="863442105"/>
        <w:rPr>
          <w:rFonts w:asciiTheme="minorHAnsi" w:hAnsiTheme="minorHAnsi" w:cstheme="minorBidi"/>
          <w:noProof/>
          <w:kern w:val="2"/>
          <w:sz w:val="24"/>
          <w14:ligatures w14:val="standardContextual"/>
        </w:rPr>
      </w:pPr>
      <w:r w:rsidRPr="0040793E">
        <w:rPr>
          <w:rFonts w:eastAsia="Times New Roman"/>
          <w:noProof/>
          <w:lang w:val="en-GB"/>
        </w:rPr>
        <w:t>Part D — The pattern: procedural rejection</w:t>
      </w:r>
      <w:r>
        <w:rPr>
          <w:noProof/>
        </w:rPr>
        <w:tab/>
      </w:r>
      <w:r>
        <w:rPr>
          <w:noProof/>
        </w:rPr>
        <w:fldChar w:fldCharType="begin"/>
      </w:r>
      <w:r>
        <w:rPr>
          <w:noProof/>
        </w:rPr>
        <w:instrText xml:space="preserve"> PAGEREF _Toc242103200 \h </w:instrText>
      </w:r>
      <w:r>
        <w:rPr>
          <w:noProof/>
        </w:rPr>
      </w:r>
      <w:r>
        <w:rPr>
          <w:noProof/>
        </w:rPr>
        <w:fldChar w:fldCharType="separate"/>
      </w:r>
      <w:r>
        <w:rPr>
          <w:noProof/>
        </w:rPr>
        <w:t>56</w:t>
      </w:r>
      <w:r>
        <w:rPr>
          <w:noProof/>
        </w:rPr>
        <w:fldChar w:fldCharType="end"/>
      </w:r>
    </w:p>
    <w:p w14:paraId="645AF6B9" w14:textId="472AAABC" w:rsidR="009650FE" w:rsidRDefault="009650FE" w:rsidP="009650FE">
      <w:pPr>
        <w:pStyle w:val="Inhopg3"/>
        <w:tabs>
          <w:tab w:val="right" w:leader="dot" w:pos="9062"/>
        </w:tabs>
        <w:divId w:val="863442105"/>
        <w:rPr>
          <w:rFonts w:asciiTheme="minorHAnsi" w:hAnsiTheme="minorHAnsi" w:cstheme="minorBidi"/>
          <w:noProof/>
          <w:kern w:val="2"/>
          <w:sz w:val="24"/>
          <w14:ligatures w14:val="standardContextual"/>
        </w:rPr>
      </w:pPr>
      <w:r w:rsidRPr="0040793E">
        <w:rPr>
          <w:rFonts w:eastAsia="Times New Roman"/>
          <w:noProof/>
          <w:lang w:val="en-GB"/>
        </w:rPr>
        <w:t>Part E — A summary of the grounds for rejection</w:t>
      </w:r>
      <w:r>
        <w:rPr>
          <w:noProof/>
        </w:rPr>
        <w:tab/>
      </w:r>
      <w:r>
        <w:rPr>
          <w:noProof/>
        </w:rPr>
        <w:fldChar w:fldCharType="begin"/>
      </w:r>
      <w:r>
        <w:rPr>
          <w:noProof/>
        </w:rPr>
        <w:instrText xml:space="preserve"> PAGEREF _Toc242103201 \h </w:instrText>
      </w:r>
      <w:r>
        <w:rPr>
          <w:noProof/>
        </w:rPr>
      </w:r>
      <w:r>
        <w:rPr>
          <w:noProof/>
        </w:rPr>
        <w:fldChar w:fldCharType="separate"/>
      </w:r>
      <w:r>
        <w:rPr>
          <w:noProof/>
        </w:rPr>
        <w:t>56</w:t>
      </w:r>
      <w:r>
        <w:rPr>
          <w:noProof/>
        </w:rPr>
        <w:fldChar w:fldCharType="end"/>
      </w:r>
    </w:p>
    <w:p w14:paraId="10B8008F" w14:textId="4B03BE00" w:rsidR="009650FE" w:rsidRDefault="009650FE" w:rsidP="009650FE">
      <w:pPr>
        <w:pStyle w:val="Inhopg3"/>
        <w:tabs>
          <w:tab w:val="right" w:leader="dot" w:pos="9062"/>
        </w:tabs>
        <w:divId w:val="863442105"/>
        <w:rPr>
          <w:rFonts w:asciiTheme="minorHAnsi" w:hAnsiTheme="minorHAnsi" w:cstheme="minorBidi"/>
          <w:noProof/>
          <w:kern w:val="2"/>
          <w:sz w:val="24"/>
          <w14:ligatures w14:val="standardContextual"/>
        </w:rPr>
      </w:pPr>
      <w:r w:rsidRPr="0040793E">
        <w:rPr>
          <w:rFonts w:eastAsia="Times New Roman"/>
          <w:noProof/>
          <w:lang w:val="en-GB"/>
        </w:rPr>
        <w:t>Part F — The two objections in detail</w:t>
      </w:r>
      <w:r>
        <w:rPr>
          <w:noProof/>
        </w:rPr>
        <w:tab/>
      </w:r>
      <w:r>
        <w:rPr>
          <w:noProof/>
        </w:rPr>
        <w:fldChar w:fldCharType="begin"/>
      </w:r>
      <w:r>
        <w:rPr>
          <w:noProof/>
        </w:rPr>
        <w:instrText xml:space="preserve"> PAGEREF _Toc242103202 \h </w:instrText>
      </w:r>
      <w:r>
        <w:rPr>
          <w:noProof/>
        </w:rPr>
      </w:r>
      <w:r>
        <w:rPr>
          <w:noProof/>
        </w:rPr>
        <w:fldChar w:fldCharType="separate"/>
      </w:r>
      <w:r>
        <w:rPr>
          <w:noProof/>
        </w:rPr>
        <w:t>56</w:t>
      </w:r>
      <w:r>
        <w:rPr>
          <w:noProof/>
        </w:rPr>
        <w:fldChar w:fldCharType="end"/>
      </w:r>
    </w:p>
    <w:p w14:paraId="7DFA3042" w14:textId="2FA133D9" w:rsidR="009650FE" w:rsidRDefault="009650FE" w:rsidP="009650FE">
      <w:pPr>
        <w:pStyle w:val="Inhopg3"/>
        <w:tabs>
          <w:tab w:val="right" w:leader="dot" w:pos="9062"/>
        </w:tabs>
        <w:divId w:val="863442105"/>
        <w:rPr>
          <w:rFonts w:asciiTheme="minorHAnsi" w:hAnsiTheme="minorHAnsi" w:cstheme="minorBidi"/>
          <w:noProof/>
          <w:kern w:val="2"/>
          <w:sz w:val="24"/>
          <w14:ligatures w14:val="standardContextual"/>
        </w:rPr>
      </w:pPr>
      <w:r w:rsidRPr="0040793E">
        <w:rPr>
          <w:rFonts w:eastAsia="Times New Roman"/>
          <w:noProof/>
          <w:lang w:val="en-GB"/>
        </w:rPr>
        <w:t>Part G — What this chapter sets out</w:t>
      </w:r>
      <w:r>
        <w:rPr>
          <w:noProof/>
        </w:rPr>
        <w:tab/>
      </w:r>
      <w:r>
        <w:rPr>
          <w:noProof/>
        </w:rPr>
        <w:fldChar w:fldCharType="begin"/>
      </w:r>
      <w:r>
        <w:rPr>
          <w:noProof/>
        </w:rPr>
        <w:instrText xml:space="preserve"> PAGEREF _Toc242103203 \h </w:instrText>
      </w:r>
      <w:r>
        <w:rPr>
          <w:noProof/>
        </w:rPr>
      </w:r>
      <w:r>
        <w:rPr>
          <w:noProof/>
        </w:rPr>
        <w:fldChar w:fldCharType="separate"/>
      </w:r>
      <w:r>
        <w:rPr>
          <w:noProof/>
        </w:rPr>
        <w:t>57</w:t>
      </w:r>
      <w:r>
        <w:rPr>
          <w:noProof/>
        </w:rPr>
        <w:fldChar w:fldCharType="end"/>
      </w:r>
    </w:p>
    <w:p w14:paraId="021A4AAB" w14:textId="3A300CA7" w:rsidR="009650FE" w:rsidRDefault="009650FE" w:rsidP="009650FE">
      <w:pPr>
        <w:pStyle w:val="Inhopg2"/>
        <w:tabs>
          <w:tab w:val="right" w:leader="dot" w:pos="9062"/>
        </w:tabs>
        <w:divId w:val="863442105"/>
        <w:rPr>
          <w:rFonts w:asciiTheme="minorHAnsi" w:hAnsiTheme="minorHAnsi" w:cstheme="minorBidi"/>
          <w:noProof/>
          <w:kern w:val="2"/>
          <w:sz w:val="24"/>
          <w14:ligatures w14:val="standardContextual"/>
        </w:rPr>
      </w:pPr>
      <w:r w:rsidRPr="0040793E">
        <w:rPr>
          <w:rFonts w:eastAsia="Times New Roman"/>
          <w:noProof/>
          <w:lang w:val="en-GB"/>
        </w:rPr>
        <w:t>CZ — the two faces of the gatekeeper</w:t>
      </w:r>
      <w:r>
        <w:rPr>
          <w:noProof/>
        </w:rPr>
        <w:tab/>
      </w:r>
      <w:r>
        <w:rPr>
          <w:noProof/>
        </w:rPr>
        <w:fldChar w:fldCharType="begin"/>
      </w:r>
      <w:r>
        <w:rPr>
          <w:noProof/>
        </w:rPr>
        <w:instrText xml:space="preserve"> PAGEREF _Toc242103204 \h </w:instrText>
      </w:r>
      <w:r>
        <w:rPr>
          <w:noProof/>
        </w:rPr>
      </w:r>
      <w:r>
        <w:rPr>
          <w:noProof/>
        </w:rPr>
        <w:fldChar w:fldCharType="separate"/>
      </w:r>
      <w:r>
        <w:rPr>
          <w:noProof/>
        </w:rPr>
        <w:t>59</w:t>
      </w:r>
      <w:r>
        <w:rPr>
          <w:noProof/>
        </w:rPr>
        <w:fldChar w:fldCharType="end"/>
      </w:r>
    </w:p>
    <w:p w14:paraId="45AF2ACF" w14:textId="506BA291" w:rsidR="009650FE" w:rsidRDefault="009650FE" w:rsidP="009650FE">
      <w:pPr>
        <w:pStyle w:val="Inhopg3"/>
        <w:tabs>
          <w:tab w:val="right" w:leader="dot" w:pos="9062"/>
        </w:tabs>
        <w:divId w:val="863442105"/>
        <w:rPr>
          <w:rFonts w:asciiTheme="minorHAnsi" w:hAnsiTheme="minorHAnsi" w:cstheme="minorBidi"/>
          <w:noProof/>
          <w:kern w:val="2"/>
          <w:sz w:val="24"/>
          <w14:ligatures w14:val="standardContextual"/>
        </w:rPr>
      </w:pPr>
      <w:r w:rsidRPr="0040793E">
        <w:rPr>
          <w:rFonts w:eastAsia="Times New Roman"/>
          <w:noProof/>
          <w:lang w:val="en-GB"/>
        </w:rPr>
        <w:t>Story 1 — The insurance policy and the healthcare allowance</w:t>
      </w:r>
      <w:r>
        <w:rPr>
          <w:noProof/>
        </w:rPr>
        <w:tab/>
      </w:r>
      <w:r>
        <w:rPr>
          <w:noProof/>
        </w:rPr>
        <w:fldChar w:fldCharType="begin"/>
      </w:r>
      <w:r>
        <w:rPr>
          <w:noProof/>
        </w:rPr>
        <w:instrText xml:space="preserve"> PAGEREF _Toc242103205 \h </w:instrText>
      </w:r>
      <w:r>
        <w:rPr>
          <w:noProof/>
        </w:rPr>
      </w:r>
      <w:r>
        <w:rPr>
          <w:noProof/>
        </w:rPr>
        <w:fldChar w:fldCharType="separate"/>
      </w:r>
      <w:r>
        <w:rPr>
          <w:noProof/>
        </w:rPr>
        <w:t>59</w:t>
      </w:r>
      <w:r>
        <w:rPr>
          <w:noProof/>
        </w:rPr>
        <w:fldChar w:fldCharType="end"/>
      </w:r>
    </w:p>
    <w:p w14:paraId="6C0A12E0" w14:textId="7BF27196" w:rsidR="009650FE" w:rsidRDefault="009650FE" w:rsidP="009650FE">
      <w:pPr>
        <w:pStyle w:val="Inhopg3"/>
        <w:tabs>
          <w:tab w:val="right" w:leader="dot" w:pos="9062"/>
        </w:tabs>
        <w:divId w:val="863442105"/>
        <w:rPr>
          <w:rFonts w:asciiTheme="minorHAnsi" w:hAnsiTheme="minorHAnsi" w:cstheme="minorBidi"/>
          <w:noProof/>
          <w:kern w:val="2"/>
          <w:sz w:val="24"/>
          <w14:ligatures w14:val="standardContextual"/>
        </w:rPr>
      </w:pPr>
      <w:r w:rsidRPr="0040793E">
        <w:rPr>
          <w:rFonts w:eastAsia="Times New Roman"/>
          <w:noProof/>
          <w:lang w:val="en-GB"/>
        </w:rPr>
        <w:t>Story 1a — The chain of the blockade: CZ, CAK, ZIN</w:t>
      </w:r>
      <w:r>
        <w:rPr>
          <w:noProof/>
        </w:rPr>
        <w:tab/>
      </w:r>
      <w:r>
        <w:rPr>
          <w:noProof/>
        </w:rPr>
        <w:fldChar w:fldCharType="begin"/>
      </w:r>
      <w:r>
        <w:rPr>
          <w:noProof/>
        </w:rPr>
        <w:instrText xml:space="preserve"> PAGEREF _Toc242103206 \h </w:instrText>
      </w:r>
      <w:r>
        <w:rPr>
          <w:noProof/>
        </w:rPr>
      </w:r>
      <w:r>
        <w:rPr>
          <w:noProof/>
        </w:rPr>
        <w:fldChar w:fldCharType="separate"/>
      </w:r>
      <w:r>
        <w:rPr>
          <w:noProof/>
        </w:rPr>
        <w:t>60</w:t>
      </w:r>
      <w:r>
        <w:rPr>
          <w:noProof/>
        </w:rPr>
        <w:fldChar w:fldCharType="end"/>
      </w:r>
    </w:p>
    <w:p w14:paraId="59831DC0" w14:textId="562663D8" w:rsidR="009650FE" w:rsidRDefault="009650FE" w:rsidP="009650FE">
      <w:pPr>
        <w:pStyle w:val="Inhopg3"/>
        <w:tabs>
          <w:tab w:val="right" w:leader="dot" w:pos="9062"/>
        </w:tabs>
        <w:divId w:val="863442105"/>
        <w:rPr>
          <w:rFonts w:asciiTheme="minorHAnsi" w:hAnsiTheme="minorHAnsi" w:cstheme="minorBidi"/>
          <w:noProof/>
          <w:kern w:val="2"/>
          <w:sz w:val="24"/>
          <w14:ligatures w14:val="standardContextual"/>
        </w:rPr>
      </w:pPr>
      <w:r w:rsidRPr="0040793E">
        <w:rPr>
          <w:rFonts w:eastAsia="Times New Roman"/>
          <w:noProof/>
          <w:lang w:val="en-GB"/>
        </w:rPr>
        <w:t>Story 2 — Patient transport</w:t>
      </w:r>
      <w:r>
        <w:rPr>
          <w:noProof/>
        </w:rPr>
        <w:tab/>
      </w:r>
      <w:r>
        <w:rPr>
          <w:noProof/>
        </w:rPr>
        <w:fldChar w:fldCharType="begin"/>
      </w:r>
      <w:r>
        <w:rPr>
          <w:noProof/>
        </w:rPr>
        <w:instrText xml:space="preserve"> PAGEREF _Toc242103207 \h </w:instrText>
      </w:r>
      <w:r>
        <w:rPr>
          <w:noProof/>
        </w:rPr>
      </w:r>
      <w:r>
        <w:rPr>
          <w:noProof/>
        </w:rPr>
        <w:fldChar w:fldCharType="separate"/>
      </w:r>
      <w:r>
        <w:rPr>
          <w:noProof/>
        </w:rPr>
        <w:t>61</w:t>
      </w:r>
      <w:r>
        <w:rPr>
          <w:noProof/>
        </w:rPr>
        <w:fldChar w:fldCharType="end"/>
      </w:r>
    </w:p>
    <w:p w14:paraId="16192AB1" w14:textId="0D3DFB98" w:rsidR="009650FE" w:rsidRDefault="009650FE" w:rsidP="009650FE">
      <w:pPr>
        <w:pStyle w:val="Inhopg3"/>
        <w:tabs>
          <w:tab w:val="right" w:leader="dot" w:pos="9062"/>
        </w:tabs>
        <w:divId w:val="863442105"/>
        <w:rPr>
          <w:rFonts w:asciiTheme="minorHAnsi" w:hAnsiTheme="minorHAnsi" w:cstheme="minorBidi"/>
          <w:noProof/>
          <w:kern w:val="2"/>
          <w:sz w:val="24"/>
          <w14:ligatures w14:val="standardContextual"/>
        </w:rPr>
      </w:pPr>
      <w:r w:rsidRPr="0040793E">
        <w:rPr>
          <w:rFonts w:eastAsia="Times New Roman"/>
          <w:noProof/>
          <w:lang w:val="en-GB"/>
        </w:rPr>
        <w:t>Part C — The parallel: CZ and CM</w:t>
      </w:r>
      <w:r>
        <w:rPr>
          <w:noProof/>
        </w:rPr>
        <w:tab/>
      </w:r>
      <w:r>
        <w:rPr>
          <w:noProof/>
        </w:rPr>
        <w:fldChar w:fldCharType="begin"/>
      </w:r>
      <w:r>
        <w:rPr>
          <w:noProof/>
        </w:rPr>
        <w:instrText xml:space="preserve"> PAGEREF _Toc242103208 \h </w:instrText>
      </w:r>
      <w:r>
        <w:rPr>
          <w:noProof/>
        </w:rPr>
      </w:r>
      <w:r>
        <w:rPr>
          <w:noProof/>
        </w:rPr>
        <w:fldChar w:fldCharType="separate"/>
      </w:r>
      <w:r>
        <w:rPr>
          <w:noProof/>
        </w:rPr>
        <w:t>62</w:t>
      </w:r>
      <w:r>
        <w:rPr>
          <w:noProof/>
        </w:rPr>
        <w:fldChar w:fldCharType="end"/>
      </w:r>
    </w:p>
    <w:p w14:paraId="5E8776E8" w14:textId="7E3FE804" w:rsidR="009650FE" w:rsidRDefault="009650FE" w:rsidP="009650FE">
      <w:pPr>
        <w:pStyle w:val="Inhopg3"/>
        <w:tabs>
          <w:tab w:val="right" w:leader="dot" w:pos="9062"/>
        </w:tabs>
        <w:divId w:val="863442105"/>
        <w:rPr>
          <w:rFonts w:asciiTheme="minorHAnsi" w:hAnsiTheme="minorHAnsi" w:cstheme="minorBidi"/>
          <w:noProof/>
          <w:kern w:val="2"/>
          <w:sz w:val="24"/>
          <w14:ligatures w14:val="standardContextual"/>
        </w:rPr>
      </w:pPr>
      <w:r w:rsidRPr="0040793E">
        <w:rPr>
          <w:rFonts w:eastAsia="Times New Roman"/>
          <w:noProof/>
          <w:lang w:val="en-GB"/>
        </w:rPr>
        <w:t>Part D — What this achieves</w:t>
      </w:r>
      <w:r>
        <w:rPr>
          <w:noProof/>
        </w:rPr>
        <w:tab/>
      </w:r>
      <w:r>
        <w:rPr>
          <w:noProof/>
        </w:rPr>
        <w:fldChar w:fldCharType="begin"/>
      </w:r>
      <w:r>
        <w:rPr>
          <w:noProof/>
        </w:rPr>
        <w:instrText xml:space="preserve"> PAGEREF _Toc242103209 \h </w:instrText>
      </w:r>
      <w:r>
        <w:rPr>
          <w:noProof/>
        </w:rPr>
      </w:r>
      <w:r>
        <w:rPr>
          <w:noProof/>
        </w:rPr>
        <w:fldChar w:fldCharType="separate"/>
      </w:r>
      <w:r>
        <w:rPr>
          <w:noProof/>
        </w:rPr>
        <w:t>62</w:t>
      </w:r>
      <w:r>
        <w:rPr>
          <w:noProof/>
        </w:rPr>
        <w:fldChar w:fldCharType="end"/>
      </w:r>
    </w:p>
    <w:p w14:paraId="0DE97B60" w14:textId="5258D2A0" w:rsidR="009650FE" w:rsidRDefault="009650FE" w:rsidP="009650FE">
      <w:pPr>
        <w:pStyle w:val="Inhopg2"/>
        <w:tabs>
          <w:tab w:val="right" w:leader="dot" w:pos="9062"/>
        </w:tabs>
        <w:divId w:val="863442105"/>
        <w:rPr>
          <w:rFonts w:asciiTheme="minorHAnsi" w:hAnsiTheme="minorHAnsi" w:cstheme="minorBidi"/>
          <w:noProof/>
          <w:kern w:val="2"/>
          <w:sz w:val="24"/>
          <w14:ligatures w14:val="standardContextual"/>
        </w:rPr>
      </w:pPr>
      <w:r w:rsidRPr="0040793E">
        <w:rPr>
          <w:rFonts w:eastAsia="Times New Roman"/>
          <w:noProof/>
          <w:lang w:val="en-GB"/>
        </w:rPr>
        <w:t>The Hulst-trap municipality</w:t>
      </w:r>
      <w:r>
        <w:rPr>
          <w:noProof/>
        </w:rPr>
        <w:tab/>
      </w:r>
      <w:r>
        <w:rPr>
          <w:noProof/>
        </w:rPr>
        <w:fldChar w:fldCharType="begin"/>
      </w:r>
      <w:r>
        <w:rPr>
          <w:noProof/>
        </w:rPr>
        <w:instrText xml:space="preserve"> PAGEREF _Toc242103210 \h </w:instrText>
      </w:r>
      <w:r>
        <w:rPr>
          <w:noProof/>
        </w:rPr>
      </w:r>
      <w:r>
        <w:rPr>
          <w:noProof/>
        </w:rPr>
        <w:fldChar w:fldCharType="separate"/>
      </w:r>
      <w:r>
        <w:rPr>
          <w:noProof/>
        </w:rPr>
        <w:t>64</w:t>
      </w:r>
      <w:r>
        <w:rPr>
          <w:noProof/>
        </w:rPr>
        <w:fldChar w:fldCharType="end"/>
      </w:r>
    </w:p>
    <w:p w14:paraId="512EC43A" w14:textId="71828E25" w:rsidR="009650FE" w:rsidRDefault="009650FE" w:rsidP="009650FE">
      <w:pPr>
        <w:pStyle w:val="Inhopg3"/>
        <w:tabs>
          <w:tab w:val="right" w:leader="dot" w:pos="9062"/>
        </w:tabs>
        <w:divId w:val="863442105"/>
        <w:rPr>
          <w:rFonts w:asciiTheme="minorHAnsi" w:hAnsiTheme="minorHAnsi" w:cstheme="minorBidi"/>
          <w:noProof/>
          <w:kern w:val="2"/>
          <w:sz w:val="24"/>
          <w14:ligatures w14:val="standardContextual"/>
        </w:rPr>
      </w:pPr>
      <w:r w:rsidRPr="0040793E">
        <w:rPr>
          <w:rFonts w:eastAsia="Times New Roman"/>
          <w:noProof/>
          <w:lang w:val="en-GB"/>
        </w:rPr>
        <w:t>Part A — The local authority as the first point of contact that doesn’t help</w:t>
      </w:r>
      <w:r>
        <w:rPr>
          <w:noProof/>
        </w:rPr>
        <w:tab/>
      </w:r>
      <w:r>
        <w:rPr>
          <w:noProof/>
        </w:rPr>
        <w:fldChar w:fldCharType="begin"/>
      </w:r>
      <w:r>
        <w:rPr>
          <w:noProof/>
        </w:rPr>
        <w:instrText xml:space="preserve"> PAGEREF _Toc242103211 \h </w:instrText>
      </w:r>
      <w:r>
        <w:rPr>
          <w:noProof/>
        </w:rPr>
      </w:r>
      <w:r>
        <w:rPr>
          <w:noProof/>
        </w:rPr>
        <w:fldChar w:fldCharType="separate"/>
      </w:r>
      <w:r>
        <w:rPr>
          <w:noProof/>
        </w:rPr>
        <w:t>64</w:t>
      </w:r>
      <w:r>
        <w:rPr>
          <w:noProof/>
        </w:rPr>
        <w:fldChar w:fldCharType="end"/>
      </w:r>
    </w:p>
    <w:p w14:paraId="0A2AC150" w14:textId="48EFCFE3" w:rsidR="009650FE" w:rsidRDefault="009650FE" w:rsidP="009650FE">
      <w:pPr>
        <w:pStyle w:val="Inhopg3"/>
        <w:tabs>
          <w:tab w:val="right" w:leader="dot" w:pos="9062"/>
        </w:tabs>
        <w:divId w:val="863442105"/>
        <w:rPr>
          <w:rFonts w:asciiTheme="minorHAnsi" w:hAnsiTheme="minorHAnsi" w:cstheme="minorBidi"/>
          <w:noProof/>
          <w:kern w:val="2"/>
          <w:sz w:val="24"/>
          <w14:ligatures w14:val="standardContextual"/>
        </w:rPr>
      </w:pPr>
      <w:r w:rsidRPr="0040793E">
        <w:rPr>
          <w:rFonts w:eastAsia="Times New Roman"/>
          <w:noProof/>
          <w:lang w:val="en-GB"/>
        </w:rPr>
        <w:t>Part B — The pending appeal</w:t>
      </w:r>
      <w:r>
        <w:rPr>
          <w:noProof/>
        </w:rPr>
        <w:tab/>
      </w:r>
      <w:r>
        <w:rPr>
          <w:noProof/>
        </w:rPr>
        <w:fldChar w:fldCharType="begin"/>
      </w:r>
      <w:r>
        <w:rPr>
          <w:noProof/>
        </w:rPr>
        <w:instrText xml:space="preserve"> PAGEREF _Toc242103212 \h </w:instrText>
      </w:r>
      <w:r>
        <w:rPr>
          <w:noProof/>
        </w:rPr>
      </w:r>
      <w:r>
        <w:rPr>
          <w:noProof/>
        </w:rPr>
        <w:fldChar w:fldCharType="separate"/>
      </w:r>
      <w:r>
        <w:rPr>
          <w:noProof/>
        </w:rPr>
        <w:t>65</w:t>
      </w:r>
      <w:r>
        <w:rPr>
          <w:noProof/>
        </w:rPr>
        <w:fldChar w:fldCharType="end"/>
      </w:r>
    </w:p>
    <w:p w14:paraId="2546BE2E" w14:textId="56A36A0B" w:rsidR="009650FE" w:rsidRDefault="009650FE" w:rsidP="009650FE">
      <w:pPr>
        <w:pStyle w:val="Inhopg3"/>
        <w:tabs>
          <w:tab w:val="right" w:leader="dot" w:pos="9062"/>
        </w:tabs>
        <w:divId w:val="863442105"/>
        <w:rPr>
          <w:rFonts w:asciiTheme="minorHAnsi" w:hAnsiTheme="minorHAnsi" w:cstheme="minorBidi"/>
          <w:noProof/>
          <w:kern w:val="2"/>
          <w:sz w:val="24"/>
          <w14:ligatures w14:val="standardContextual"/>
        </w:rPr>
      </w:pPr>
      <w:r w:rsidRPr="0040793E">
        <w:rPr>
          <w:rFonts w:eastAsia="Times New Roman"/>
          <w:noProof/>
          <w:lang w:val="en-GB"/>
        </w:rPr>
        <w:t>Part C — The mathematical models that fail to reflect reality</w:t>
      </w:r>
      <w:r>
        <w:rPr>
          <w:noProof/>
        </w:rPr>
        <w:tab/>
      </w:r>
      <w:r>
        <w:rPr>
          <w:noProof/>
        </w:rPr>
        <w:fldChar w:fldCharType="begin"/>
      </w:r>
      <w:r>
        <w:rPr>
          <w:noProof/>
        </w:rPr>
        <w:instrText xml:space="preserve"> PAGEREF _Toc242103213 \h </w:instrText>
      </w:r>
      <w:r>
        <w:rPr>
          <w:noProof/>
        </w:rPr>
      </w:r>
      <w:r>
        <w:rPr>
          <w:noProof/>
        </w:rPr>
        <w:fldChar w:fldCharType="separate"/>
      </w:r>
      <w:r>
        <w:rPr>
          <w:noProof/>
        </w:rPr>
        <w:t>65</w:t>
      </w:r>
      <w:r>
        <w:rPr>
          <w:noProof/>
        </w:rPr>
        <w:fldChar w:fldCharType="end"/>
      </w:r>
    </w:p>
    <w:p w14:paraId="25FAB352" w14:textId="618CAB8C" w:rsidR="009650FE" w:rsidRDefault="009650FE" w:rsidP="009650FE">
      <w:pPr>
        <w:pStyle w:val="Inhopg3"/>
        <w:tabs>
          <w:tab w:val="right" w:leader="dot" w:pos="9062"/>
        </w:tabs>
        <w:divId w:val="863442105"/>
        <w:rPr>
          <w:rFonts w:asciiTheme="minorHAnsi" w:hAnsiTheme="minorHAnsi" w:cstheme="minorBidi"/>
          <w:noProof/>
          <w:kern w:val="2"/>
          <w:sz w:val="24"/>
          <w14:ligatures w14:val="standardContextual"/>
        </w:rPr>
      </w:pPr>
      <w:r w:rsidRPr="0040793E">
        <w:rPr>
          <w:rFonts w:eastAsia="Times New Roman"/>
          <w:noProof/>
          <w:lang w:val="en-GB"/>
        </w:rPr>
        <w:t>Part D — The mobility antics</w:t>
      </w:r>
      <w:r>
        <w:rPr>
          <w:noProof/>
        </w:rPr>
        <w:tab/>
      </w:r>
      <w:r>
        <w:rPr>
          <w:noProof/>
        </w:rPr>
        <w:fldChar w:fldCharType="begin"/>
      </w:r>
      <w:r>
        <w:rPr>
          <w:noProof/>
        </w:rPr>
        <w:instrText xml:space="preserve"> PAGEREF _Toc242103214 \h </w:instrText>
      </w:r>
      <w:r>
        <w:rPr>
          <w:noProof/>
        </w:rPr>
      </w:r>
      <w:r>
        <w:rPr>
          <w:noProof/>
        </w:rPr>
        <w:fldChar w:fldCharType="separate"/>
      </w:r>
      <w:r>
        <w:rPr>
          <w:noProof/>
        </w:rPr>
        <w:t>66</w:t>
      </w:r>
      <w:r>
        <w:rPr>
          <w:noProof/>
        </w:rPr>
        <w:fldChar w:fldCharType="end"/>
      </w:r>
    </w:p>
    <w:p w14:paraId="1DBE04A4" w14:textId="3F77CC93" w:rsidR="009650FE" w:rsidRDefault="009650FE" w:rsidP="009650FE">
      <w:pPr>
        <w:pStyle w:val="Inhopg3"/>
        <w:tabs>
          <w:tab w:val="right" w:leader="dot" w:pos="9062"/>
        </w:tabs>
        <w:divId w:val="863442105"/>
        <w:rPr>
          <w:rFonts w:asciiTheme="minorHAnsi" w:hAnsiTheme="minorHAnsi" w:cstheme="minorBidi"/>
          <w:noProof/>
          <w:kern w:val="2"/>
          <w:sz w:val="24"/>
          <w14:ligatures w14:val="standardContextual"/>
        </w:rPr>
      </w:pPr>
      <w:r w:rsidRPr="0040793E">
        <w:rPr>
          <w:rFonts w:eastAsia="Times New Roman"/>
          <w:noProof/>
          <w:lang w:val="en-GB"/>
        </w:rPr>
        <w:t>Part E — The limits of transport under the Wmo</w:t>
      </w:r>
      <w:r>
        <w:rPr>
          <w:noProof/>
        </w:rPr>
        <w:tab/>
      </w:r>
      <w:r>
        <w:rPr>
          <w:noProof/>
        </w:rPr>
        <w:fldChar w:fldCharType="begin"/>
      </w:r>
      <w:r>
        <w:rPr>
          <w:noProof/>
        </w:rPr>
        <w:instrText xml:space="preserve"> PAGEREF _Toc242103215 \h </w:instrText>
      </w:r>
      <w:r>
        <w:rPr>
          <w:noProof/>
        </w:rPr>
      </w:r>
      <w:r>
        <w:rPr>
          <w:noProof/>
        </w:rPr>
        <w:fldChar w:fldCharType="separate"/>
      </w:r>
      <w:r>
        <w:rPr>
          <w:noProof/>
        </w:rPr>
        <w:t>67</w:t>
      </w:r>
      <w:r>
        <w:rPr>
          <w:noProof/>
        </w:rPr>
        <w:fldChar w:fldCharType="end"/>
      </w:r>
    </w:p>
    <w:p w14:paraId="1DC4D5BB" w14:textId="5F0D4995" w:rsidR="009650FE" w:rsidRDefault="009650FE" w:rsidP="009650FE">
      <w:pPr>
        <w:pStyle w:val="Inhopg3"/>
        <w:tabs>
          <w:tab w:val="right" w:leader="dot" w:pos="9062"/>
        </w:tabs>
        <w:divId w:val="863442105"/>
        <w:rPr>
          <w:rFonts w:asciiTheme="minorHAnsi" w:hAnsiTheme="minorHAnsi" w:cstheme="minorBidi"/>
          <w:noProof/>
          <w:kern w:val="2"/>
          <w:sz w:val="24"/>
          <w14:ligatures w14:val="standardContextual"/>
        </w:rPr>
      </w:pPr>
      <w:r w:rsidRPr="0040793E">
        <w:rPr>
          <w:rFonts w:eastAsia="Times New Roman"/>
          <w:noProof/>
          <w:lang w:val="en-GB"/>
        </w:rPr>
        <w:t>Part F — The pattern repeats itself</w:t>
      </w:r>
      <w:r>
        <w:rPr>
          <w:noProof/>
        </w:rPr>
        <w:tab/>
      </w:r>
      <w:r>
        <w:rPr>
          <w:noProof/>
        </w:rPr>
        <w:fldChar w:fldCharType="begin"/>
      </w:r>
      <w:r>
        <w:rPr>
          <w:noProof/>
        </w:rPr>
        <w:instrText xml:space="preserve"> PAGEREF _Toc242103216 \h </w:instrText>
      </w:r>
      <w:r>
        <w:rPr>
          <w:noProof/>
        </w:rPr>
      </w:r>
      <w:r>
        <w:rPr>
          <w:noProof/>
        </w:rPr>
        <w:fldChar w:fldCharType="separate"/>
      </w:r>
      <w:r>
        <w:rPr>
          <w:noProof/>
        </w:rPr>
        <w:t>67</w:t>
      </w:r>
      <w:r>
        <w:rPr>
          <w:noProof/>
        </w:rPr>
        <w:fldChar w:fldCharType="end"/>
      </w:r>
    </w:p>
    <w:p w14:paraId="23482BB8" w14:textId="558CAD06" w:rsidR="009650FE" w:rsidRDefault="009650FE" w:rsidP="009650FE">
      <w:pPr>
        <w:pStyle w:val="Inhopg3"/>
        <w:tabs>
          <w:tab w:val="right" w:leader="dot" w:pos="9062"/>
        </w:tabs>
        <w:divId w:val="863442105"/>
        <w:rPr>
          <w:rFonts w:asciiTheme="minorHAnsi" w:hAnsiTheme="minorHAnsi" w:cstheme="minorBidi"/>
          <w:noProof/>
          <w:kern w:val="2"/>
          <w:sz w:val="24"/>
          <w14:ligatures w14:val="standardContextual"/>
        </w:rPr>
      </w:pPr>
      <w:r w:rsidRPr="0040793E">
        <w:rPr>
          <w:rFonts w:eastAsia="Times New Roman"/>
          <w:noProof/>
          <w:lang w:val="en-GB"/>
        </w:rPr>
        <w:t>What the local authority should have been</w:t>
      </w:r>
      <w:r>
        <w:rPr>
          <w:noProof/>
        </w:rPr>
        <w:tab/>
      </w:r>
      <w:r>
        <w:rPr>
          <w:noProof/>
        </w:rPr>
        <w:fldChar w:fldCharType="begin"/>
      </w:r>
      <w:r>
        <w:rPr>
          <w:noProof/>
        </w:rPr>
        <w:instrText xml:space="preserve"> PAGEREF _Toc242103217 \h </w:instrText>
      </w:r>
      <w:r>
        <w:rPr>
          <w:noProof/>
        </w:rPr>
      </w:r>
      <w:r>
        <w:rPr>
          <w:noProof/>
        </w:rPr>
        <w:fldChar w:fldCharType="separate"/>
      </w:r>
      <w:r>
        <w:rPr>
          <w:noProof/>
        </w:rPr>
        <w:t>67</w:t>
      </w:r>
      <w:r>
        <w:rPr>
          <w:noProof/>
        </w:rPr>
        <w:fldChar w:fldCharType="end"/>
      </w:r>
    </w:p>
    <w:p w14:paraId="22C201F2" w14:textId="42ED46DD" w:rsidR="009650FE" w:rsidRDefault="009650FE" w:rsidP="009650FE">
      <w:pPr>
        <w:pStyle w:val="Inhopg2"/>
        <w:tabs>
          <w:tab w:val="right" w:leader="dot" w:pos="9062"/>
        </w:tabs>
        <w:divId w:val="863442105"/>
        <w:rPr>
          <w:rFonts w:asciiTheme="minorHAnsi" w:hAnsiTheme="minorHAnsi" w:cstheme="minorBidi"/>
          <w:noProof/>
          <w:kern w:val="2"/>
          <w:sz w:val="24"/>
          <w14:ligatures w14:val="standardContextual"/>
        </w:rPr>
      </w:pPr>
      <w:r w:rsidRPr="0040793E">
        <w:rPr>
          <w:rFonts w:eastAsia="Times New Roman"/>
          <w:noProof/>
          <w:lang w:val="en-GB"/>
        </w:rPr>
        <w:t>Tax and Customs Administration and benefits</w:t>
      </w:r>
      <w:r>
        <w:rPr>
          <w:noProof/>
        </w:rPr>
        <w:tab/>
      </w:r>
      <w:r>
        <w:rPr>
          <w:noProof/>
        </w:rPr>
        <w:fldChar w:fldCharType="begin"/>
      </w:r>
      <w:r>
        <w:rPr>
          <w:noProof/>
        </w:rPr>
        <w:instrText xml:space="preserve"> PAGEREF _Toc242103218 \h </w:instrText>
      </w:r>
      <w:r>
        <w:rPr>
          <w:noProof/>
        </w:rPr>
      </w:r>
      <w:r>
        <w:rPr>
          <w:noProof/>
        </w:rPr>
        <w:fldChar w:fldCharType="separate"/>
      </w:r>
      <w:r>
        <w:rPr>
          <w:noProof/>
        </w:rPr>
        <w:t>69</w:t>
      </w:r>
      <w:r>
        <w:rPr>
          <w:noProof/>
        </w:rPr>
        <w:fldChar w:fldCharType="end"/>
      </w:r>
    </w:p>
    <w:p w14:paraId="07D15B10" w14:textId="012EB345" w:rsidR="009650FE" w:rsidRDefault="009650FE" w:rsidP="009650FE">
      <w:pPr>
        <w:pStyle w:val="Inhopg3"/>
        <w:tabs>
          <w:tab w:val="right" w:leader="dot" w:pos="9062"/>
        </w:tabs>
        <w:divId w:val="863442105"/>
        <w:rPr>
          <w:rFonts w:asciiTheme="minorHAnsi" w:hAnsiTheme="minorHAnsi" w:cstheme="minorBidi"/>
          <w:noProof/>
          <w:kern w:val="2"/>
          <w:sz w:val="24"/>
          <w14:ligatures w14:val="standardContextual"/>
        </w:rPr>
      </w:pPr>
      <w:r w:rsidRPr="0040793E">
        <w:rPr>
          <w:rFonts w:eastAsia="Times New Roman"/>
          <w:noProof/>
          <w:lang w:val="en-GB"/>
        </w:rPr>
        <w:t>Part A — The three allowances</w:t>
      </w:r>
      <w:r>
        <w:rPr>
          <w:noProof/>
        </w:rPr>
        <w:tab/>
      </w:r>
      <w:r>
        <w:rPr>
          <w:noProof/>
        </w:rPr>
        <w:fldChar w:fldCharType="begin"/>
      </w:r>
      <w:r>
        <w:rPr>
          <w:noProof/>
        </w:rPr>
        <w:instrText xml:space="preserve"> PAGEREF _Toc242103219 \h </w:instrText>
      </w:r>
      <w:r>
        <w:rPr>
          <w:noProof/>
        </w:rPr>
      </w:r>
      <w:r>
        <w:rPr>
          <w:noProof/>
        </w:rPr>
        <w:fldChar w:fldCharType="separate"/>
      </w:r>
      <w:r>
        <w:rPr>
          <w:noProof/>
        </w:rPr>
        <w:t>69</w:t>
      </w:r>
      <w:r>
        <w:rPr>
          <w:noProof/>
        </w:rPr>
        <w:fldChar w:fldCharType="end"/>
      </w:r>
    </w:p>
    <w:p w14:paraId="059F267E" w14:textId="50EA94D4" w:rsidR="009650FE" w:rsidRDefault="009650FE" w:rsidP="009650FE">
      <w:pPr>
        <w:pStyle w:val="Inhopg3"/>
        <w:tabs>
          <w:tab w:val="right" w:leader="dot" w:pos="9062"/>
        </w:tabs>
        <w:divId w:val="863442105"/>
        <w:rPr>
          <w:rFonts w:asciiTheme="minorHAnsi" w:hAnsiTheme="minorHAnsi" w:cstheme="minorBidi"/>
          <w:noProof/>
          <w:kern w:val="2"/>
          <w:sz w:val="24"/>
          <w14:ligatures w14:val="standardContextual"/>
        </w:rPr>
      </w:pPr>
      <w:r w:rsidRPr="0040793E">
        <w:rPr>
          <w:rFonts w:eastAsia="Times New Roman"/>
          <w:noProof/>
          <w:lang w:val="en-GB"/>
        </w:rPr>
        <w:t>Part B — The mechanics behind it</w:t>
      </w:r>
      <w:r>
        <w:rPr>
          <w:noProof/>
        </w:rPr>
        <w:tab/>
      </w:r>
      <w:r>
        <w:rPr>
          <w:noProof/>
        </w:rPr>
        <w:fldChar w:fldCharType="begin"/>
      </w:r>
      <w:r>
        <w:rPr>
          <w:noProof/>
        </w:rPr>
        <w:instrText xml:space="preserve"> PAGEREF _Toc242103220 \h </w:instrText>
      </w:r>
      <w:r>
        <w:rPr>
          <w:noProof/>
        </w:rPr>
      </w:r>
      <w:r>
        <w:rPr>
          <w:noProof/>
        </w:rPr>
        <w:fldChar w:fldCharType="separate"/>
      </w:r>
      <w:r>
        <w:rPr>
          <w:noProof/>
        </w:rPr>
        <w:t>69</w:t>
      </w:r>
      <w:r>
        <w:rPr>
          <w:noProof/>
        </w:rPr>
        <w:fldChar w:fldCharType="end"/>
      </w:r>
    </w:p>
    <w:p w14:paraId="459473A9" w14:textId="60D4AEB8" w:rsidR="009650FE" w:rsidRDefault="009650FE" w:rsidP="009650FE">
      <w:pPr>
        <w:pStyle w:val="Inhopg3"/>
        <w:tabs>
          <w:tab w:val="right" w:leader="dot" w:pos="9062"/>
        </w:tabs>
        <w:divId w:val="863442105"/>
        <w:rPr>
          <w:rFonts w:asciiTheme="minorHAnsi" w:hAnsiTheme="minorHAnsi" w:cstheme="minorBidi"/>
          <w:noProof/>
          <w:kern w:val="2"/>
          <w:sz w:val="24"/>
          <w14:ligatures w14:val="standardContextual"/>
        </w:rPr>
      </w:pPr>
      <w:r w:rsidRPr="0040793E">
        <w:rPr>
          <w:rFonts w:eastAsia="Times New Roman"/>
          <w:noProof/>
          <w:lang w:val="en-GB"/>
        </w:rPr>
        <w:t>Part C — Medical expenses that were reduced to zero</w:t>
      </w:r>
      <w:r>
        <w:rPr>
          <w:noProof/>
        </w:rPr>
        <w:tab/>
      </w:r>
      <w:r>
        <w:rPr>
          <w:noProof/>
        </w:rPr>
        <w:fldChar w:fldCharType="begin"/>
      </w:r>
      <w:r>
        <w:rPr>
          <w:noProof/>
        </w:rPr>
        <w:instrText xml:space="preserve"> PAGEREF _Toc242103221 \h </w:instrText>
      </w:r>
      <w:r>
        <w:rPr>
          <w:noProof/>
        </w:rPr>
      </w:r>
      <w:r>
        <w:rPr>
          <w:noProof/>
        </w:rPr>
        <w:fldChar w:fldCharType="separate"/>
      </w:r>
      <w:r>
        <w:rPr>
          <w:noProof/>
        </w:rPr>
        <w:t>70</w:t>
      </w:r>
      <w:r>
        <w:rPr>
          <w:noProof/>
        </w:rPr>
        <w:fldChar w:fldCharType="end"/>
      </w:r>
    </w:p>
    <w:p w14:paraId="6B25E399" w14:textId="566EBEB1" w:rsidR="009650FE" w:rsidRDefault="009650FE" w:rsidP="009650FE">
      <w:pPr>
        <w:pStyle w:val="Inhopg3"/>
        <w:tabs>
          <w:tab w:val="right" w:leader="dot" w:pos="9062"/>
        </w:tabs>
        <w:divId w:val="863442105"/>
        <w:rPr>
          <w:rFonts w:asciiTheme="minorHAnsi" w:hAnsiTheme="minorHAnsi" w:cstheme="minorBidi"/>
          <w:noProof/>
          <w:kern w:val="2"/>
          <w:sz w:val="24"/>
          <w14:ligatures w14:val="standardContextual"/>
        </w:rPr>
      </w:pPr>
      <w:r w:rsidRPr="0040793E">
        <w:rPr>
          <w:rFonts w:eastAsia="Times New Roman"/>
          <w:noProof/>
          <w:lang w:val="en-GB"/>
        </w:rPr>
        <w:t>Part D — Citizens’ responsibilities</w:t>
      </w:r>
      <w:r>
        <w:rPr>
          <w:noProof/>
        </w:rPr>
        <w:tab/>
      </w:r>
      <w:r>
        <w:rPr>
          <w:noProof/>
        </w:rPr>
        <w:fldChar w:fldCharType="begin"/>
      </w:r>
      <w:r>
        <w:rPr>
          <w:noProof/>
        </w:rPr>
        <w:instrText xml:space="preserve"> PAGEREF _Toc242103222 \h </w:instrText>
      </w:r>
      <w:r>
        <w:rPr>
          <w:noProof/>
        </w:rPr>
      </w:r>
      <w:r>
        <w:rPr>
          <w:noProof/>
        </w:rPr>
        <w:fldChar w:fldCharType="separate"/>
      </w:r>
      <w:r>
        <w:rPr>
          <w:noProof/>
        </w:rPr>
        <w:t>71</w:t>
      </w:r>
      <w:r>
        <w:rPr>
          <w:noProof/>
        </w:rPr>
        <w:fldChar w:fldCharType="end"/>
      </w:r>
    </w:p>
    <w:p w14:paraId="2799502E" w14:textId="6EB9F735" w:rsidR="009650FE" w:rsidRDefault="009650FE" w:rsidP="009650FE">
      <w:pPr>
        <w:pStyle w:val="Inhopg3"/>
        <w:tabs>
          <w:tab w:val="right" w:leader="dot" w:pos="9062"/>
        </w:tabs>
        <w:divId w:val="863442105"/>
        <w:rPr>
          <w:rFonts w:asciiTheme="minorHAnsi" w:hAnsiTheme="minorHAnsi" w:cstheme="minorBidi"/>
          <w:noProof/>
          <w:kern w:val="2"/>
          <w:sz w:val="24"/>
          <w14:ligatures w14:val="standardContextual"/>
        </w:rPr>
      </w:pPr>
      <w:r w:rsidRPr="0040793E">
        <w:rPr>
          <w:rFonts w:eastAsia="Times New Roman"/>
          <w:noProof/>
          <w:lang w:val="en-GB"/>
        </w:rPr>
        <w:t>Part E — What this achieves</w:t>
      </w:r>
      <w:r>
        <w:rPr>
          <w:noProof/>
        </w:rPr>
        <w:tab/>
      </w:r>
      <w:r>
        <w:rPr>
          <w:noProof/>
        </w:rPr>
        <w:fldChar w:fldCharType="begin"/>
      </w:r>
      <w:r>
        <w:rPr>
          <w:noProof/>
        </w:rPr>
        <w:instrText xml:space="preserve"> PAGEREF _Toc242103223 \h </w:instrText>
      </w:r>
      <w:r>
        <w:rPr>
          <w:noProof/>
        </w:rPr>
      </w:r>
      <w:r>
        <w:rPr>
          <w:noProof/>
        </w:rPr>
        <w:fldChar w:fldCharType="separate"/>
      </w:r>
      <w:r>
        <w:rPr>
          <w:noProof/>
        </w:rPr>
        <w:t>71</w:t>
      </w:r>
      <w:r>
        <w:rPr>
          <w:noProof/>
        </w:rPr>
        <w:fldChar w:fldCharType="end"/>
      </w:r>
    </w:p>
    <w:p w14:paraId="3FA5C842" w14:textId="009A8C85" w:rsidR="009650FE" w:rsidRDefault="009650FE" w:rsidP="009650FE">
      <w:pPr>
        <w:pStyle w:val="Inhopg1"/>
        <w:tabs>
          <w:tab w:val="right" w:leader="dot" w:pos="9062"/>
        </w:tabs>
        <w:divId w:val="863442105"/>
        <w:rPr>
          <w:rFonts w:asciiTheme="minorHAnsi" w:hAnsiTheme="minorHAnsi" w:cstheme="minorBidi"/>
          <w:noProof/>
          <w:kern w:val="2"/>
          <w:sz w:val="24"/>
          <w14:ligatures w14:val="standardContextual"/>
        </w:rPr>
      </w:pPr>
      <w:r w:rsidRPr="0040793E">
        <w:rPr>
          <w:rFonts w:eastAsia="Times New Roman"/>
          <w:noProof/>
          <w:lang w:val="en-GB"/>
        </w:rPr>
        <w:t>IV. Back and forth</w:t>
      </w:r>
      <w:r>
        <w:rPr>
          <w:noProof/>
        </w:rPr>
        <w:tab/>
      </w:r>
      <w:r>
        <w:rPr>
          <w:noProof/>
        </w:rPr>
        <w:fldChar w:fldCharType="begin"/>
      </w:r>
      <w:r>
        <w:rPr>
          <w:noProof/>
        </w:rPr>
        <w:instrText xml:space="preserve"> PAGEREF _Toc242103224 \h </w:instrText>
      </w:r>
      <w:r>
        <w:rPr>
          <w:noProof/>
        </w:rPr>
      </w:r>
      <w:r>
        <w:rPr>
          <w:noProof/>
        </w:rPr>
        <w:fldChar w:fldCharType="separate"/>
      </w:r>
      <w:r>
        <w:rPr>
          <w:noProof/>
        </w:rPr>
        <w:t>73</w:t>
      </w:r>
      <w:r>
        <w:rPr>
          <w:noProof/>
        </w:rPr>
        <w:fldChar w:fldCharType="end"/>
      </w:r>
    </w:p>
    <w:p w14:paraId="560053C2" w14:textId="398FA803" w:rsidR="009650FE" w:rsidRDefault="009650FE" w:rsidP="009650FE">
      <w:pPr>
        <w:pStyle w:val="Inhopg2"/>
        <w:tabs>
          <w:tab w:val="right" w:leader="dot" w:pos="9062"/>
        </w:tabs>
        <w:divId w:val="863442105"/>
        <w:rPr>
          <w:rFonts w:asciiTheme="minorHAnsi" w:hAnsiTheme="minorHAnsi" w:cstheme="minorBidi"/>
          <w:noProof/>
          <w:kern w:val="2"/>
          <w:sz w:val="24"/>
          <w14:ligatures w14:val="standardContextual"/>
        </w:rPr>
      </w:pPr>
      <w:r w:rsidRPr="0040793E">
        <w:rPr>
          <w:rFonts w:eastAsia="Times New Roman"/>
          <w:noProof/>
          <w:lang w:val="en-GB"/>
        </w:rPr>
        <w:t>The manual U1 problem</w:t>
      </w:r>
      <w:r>
        <w:rPr>
          <w:noProof/>
        </w:rPr>
        <w:tab/>
      </w:r>
      <w:r>
        <w:rPr>
          <w:noProof/>
        </w:rPr>
        <w:fldChar w:fldCharType="begin"/>
      </w:r>
      <w:r>
        <w:rPr>
          <w:noProof/>
        </w:rPr>
        <w:instrText xml:space="preserve"> PAGEREF _Toc242103225 \h </w:instrText>
      </w:r>
      <w:r>
        <w:rPr>
          <w:noProof/>
        </w:rPr>
      </w:r>
      <w:r>
        <w:rPr>
          <w:noProof/>
        </w:rPr>
        <w:fldChar w:fldCharType="separate"/>
      </w:r>
      <w:r>
        <w:rPr>
          <w:noProof/>
        </w:rPr>
        <w:t>73</w:t>
      </w:r>
      <w:r>
        <w:rPr>
          <w:noProof/>
        </w:rPr>
        <w:fldChar w:fldCharType="end"/>
      </w:r>
    </w:p>
    <w:p w14:paraId="659A13C3" w14:textId="732A07E0" w:rsidR="009650FE" w:rsidRDefault="009650FE" w:rsidP="009650FE">
      <w:pPr>
        <w:pStyle w:val="Inhopg3"/>
        <w:tabs>
          <w:tab w:val="right" w:leader="dot" w:pos="9062"/>
        </w:tabs>
        <w:divId w:val="863442105"/>
        <w:rPr>
          <w:rFonts w:asciiTheme="minorHAnsi" w:hAnsiTheme="minorHAnsi" w:cstheme="minorBidi"/>
          <w:noProof/>
          <w:kern w:val="2"/>
          <w:sz w:val="24"/>
          <w14:ligatures w14:val="standardContextual"/>
        </w:rPr>
      </w:pPr>
      <w:r w:rsidRPr="0040793E">
        <w:rPr>
          <w:rFonts w:eastAsia="Times New Roman"/>
          <w:noProof/>
          <w:lang w:val="en-GB"/>
        </w:rPr>
        <w:t>The two directions</w:t>
      </w:r>
      <w:r>
        <w:rPr>
          <w:noProof/>
        </w:rPr>
        <w:tab/>
      </w:r>
      <w:r>
        <w:rPr>
          <w:noProof/>
        </w:rPr>
        <w:fldChar w:fldCharType="begin"/>
      </w:r>
      <w:r>
        <w:rPr>
          <w:noProof/>
        </w:rPr>
        <w:instrText xml:space="preserve"> PAGEREF _Toc242103226 \h </w:instrText>
      </w:r>
      <w:r>
        <w:rPr>
          <w:noProof/>
        </w:rPr>
      </w:r>
      <w:r>
        <w:rPr>
          <w:noProof/>
        </w:rPr>
        <w:fldChar w:fldCharType="separate"/>
      </w:r>
      <w:r>
        <w:rPr>
          <w:noProof/>
        </w:rPr>
        <w:t>73</w:t>
      </w:r>
      <w:r>
        <w:rPr>
          <w:noProof/>
        </w:rPr>
        <w:fldChar w:fldCharType="end"/>
      </w:r>
    </w:p>
    <w:p w14:paraId="62F51B52" w14:textId="7CAF0E60" w:rsidR="009650FE" w:rsidRDefault="009650FE" w:rsidP="009650FE">
      <w:pPr>
        <w:pStyle w:val="Inhopg3"/>
        <w:tabs>
          <w:tab w:val="right" w:leader="dot" w:pos="9062"/>
        </w:tabs>
        <w:divId w:val="863442105"/>
        <w:rPr>
          <w:rFonts w:asciiTheme="minorHAnsi" w:hAnsiTheme="minorHAnsi" w:cstheme="minorBidi"/>
          <w:noProof/>
          <w:kern w:val="2"/>
          <w:sz w:val="24"/>
          <w14:ligatures w14:val="standardContextual"/>
        </w:rPr>
      </w:pPr>
      <w:r w:rsidRPr="0040793E">
        <w:rPr>
          <w:rFonts w:eastAsia="Times New Roman"/>
          <w:noProof/>
          <w:lang w:val="en-GB"/>
        </w:rPr>
        <w:t>Direction 1 — Belgium to the Netherlands</w:t>
      </w:r>
      <w:r>
        <w:rPr>
          <w:noProof/>
        </w:rPr>
        <w:tab/>
      </w:r>
      <w:r>
        <w:rPr>
          <w:noProof/>
        </w:rPr>
        <w:fldChar w:fldCharType="begin"/>
      </w:r>
      <w:r>
        <w:rPr>
          <w:noProof/>
        </w:rPr>
        <w:instrText xml:space="preserve"> PAGEREF _Toc242103227 \h </w:instrText>
      </w:r>
      <w:r>
        <w:rPr>
          <w:noProof/>
        </w:rPr>
      </w:r>
      <w:r>
        <w:rPr>
          <w:noProof/>
        </w:rPr>
        <w:fldChar w:fldCharType="separate"/>
      </w:r>
      <w:r>
        <w:rPr>
          <w:noProof/>
        </w:rPr>
        <w:t>73</w:t>
      </w:r>
      <w:r>
        <w:rPr>
          <w:noProof/>
        </w:rPr>
        <w:fldChar w:fldCharType="end"/>
      </w:r>
    </w:p>
    <w:p w14:paraId="7025FFD0" w14:textId="611C9799" w:rsidR="009650FE" w:rsidRDefault="009650FE" w:rsidP="009650FE">
      <w:pPr>
        <w:pStyle w:val="Inhopg3"/>
        <w:tabs>
          <w:tab w:val="right" w:leader="dot" w:pos="9062"/>
        </w:tabs>
        <w:divId w:val="863442105"/>
        <w:rPr>
          <w:rFonts w:asciiTheme="minorHAnsi" w:hAnsiTheme="minorHAnsi" w:cstheme="minorBidi"/>
          <w:noProof/>
          <w:kern w:val="2"/>
          <w:sz w:val="24"/>
          <w14:ligatures w14:val="standardContextual"/>
        </w:rPr>
      </w:pPr>
      <w:r w:rsidRPr="0040793E">
        <w:rPr>
          <w:rFonts w:eastAsia="Times New Roman"/>
          <w:noProof/>
          <w:lang w:val="en-GB"/>
        </w:rPr>
        <w:t>Route 2 — From the Netherlands to Belgium</w:t>
      </w:r>
      <w:r>
        <w:rPr>
          <w:noProof/>
        </w:rPr>
        <w:tab/>
      </w:r>
      <w:r>
        <w:rPr>
          <w:noProof/>
        </w:rPr>
        <w:fldChar w:fldCharType="begin"/>
      </w:r>
      <w:r>
        <w:rPr>
          <w:noProof/>
        </w:rPr>
        <w:instrText xml:space="preserve"> PAGEREF _Toc242103228 \h </w:instrText>
      </w:r>
      <w:r>
        <w:rPr>
          <w:noProof/>
        </w:rPr>
      </w:r>
      <w:r>
        <w:rPr>
          <w:noProof/>
        </w:rPr>
        <w:fldChar w:fldCharType="separate"/>
      </w:r>
      <w:r>
        <w:rPr>
          <w:noProof/>
        </w:rPr>
        <w:t>74</w:t>
      </w:r>
      <w:r>
        <w:rPr>
          <w:noProof/>
        </w:rPr>
        <w:fldChar w:fldCharType="end"/>
      </w:r>
    </w:p>
    <w:p w14:paraId="7CD3C565" w14:textId="40DB316C" w:rsidR="009650FE" w:rsidRDefault="009650FE" w:rsidP="009650FE">
      <w:pPr>
        <w:pStyle w:val="Inhopg3"/>
        <w:tabs>
          <w:tab w:val="right" w:leader="dot" w:pos="9062"/>
        </w:tabs>
        <w:divId w:val="863442105"/>
        <w:rPr>
          <w:rFonts w:asciiTheme="minorHAnsi" w:hAnsiTheme="minorHAnsi" w:cstheme="minorBidi"/>
          <w:noProof/>
          <w:kern w:val="2"/>
          <w:sz w:val="24"/>
          <w14:ligatures w14:val="standardContextual"/>
        </w:rPr>
      </w:pPr>
      <w:r w:rsidRPr="0040793E">
        <w:rPr>
          <w:rFonts w:eastAsia="Times New Roman"/>
          <w:noProof/>
          <w:lang w:val="en-GB"/>
        </w:rPr>
        <w:t>The pattern</w:t>
      </w:r>
      <w:r>
        <w:rPr>
          <w:noProof/>
        </w:rPr>
        <w:tab/>
      </w:r>
      <w:r>
        <w:rPr>
          <w:noProof/>
        </w:rPr>
        <w:fldChar w:fldCharType="begin"/>
      </w:r>
      <w:r>
        <w:rPr>
          <w:noProof/>
        </w:rPr>
        <w:instrText xml:space="preserve"> PAGEREF _Toc242103229 \h </w:instrText>
      </w:r>
      <w:r>
        <w:rPr>
          <w:noProof/>
        </w:rPr>
      </w:r>
      <w:r>
        <w:rPr>
          <w:noProof/>
        </w:rPr>
        <w:fldChar w:fldCharType="separate"/>
      </w:r>
      <w:r>
        <w:rPr>
          <w:noProof/>
        </w:rPr>
        <w:t>74</w:t>
      </w:r>
      <w:r>
        <w:rPr>
          <w:noProof/>
        </w:rPr>
        <w:fldChar w:fldCharType="end"/>
      </w:r>
    </w:p>
    <w:p w14:paraId="6348B730" w14:textId="5E6D747C" w:rsidR="009650FE" w:rsidRDefault="009650FE" w:rsidP="009650FE">
      <w:pPr>
        <w:pStyle w:val="Inhopg3"/>
        <w:tabs>
          <w:tab w:val="right" w:leader="dot" w:pos="9062"/>
        </w:tabs>
        <w:divId w:val="863442105"/>
        <w:rPr>
          <w:rFonts w:asciiTheme="minorHAnsi" w:hAnsiTheme="minorHAnsi" w:cstheme="minorBidi"/>
          <w:noProof/>
          <w:kern w:val="2"/>
          <w:sz w:val="24"/>
          <w14:ligatures w14:val="standardContextual"/>
        </w:rPr>
      </w:pPr>
      <w:r w:rsidRPr="0040793E">
        <w:rPr>
          <w:rFonts w:eastAsia="Times New Roman"/>
          <w:noProof/>
          <w:lang w:val="en-GB"/>
        </w:rPr>
        <w:t>ESSPASS in 2030 — what won’t change</w:t>
      </w:r>
      <w:r>
        <w:rPr>
          <w:noProof/>
        </w:rPr>
        <w:tab/>
      </w:r>
      <w:r>
        <w:rPr>
          <w:noProof/>
        </w:rPr>
        <w:fldChar w:fldCharType="begin"/>
      </w:r>
      <w:r>
        <w:rPr>
          <w:noProof/>
        </w:rPr>
        <w:instrText xml:space="preserve"> PAGEREF _Toc242103230 \h </w:instrText>
      </w:r>
      <w:r>
        <w:rPr>
          <w:noProof/>
        </w:rPr>
      </w:r>
      <w:r>
        <w:rPr>
          <w:noProof/>
        </w:rPr>
        <w:fldChar w:fldCharType="separate"/>
      </w:r>
      <w:r>
        <w:rPr>
          <w:noProof/>
        </w:rPr>
        <w:t>75</w:t>
      </w:r>
      <w:r>
        <w:rPr>
          <w:noProof/>
        </w:rPr>
        <w:fldChar w:fldCharType="end"/>
      </w:r>
    </w:p>
    <w:p w14:paraId="77A8A43F" w14:textId="3429AD95" w:rsidR="009650FE" w:rsidRDefault="009650FE" w:rsidP="009650FE">
      <w:pPr>
        <w:pStyle w:val="Inhopg3"/>
        <w:tabs>
          <w:tab w:val="right" w:leader="dot" w:pos="9062"/>
        </w:tabs>
        <w:divId w:val="863442105"/>
        <w:rPr>
          <w:rFonts w:asciiTheme="minorHAnsi" w:hAnsiTheme="minorHAnsi" w:cstheme="minorBidi"/>
          <w:noProof/>
          <w:kern w:val="2"/>
          <w:sz w:val="24"/>
          <w14:ligatures w14:val="standardContextual"/>
        </w:rPr>
      </w:pPr>
      <w:r w:rsidRPr="0040793E">
        <w:rPr>
          <w:rFonts w:eastAsia="Times New Roman"/>
          <w:noProof/>
          <w:lang w:val="en-GB"/>
        </w:rPr>
        <w:t>What ESSPASS does and does not solve</w:t>
      </w:r>
      <w:r>
        <w:rPr>
          <w:noProof/>
        </w:rPr>
        <w:tab/>
      </w:r>
      <w:r>
        <w:rPr>
          <w:noProof/>
        </w:rPr>
        <w:fldChar w:fldCharType="begin"/>
      </w:r>
      <w:r>
        <w:rPr>
          <w:noProof/>
        </w:rPr>
        <w:instrText xml:space="preserve"> PAGEREF _Toc242103231 \h </w:instrText>
      </w:r>
      <w:r>
        <w:rPr>
          <w:noProof/>
        </w:rPr>
      </w:r>
      <w:r>
        <w:rPr>
          <w:noProof/>
        </w:rPr>
        <w:fldChar w:fldCharType="separate"/>
      </w:r>
      <w:r>
        <w:rPr>
          <w:noProof/>
        </w:rPr>
        <w:t>76</w:t>
      </w:r>
      <w:r>
        <w:rPr>
          <w:noProof/>
        </w:rPr>
        <w:fldChar w:fldCharType="end"/>
      </w:r>
    </w:p>
    <w:p w14:paraId="1BB1EFBD" w14:textId="3D687BE2" w:rsidR="009650FE" w:rsidRDefault="009650FE" w:rsidP="009650FE">
      <w:pPr>
        <w:pStyle w:val="Inhopg3"/>
        <w:tabs>
          <w:tab w:val="right" w:leader="dot" w:pos="9062"/>
        </w:tabs>
        <w:divId w:val="863442105"/>
        <w:rPr>
          <w:rFonts w:asciiTheme="minorHAnsi" w:hAnsiTheme="minorHAnsi" w:cstheme="minorBidi"/>
          <w:noProof/>
          <w:kern w:val="2"/>
          <w:sz w:val="24"/>
          <w14:ligatures w14:val="standardContextual"/>
        </w:rPr>
      </w:pPr>
      <w:r w:rsidRPr="0040793E">
        <w:rPr>
          <w:rFonts w:eastAsia="Times New Roman"/>
          <w:noProof/>
          <w:lang w:val="en-GB"/>
        </w:rPr>
        <w:t>Why this serves as a bridge to the Dutch section</w:t>
      </w:r>
      <w:r>
        <w:rPr>
          <w:noProof/>
        </w:rPr>
        <w:tab/>
      </w:r>
      <w:r>
        <w:rPr>
          <w:noProof/>
        </w:rPr>
        <w:fldChar w:fldCharType="begin"/>
      </w:r>
      <w:r>
        <w:rPr>
          <w:noProof/>
        </w:rPr>
        <w:instrText xml:space="preserve"> PAGEREF _Toc242103232 \h </w:instrText>
      </w:r>
      <w:r>
        <w:rPr>
          <w:noProof/>
        </w:rPr>
      </w:r>
      <w:r>
        <w:rPr>
          <w:noProof/>
        </w:rPr>
        <w:fldChar w:fldCharType="separate"/>
      </w:r>
      <w:r>
        <w:rPr>
          <w:noProof/>
        </w:rPr>
        <w:t>76</w:t>
      </w:r>
      <w:r>
        <w:rPr>
          <w:noProof/>
        </w:rPr>
        <w:fldChar w:fldCharType="end"/>
      </w:r>
    </w:p>
    <w:p w14:paraId="1446DA0A" w14:textId="3B5C97B0" w:rsidR="009650FE" w:rsidRDefault="009650FE" w:rsidP="009650FE">
      <w:pPr>
        <w:pStyle w:val="Inhopg2"/>
        <w:tabs>
          <w:tab w:val="right" w:leader="dot" w:pos="9062"/>
        </w:tabs>
        <w:divId w:val="863442105"/>
        <w:rPr>
          <w:rFonts w:asciiTheme="minorHAnsi" w:hAnsiTheme="minorHAnsi" w:cstheme="minorBidi"/>
          <w:noProof/>
          <w:kern w:val="2"/>
          <w:sz w:val="24"/>
          <w14:ligatures w14:val="standardContextual"/>
        </w:rPr>
      </w:pPr>
      <w:r w:rsidRPr="0040793E">
        <w:rPr>
          <w:rFonts w:eastAsia="Times New Roman"/>
          <w:noProof/>
          <w:lang w:val="en-GB"/>
        </w:rPr>
        <w:t>SVB and Parentia — a working example</w:t>
      </w:r>
      <w:r>
        <w:rPr>
          <w:noProof/>
        </w:rPr>
        <w:tab/>
      </w:r>
      <w:r>
        <w:rPr>
          <w:noProof/>
        </w:rPr>
        <w:fldChar w:fldCharType="begin"/>
      </w:r>
      <w:r>
        <w:rPr>
          <w:noProof/>
        </w:rPr>
        <w:instrText xml:space="preserve"> PAGEREF _Toc242103233 \h </w:instrText>
      </w:r>
      <w:r>
        <w:rPr>
          <w:noProof/>
        </w:rPr>
      </w:r>
      <w:r>
        <w:rPr>
          <w:noProof/>
        </w:rPr>
        <w:fldChar w:fldCharType="separate"/>
      </w:r>
      <w:r>
        <w:rPr>
          <w:noProof/>
        </w:rPr>
        <w:t>78</w:t>
      </w:r>
      <w:r>
        <w:rPr>
          <w:noProof/>
        </w:rPr>
        <w:fldChar w:fldCharType="end"/>
      </w:r>
    </w:p>
    <w:p w14:paraId="7D2763D5" w14:textId="6FC446EB" w:rsidR="009650FE" w:rsidRDefault="009650FE" w:rsidP="009650FE">
      <w:pPr>
        <w:pStyle w:val="Inhopg3"/>
        <w:tabs>
          <w:tab w:val="right" w:leader="dot" w:pos="9062"/>
        </w:tabs>
        <w:divId w:val="863442105"/>
        <w:rPr>
          <w:rFonts w:asciiTheme="minorHAnsi" w:hAnsiTheme="minorHAnsi" w:cstheme="minorBidi"/>
          <w:noProof/>
          <w:kern w:val="2"/>
          <w:sz w:val="24"/>
          <w14:ligatures w14:val="standardContextual"/>
        </w:rPr>
      </w:pPr>
      <w:r w:rsidRPr="0040793E">
        <w:rPr>
          <w:rFonts w:eastAsia="Times New Roman"/>
          <w:noProof/>
          <w:lang w:val="en-GB"/>
        </w:rPr>
        <w:t>Part A — The split</w:t>
      </w:r>
      <w:r>
        <w:rPr>
          <w:noProof/>
        </w:rPr>
        <w:tab/>
      </w:r>
      <w:r>
        <w:rPr>
          <w:noProof/>
        </w:rPr>
        <w:fldChar w:fldCharType="begin"/>
      </w:r>
      <w:r>
        <w:rPr>
          <w:noProof/>
        </w:rPr>
        <w:instrText xml:space="preserve"> PAGEREF _Toc242103234 \h </w:instrText>
      </w:r>
      <w:r>
        <w:rPr>
          <w:noProof/>
        </w:rPr>
      </w:r>
      <w:r>
        <w:rPr>
          <w:noProof/>
        </w:rPr>
        <w:fldChar w:fldCharType="separate"/>
      </w:r>
      <w:r>
        <w:rPr>
          <w:noProof/>
        </w:rPr>
        <w:t>78</w:t>
      </w:r>
      <w:r>
        <w:rPr>
          <w:noProof/>
        </w:rPr>
        <w:fldChar w:fldCharType="end"/>
      </w:r>
    </w:p>
    <w:p w14:paraId="6B2DD70A" w14:textId="64A08919" w:rsidR="009650FE" w:rsidRDefault="009650FE" w:rsidP="009650FE">
      <w:pPr>
        <w:pStyle w:val="Inhopg3"/>
        <w:tabs>
          <w:tab w:val="right" w:leader="dot" w:pos="9062"/>
        </w:tabs>
        <w:divId w:val="863442105"/>
        <w:rPr>
          <w:rFonts w:asciiTheme="minorHAnsi" w:hAnsiTheme="minorHAnsi" w:cstheme="minorBidi"/>
          <w:noProof/>
          <w:kern w:val="2"/>
          <w:sz w:val="24"/>
          <w14:ligatures w14:val="standardContextual"/>
        </w:rPr>
      </w:pPr>
      <w:r w:rsidRPr="0040793E">
        <w:rPr>
          <w:rFonts w:eastAsia="Times New Roman"/>
          <w:noProof/>
          <w:lang w:val="en-GB"/>
        </w:rPr>
        <w:t>Part B — Why this works</w:t>
      </w:r>
      <w:r>
        <w:rPr>
          <w:noProof/>
        </w:rPr>
        <w:tab/>
      </w:r>
      <w:r>
        <w:rPr>
          <w:noProof/>
        </w:rPr>
        <w:fldChar w:fldCharType="begin"/>
      </w:r>
      <w:r>
        <w:rPr>
          <w:noProof/>
        </w:rPr>
        <w:instrText xml:space="preserve"> PAGEREF _Toc242103235 \h </w:instrText>
      </w:r>
      <w:r>
        <w:rPr>
          <w:noProof/>
        </w:rPr>
      </w:r>
      <w:r>
        <w:rPr>
          <w:noProof/>
        </w:rPr>
        <w:fldChar w:fldCharType="separate"/>
      </w:r>
      <w:r>
        <w:rPr>
          <w:noProof/>
        </w:rPr>
        <w:t>78</w:t>
      </w:r>
      <w:r>
        <w:rPr>
          <w:noProof/>
        </w:rPr>
        <w:fldChar w:fldCharType="end"/>
      </w:r>
    </w:p>
    <w:p w14:paraId="589F93CA" w14:textId="3D945AD8" w:rsidR="009650FE" w:rsidRDefault="009650FE" w:rsidP="009650FE">
      <w:pPr>
        <w:pStyle w:val="Inhopg3"/>
        <w:tabs>
          <w:tab w:val="right" w:leader="dot" w:pos="9062"/>
        </w:tabs>
        <w:divId w:val="863442105"/>
        <w:rPr>
          <w:rFonts w:asciiTheme="minorHAnsi" w:hAnsiTheme="minorHAnsi" w:cstheme="minorBidi"/>
          <w:noProof/>
          <w:kern w:val="2"/>
          <w:sz w:val="24"/>
          <w14:ligatures w14:val="standardContextual"/>
        </w:rPr>
      </w:pPr>
      <w:r w:rsidRPr="0040793E">
        <w:rPr>
          <w:rFonts w:eastAsia="Times New Roman"/>
          <w:noProof/>
          <w:lang w:val="en-GB"/>
        </w:rPr>
        <w:t>Part C — The recalculation that threatens success</w:t>
      </w:r>
      <w:r>
        <w:rPr>
          <w:noProof/>
        </w:rPr>
        <w:tab/>
      </w:r>
      <w:r>
        <w:rPr>
          <w:noProof/>
        </w:rPr>
        <w:fldChar w:fldCharType="begin"/>
      </w:r>
      <w:r>
        <w:rPr>
          <w:noProof/>
        </w:rPr>
        <w:instrText xml:space="preserve"> PAGEREF _Toc242103236 \h </w:instrText>
      </w:r>
      <w:r>
        <w:rPr>
          <w:noProof/>
        </w:rPr>
      </w:r>
      <w:r>
        <w:rPr>
          <w:noProof/>
        </w:rPr>
        <w:fldChar w:fldCharType="separate"/>
      </w:r>
      <w:r>
        <w:rPr>
          <w:noProof/>
        </w:rPr>
        <w:t>79</w:t>
      </w:r>
      <w:r>
        <w:rPr>
          <w:noProof/>
        </w:rPr>
        <w:fldChar w:fldCharType="end"/>
      </w:r>
    </w:p>
    <w:p w14:paraId="7CF5A1A4" w14:textId="68FBBD35" w:rsidR="009650FE" w:rsidRDefault="009650FE" w:rsidP="009650FE">
      <w:pPr>
        <w:pStyle w:val="Inhopg3"/>
        <w:tabs>
          <w:tab w:val="right" w:leader="dot" w:pos="9062"/>
        </w:tabs>
        <w:divId w:val="863442105"/>
        <w:rPr>
          <w:rFonts w:asciiTheme="minorHAnsi" w:hAnsiTheme="minorHAnsi" w:cstheme="minorBidi"/>
          <w:noProof/>
          <w:kern w:val="2"/>
          <w:sz w:val="24"/>
          <w14:ligatures w14:val="standardContextual"/>
        </w:rPr>
      </w:pPr>
      <w:r w:rsidRPr="0040793E">
        <w:rPr>
          <w:rFonts w:eastAsia="Times New Roman"/>
          <w:noProof/>
          <w:lang w:val="en-GB"/>
        </w:rPr>
        <w:t>Part D — What this chapter illustrates</w:t>
      </w:r>
      <w:r>
        <w:rPr>
          <w:noProof/>
        </w:rPr>
        <w:tab/>
      </w:r>
      <w:r>
        <w:rPr>
          <w:noProof/>
        </w:rPr>
        <w:fldChar w:fldCharType="begin"/>
      </w:r>
      <w:r>
        <w:rPr>
          <w:noProof/>
        </w:rPr>
        <w:instrText xml:space="preserve"> PAGEREF _Toc242103237 \h </w:instrText>
      </w:r>
      <w:r>
        <w:rPr>
          <w:noProof/>
        </w:rPr>
      </w:r>
      <w:r>
        <w:rPr>
          <w:noProof/>
        </w:rPr>
        <w:fldChar w:fldCharType="separate"/>
      </w:r>
      <w:r>
        <w:rPr>
          <w:noProof/>
        </w:rPr>
        <w:t>79</w:t>
      </w:r>
      <w:r>
        <w:rPr>
          <w:noProof/>
        </w:rPr>
        <w:fldChar w:fldCharType="end"/>
      </w:r>
    </w:p>
    <w:p w14:paraId="76471B0B" w14:textId="5CFA08B0" w:rsidR="009650FE" w:rsidRDefault="009650FE" w:rsidP="009650FE">
      <w:pPr>
        <w:pStyle w:val="Inhopg2"/>
        <w:tabs>
          <w:tab w:val="right" w:leader="dot" w:pos="9062"/>
        </w:tabs>
        <w:divId w:val="863442105"/>
        <w:rPr>
          <w:rFonts w:asciiTheme="minorHAnsi" w:hAnsiTheme="minorHAnsi" w:cstheme="minorBidi"/>
          <w:noProof/>
          <w:kern w:val="2"/>
          <w:sz w:val="24"/>
          <w14:ligatures w14:val="standardContextual"/>
        </w:rPr>
      </w:pPr>
      <w:r w:rsidRPr="0040793E">
        <w:rPr>
          <w:rFonts w:eastAsia="Times New Roman"/>
          <w:noProof/>
          <w:lang w:val="en-GB"/>
        </w:rPr>
        <w:t>The body without a rear guard</w:t>
      </w:r>
      <w:r>
        <w:rPr>
          <w:noProof/>
        </w:rPr>
        <w:tab/>
      </w:r>
      <w:r>
        <w:rPr>
          <w:noProof/>
        </w:rPr>
        <w:fldChar w:fldCharType="begin"/>
      </w:r>
      <w:r>
        <w:rPr>
          <w:noProof/>
        </w:rPr>
        <w:instrText xml:space="preserve"> PAGEREF _Toc242103238 \h </w:instrText>
      </w:r>
      <w:r>
        <w:rPr>
          <w:noProof/>
        </w:rPr>
      </w:r>
      <w:r>
        <w:rPr>
          <w:noProof/>
        </w:rPr>
        <w:fldChar w:fldCharType="separate"/>
      </w:r>
      <w:r>
        <w:rPr>
          <w:noProof/>
        </w:rPr>
        <w:t>81</w:t>
      </w:r>
      <w:r>
        <w:rPr>
          <w:noProof/>
        </w:rPr>
        <w:fldChar w:fldCharType="end"/>
      </w:r>
    </w:p>
    <w:p w14:paraId="20E5689D" w14:textId="7BF3D0D8" w:rsidR="009650FE" w:rsidRDefault="009650FE" w:rsidP="009650FE">
      <w:pPr>
        <w:pStyle w:val="Inhopg3"/>
        <w:tabs>
          <w:tab w:val="right" w:leader="dot" w:pos="9062"/>
        </w:tabs>
        <w:divId w:val="863442105"/>
        <w:rPr>
          <w:rFonts w:asciiTheme="minorHAnsi" w:hAnsiTheme="minorHAnsi" w:cstheme="minorBidi"/>
          <w:noProof/>
          <w:kern w:val="2"/>
          <w:sz w:val="24"/>
          <w14:ligatures w14:val="standardContextual"/>
        </w:rPr>
      </w:pPr>
      <w:r w:rsidRPr="0040793E">
        <w:rPr>
          <w:rFonts w:eastAsia="Times New Roman"/>
          <w:noProof/>
          <w:lang w:val="en-GB"/>
        </w:rPr>
        <w:t>Part A — The legal impossibility</w:t>
      </w:r>
      <w:r>
        <w:rPr>
          <w:noProof/>
        </w:rPr>
        <w:tab/>
      </w:r>
      <w:r>
        <w:rPr>
          <w:noProof/>
        </w:rPr>
        <w:fldChar w:fldCharType="begin"/>
      </w:r>
      <w:r>
        <w:rPr>
          <w:noProof/>
        </w:rPr>
        <w:instrText xml:space="preserve"> PAGEREF _Toc242103239 \h </w:instrText>
      </w:r>
      <w:r>
        <w:rPr>
          <w:noProof/>
        </w:rPr>
      </w:r>
      <w:r>
        <w:rPr>
          <w:noProof/>
        </w:rPr>
        <w:fldChar w:fldCharType="separate"/>
      </w:r>
      <w:r>
        <w:rPr>
          <w:noProof/>
        </w:rPr>
        <w:t>81</w:t>
      </w:r>
      <w:r>
        <w:rPr>
          <w:noProof/>
        </w:rPr>
        <w:fldChar w:fldCharType="end"/>
      </w:r>
    </w:p>
    <w:p w14:paraId="1BEB0D01" w14:textId="46FB2335" w:rsidR="009650FE" w:rsidRDefault="009650FE" w:rsidP="009650FE">
      <w:pPr>
        <w:pStyle w:val="Inhopg3"/>
        <w:tabs>
          <w:tab w:val="right" w:leader="dot" w:pos="9062"/>
        </w:tabs>
        <w:divId w:val="863442105"/>
        <w:rPr>
          <w:rFonts w:asciiTheme="minorHAnsi" w:hAnsiTheme="minorHAnsi" w:cstheme="minorBidi"/>
          <w:noProof/>
          <w:kern w:val="2"/>
          <w:sz w:val="24"/>
          <w14:ligatures w14:val="standardContextual"/>
        </w:rPr>
      </w:pPr>
      <w:r w:rsidRPr="0040793E">
        <w:rPr>
          <w:rFonts w:eastAsia="Times New Roman"/>
          <w:noProof/>
          <w:lang w:val="en-GB"/>
        </w:rPr>
        <w:t>Part B — The practical implications</w:t>
      </w:r>
      <w:r>
        <w:rPr>
          <w:noProof/>
        </w:rPr>
        <w:tab/>
      </w:r>
      <w:r>
        <w:rPr>
          <w:noProof/>
        </w:rPr>
        <w:fldChar w:fldCharType="begin"/>
      </w:r>
      <w:r>
        <w:rPr>
          <w:noProof/>
        </w:rPr>
        <w:instrText xml:space="preserve"> PAGEREF _Toc242103240 \h </w:instrText>
      </w:r>
      <w:r>
        <w:rPr>
          <w:noProof/>
        </w:rPr>
      </w:r>
      <w:r>
        <w:rPr>
          <w:noProof/>
        </w:rPr>
        <w:fldChar w:fldCharType="separate"/>
      </w:r>
      <w:r>
        <w:rPr>
          <w:noProof/>
        </w:rPr>
        <w:t>81</w:t>
      </w:r>
      <w:r>
        <w:rPr>
          <w:noProof/>
        </w:rPr>
        <w:fldChar w:fldCharType="end"/>
      </w:r>
    </w:p>
    <w:p w14:paraId="235E9B28" w14:textId="2A4BE06F" w:rsidR="009650FE" w:rsidRDefault="009650FE" w:rsidP="009650FE">
      <w:pPr>
        <w:pStyle w:val="Inhopg3"/>
        <w:tabs>
          <w:tab w:val="right" w:leader="dot" w:pos="9062"/>
        </w:tabs>
        <w:divId w:val="863442105"/>
        <w:rPr>
          <w:rFonts w:asciiTheme="minorHAnsi" w:hAnsiTheme="minorHAnsi" w:cstheme="minorBidi"/>
          <w:noProof/>
          <w:kern w:val="2"/>
          <w:sz w:val="24"/>
          <w14:ligatures w14:val="standardContextual"/>
        </w:rPr>
      </w:pPr>
      <w:r w:rsidRPr="0040793E">
        <w:rPr>
          <w:rFonts w:eastAsia="Times New Roman"/>
          <w:noProof/>
          <w:lang w:val="en-GB"/>
        </w:rPr>
        <w:t>Part C — The law that protects and paralyses the family</w:t>
      </w:r>
      <w:r>
        <w:rPr>
          <w:noProof/>
        </w:rPr>
        <w:tab/>
      </w:r>
      <w:r>
        <w:rPr>
          <w:noProof/>
        </w:rPr>
        <w:fldChar w:fldCharType="begin"/>
      </w:r>
      <w:r>
        <w:rPr>
          <w:noProof/>
        </w:rPr>
        <w:instrText xml:space="preserve"> PAGEREF _Toc242103241 \h </w:instrText>
      </w:r>
      <w:r>
        <w:rPr>
          <w:noProof/>
        </w:rPr>
      </w:r>
      <w:r>
        <w:rPr>
          <w:noProof/>
        </w:rPr>
        <w:fldChar w:fldCharType="separate"/>
      </w:r>
      <w:r>
        <w:rPr>
          <w:noProof/>
        </w:rPr>
        <w:t>82</w:t>
      </w:r>
      <w:r>
        <w:rPr>
          <w:noProof/>
        </w:rPr>
        <w:fldChar w:fldCharType="end"/>
      </w:r>
    </w:p>
    <w:p w14:paraId="7F73256B" w14:textId="49E26864" w:rsidR="009650FE" w:rsidRDefault="009650FE" w:rsidP="009650FE">
      <w:pPr>
        <w:pStyle w:val="Inhopg3"/>
        <w:tabs>
          <w:tab w:val="right" w:leader="dot" w:pos="9062"/>
        </w:tabs>
        <w:divId w:val="863442105"/>
        <w:rPr>
          <w:rFonts w:asciiTheme="minorHAnsi" w:hAnsiTheme="minorHAnsi" w:cstheme="minorBidi"/>
          <w:noProof/>
          <w:kern w:val="2"/>
          <w:sz w:val="24"/>
          <w14:ligatures w14:val="standardContextual"/>
        </w:rPr>
      </w:pPr>
      <w:r w:rsidRPr="0040793E">
        <w:rPr>
          <w:rFonts w:eastAsia="Times New Roman"/>
          <w:noProof/>
          <w:lang w:val="en-GB"/>
        </w:rPr>
        <w:t>Part D — The paradox</w:t>
      </w:r>
      <w:r>
        <w:rPr>
          <w:noProof/>
        </w:rPr>
        <w:tab/>
      </w:r>
      <w:r>
        <w:rPr>
          <w:noProof/>
        </w:rPr>
        <w:fldChar w:fldCharType="begin"/>
      </w:r>
      <w:r>
        <w:rPr>
          <w:noProof/>
        </w:rPr>
        <w:instrText xml:space="preserve"> PAGEREF _Toc242103242 \h </w:instrText>
      </w:r>
      <w:r>
        <w:rPr>
          <w:noProof/>
        </w:rPr>
      </w:r>
      <w:r>
        <w:rPr>
          <w:noProof/>
        </w:rPr>
        <w:fldChar w:fldCharType="separate"/>
      </w:r>
      <w:r>
        <w:rPr>
          <w:noProof/>
        </w:rPr>
        <w:t>83</w:t>
      </w:r>
      <w:r>
        <w:rPr>
          <w:noProof/>
        </w:rPr>
        <w:fldChar w:fldCharType="end"/>
      </w:r>
    </w:p>
    <w:p w14:paraId="7F6F7C8B" w14:textId="37AADD55" w:rsidR="009650FE" w:rsidRDefault="009650FE" w:rsidP="009650FE">
      <w:pPr>
        <w:pStyle w:val="Inhopg3"/>
        <w:tabs>
          <w:tab w:val="right" w:leader="dot" w:pos="9062"/>
        </w:tabs>
        <w:divId w:val="863442105"/>
        <w:rPr>
          <w:rFonts w:asciiTheme="minorHAnsi" w:hAnsiTheme="minorHAnsi" w:cstheme="minorBidi"/>
          <w:noProof/>
          <w:kern w:val="2"/>
          <w:sz w:val="24"/>
          <w14:ligatures w14:val="standardContextual"/>
        </w:rPr>
      </w:pPr>
      <w:r w:rsidRPr="0040793E">
        <w:rPr>
          <w:rFonts w:eastAsia="Times New Roman"/>
          <w:noProof/>
          <w:lang w:val="en-GB"/>
        </w:rPr>
        <w:t>What this chapter sets out</w:t>
      </w:r>
      <w:r>
        <w:rPr>
          <w:noProof/>
        </w:rPr>
        <w:tab/>
      </w:r>
      <w:r>
        <w:rPr>
          <w:noProof/>
        </w:rPr>
        <w:fldChar w:fldCharType="begin"/>
      </w:r>
      <w:r>
        <w:rPr>
          <w:noProof/>
        </w:rPr>
        <w:instrText xml:space="preserve"> PAGEREF _Toc242103243 \h </w:instrText>
      </w:r>
      <w:r>
        <w:rPr>
          <w:noProof/>
        </w:rPr>
      </w:r>
      <w:r>
        <w:rPr>
          <w:noProof/>
        </w:rPr>
        <w:fldChar w:fldCharType="separate"/>
      </w:r>
      <w:r>
        <w:rPr>
          <w:noProof/>
        </w:rPr>
        <w:t>83</w:t>
      </w:r>
      <w:r>
        <w:rPr>
          <w:noProof/>
        </w:rPr>
        <w:fldChar w:fldCharType="end"/>
      </w:r>
    </w:p>
    <w:p w14:paraId="7309D84E" w14:textId="48BC47BA" w:rsidR="009650FE" w:rsidRDefault="009650FE" w:rsidP="009650FE">
      <w:pPr>
        <w:pStyle w:val="Inhopg2"/>
        <w:tabs>
          <w:tab w:val="right" w:leader="dot" w:pos="9062"/>
        </w:tabs>
        <w:divId w:val="863442105"/>
        <w:rPr>
          <w:rFonts w:asciiTheme="minorHAnsi" w:hAnsiTheme="minorHAnsi" w:cstheme="minorBidi"/>
          <w:noProof/>
          <w:kern w:val="2"/>
          <w:sz w:val="24"/>
          <w14:ligatures w14:val="standardContextual"/>
        </w:rPr>
      </w:pPr>
      <w:r w:rsidRPr="0040793E">
        <w:rPr>
          <w:rFonts w:eastAsia="Times New Roman"/>
          <w:noProof/>
          <w:lang w:val="en-GB"/>
        </w:rPr>
        <w:t>The central pot</w:t>
      </w:r>
      <w:r>
        <w:rPr>
          <w:noProof/>
        </w:rPr>
        <w:tab/>
      </w:r>
      <w:r>
        <w:rPr>
          <w:noProof/>
        </w:rPr>
        <w:fldChar w:fldCharType="begin"/>
      </w:r>
      <w:r>
        <w:rPr>
          <w:noProof/>
        </w:rPr>
        <w:instrText xml:space="preserve"> PAGEREF _Toc242103244 \h </w:instrText>
      </w:r>
      <w:r>
        <w:rPr>
          <w:noProof/>
        </w:rPr>
      </w:r>
      <w:r>
        <w:rPr>
          <w:noProof/>
        </w:rPr>
        <w:fldChar w:fldCharType="separate"/>
      </w:r>
      <w:r>
        <w:rPr>
          <w:noProof/>
        </w:rPr>
        <w:t>85</w:t>
      </w:r>
      <w:r>
        <w:rPr>
          <w:noProof/>
        </w:rPr>
        <w:fldChar w:fldCharType="end"/>
      </w:r>
    </w:p>
    <w:p w14:paraId="5BBC1342" w14:textId="61147827" w:rsidR="009650FE" w:rsidRDefault="009650FE" w:rsidP="009650FE">
      <w:pPr>
        <w:pStyle w:val="Inhopg3"/>
        <w:tabs>
          <w:tab w:val="right" w:leader="dot" w:pos="9062"/>
        </w:tabs>
        <w:divId w:val="863442105"/>
        <w:rPr>
          <w:rFonts w:asciiTheme="minorHAnsi" w:hAnsiTheme="minorHAnsi" w:cstheme="minorBidi"/>
          <w:noProof/>
          <w:kern w:val="2"/>
          <w:sz w:val="24"/>
          <w14:ligatures w14:val="standardContextual"/>
        </w:rPr>
      </w:pPr>
      <w:r w:rsidRPr="0040793E">
        <w:rPr>
          <w:rFonts w:eastAsia="Times New Roman"/>
          <w:noProof/>
          <w:lang w:val="en-GB"/>
        </w:rPr>
        <w:t>Part A — The account as a reserve</w:t>
      </w:r>
      <w:r>
        <w:rPr>
          <w:noProof/>
        </w:rPr>
        <w:tab/>
      </w:r>
      <w:r>
        <w:rPr>
          <w:noProof/>
        </w:rPr>
        <w:fldChar w:fldCharType="begin"/>
      </w:r>
      <w:r>
        <w:rPr>
          <w:noProof/>
        </w:rPr>
        <w:instrText xml:space="preserve"> PAGEREF _Toc242103245 \h </w:instrText>
      </w:r>
      <w:r>
        <w:rPr>
          <w:noProof/>
        </w:rPr>
      </w:r>
      <w:r>
        <w:rPr>
          <w:noProof/>
        </w:rPr>
        <w:fldChar w:fldCharType="separate"/>
      </w:r>
      <w:r>
        <w:rPr>
          <w:noProof/>
        </w:rPr>
        <w:t>85</w:t>
      </w:r>
      <w:r>
        <w:rPr>
          <w:noProof/>
        </w:rPr>
        <w:fldChar w:fldCharType="end"/>
      </w:r>
    </w:p>
    <w:p w14:paraId="593BAC9B" w14:textId="149E2382" w:rsidR="009650FE" w:rsidRDefault="009650FE" w:rsidP="009650FE">
      <w:pPr>
        <w:pStyle w:val="Inhopg3"/>
        <w:tabs>
          <w:tab w:val="right" w:leader="dot" w:pos="9062"/>
        </w:tabs>
        <w:divId w:val="863442105"/>
        <w:rPr>
          <w:rFonts w:asciiTheme="minorHAnsi" w:hAnsiTheme="minorHAnsi" w:cstheme="minorBidi"/>
          <w:noProof/>
          <w:kern w:val="2"/>
          <w:sz w:val="24"/>
          <w14:ligatures w14:val="standardContextual"/>
        </w:rPr>
      </w:pPr>
      <w:r w:rsidRPr="0040793E">
        <w:rPr>
          <w:rFonts w:eastAsia="Times New Roman"/>
          <w:noProof/>
          <w:lang w:val="en-GB"/>
        </w:rPr>
        <w:t>Part B — The three private gates</w:t>
      </w:r>
      <w:r>
        <w:rPr>
          <w:noProof/>
        </w:rPr>
        <w:tab/>
      </w:r>
      <w:r>
        <w:rPr>
          <w:noProof/>
        </w:rPr>
        <w:fldChar w:fldCharType="begin"/>
      </w:r>
      <w:r>
        <w:rPr>
          <w:noProof/>
        </w:rPr>
        <w:instrText xml:space="preserve"> PAGEREF _Toc242103246 \h </w:instrText>
      </w:r>
      <w:r>
        <w:rPr>
          <w:noProof/>
        </w:rPr>
      </w:r>
      <w:r>
        <w:rPr>
          <w:noProof/>
        </w:rPr>
        <w:fldChar w:fldCharType="separate"/>
      </w:r>
      <w:r>
        <w:rPr>
          <w:noProof/>
        </w:rPr>
        <w:t>85</w:t>
      </w:r>
      <w:r>
        <w:rPr>
          <w:noProof/>
        </w:rPr>
        <w:fldChar w:fldCharType="end"/>
      </w:r>
    </w:p>
    <w:p w14:paraId="6159AA25" w14:textId="586D5B67" w:rsidR="009650FE" w:rsidRDefault="009650FE" w:rsidP="009650FE">
      <w:pPr>
        <w:pStyle w:val="Inhopg3"/>
        <w:tabs>
          <w:tab w:val="right" w:leader="dot" w:pos="9062"/>
        </w:tabs>
        <w:divId w:val="863442105"/>
        <w:rPr>
          <w:rFonts w:asciiTheme="minorHAnsi" w:hAnsiTheme="minorHAnsi" w:cstheme="minorBidi"/>
          <w:noProof/>
          <w:kern w:val="2"/>
          <w:sz w:val="24"/>
          <w14:ligatures w14:val="standardContextual"/>
        </w:rPr>
      </w:pPr>
      <w:r w:rsidRPr="0040793E">
        <w:rPr>
          <w:rFonts w:eastAsia="Times New Roman"/>
          <w:noProof/>
          <w:lang w:val="en-GB"/>
        </w:rPr>
        <w:t>Part C — The bank as the de facto creditor of the welfare state</w:t>
      </w:r>
      <w:r>
        <w:rPr>
          <w:noProof/>
        </w:rPr>
        <w:tab/>
      </w:r>
      <w:r>
        <w:rPr>
          <w:noProof/>
        </w:rPr>
        <w:fldChar w:fldCharType="begin"/>
      </w:r>
      <w:r>
        <w:rPr>
          <w:noProof/>
        </w:rPr>
        <w:instrText xml:space="preserve"> PAGEREF _Toc242103247 \h </w:instrText>
      </w:r>
      <w:r>
        <w:rPr>
          <w:noProof/>
        </w:rPr>
      </w:r>
      <w:r>
        <w:rPr>
          <w:noProof/>
        </w:rPr>
        <w:fldChar w:fldCharType="separate"/>
      </w:r>
      <w:r>
        <w:rPr>
          <w:noProof/>
        </w:rPr>
        <w:t>86</w:t>
      </w:r>
      <w:r>
        <w:rPr>
          <w:noProof/>
        </w:rPr>
        <w:fldChar w:fldCharType="end"/>
      </w:r>
    </w:p>
    <w:p w14:paraId="47E1469A" w14:textId="2F13EEAA" w:rsidR="009650FE" w:rsidRDefault="009650FE" w:rsidP="009650FE">
      <w:pPr>
        <w:pStyle w:val="Inhopg3"/>
        <w:tabs>
          <w:tab w:val="right" w:leader="dot" w:pos="9062"/>
        </w:tabs>
        <w:divId w:val="863442105"/>
        <w:rPr>
          <w:rFonts w:asciiTheme="minorHAnsi" w:hAnsiTheme="minorHAnsi" w:cstheme="minorBidi"/>
          <w:noProof/>
          <w:kern w:val="2"/>
          <w:sz w:val="24"/>
          <w14:ligatures w14:val="standardContextual"/>
        </w:rPr>
      </w:pPr>
      <w:r w:rsidRPr="0040793E">
        <w:rPr>
          <w:rFonts w:eastAsia="Times New Roman"/>
          <w:noProof/>
          <w:lang w:val="en-GB"/>
        </w:rPr>
        <w:t>What this chapter sets out</w:t>
      </w:r>
      <w:r>
        <w:rPr>
          <w:noProof/>
        </w:rPr>
        <w:tab/>
      </w:r>
      <w:r>
        <w:rPr>
          <w:noProof/>
        </w:rPr>
        <w:fldChar w:fldCharType="begin"/>
      </w:r>
      <w:r>
        <w:rPr>
          <w:noProof/>
        </w:rPr>
        <w:instrText xml:space="preserve"> PAGEREF _Toc242103248 \h </w:instrText>
      </w:r>
      <w:r>
        <w:rPr>
          <w:noProof/>
        </w:rPr>
      </w:r>
      <w:r>
        <w:rPr>
          <w:noProof/>
        </w:rPr>
        <w:fldChar w:fldCharType="separate"/>
      </w:r>
      <w:r>
        <w:rPr>
          <w:noProof/>
        </w:rPr>
        <w:t>86</w:t>
      </w:r>
      <w:r>
        <w:rPr>
          <w:noProof/>
        </w:rPr>
        <w:fldChar w:fldCharType="end"/>
      </w:r>
    </w:p>
    <w:p w14:paraId="285E50C6" w14:textId="0BA6293E" w:rsidR="009650FE" w:rsidRDefault="009650FE" w:rsidP="009650FE">
      <w:pPr>
        <w:pStyle w:val="Inhopg1"/>
        <w:tabs>
          <w:tab w:val="right" w:leader="dot" w:pos="9062"/>
        </w:tabs>
        <w:divId w:val="863442105"/>
        <w:rPr>
          <w:rFonts w:asciiTheme="minorHAnsi" w:hAnsiTheme="minorHAnsi" w:cstheme="minorBidi"/>
          <w:noProof/>
          <w:kern w:val="2"/>
          <w:sz w:val="24"/>
          <w14:ligatures w14:val="standardContextual"/>
        </w:rPr>
      </w:pPr>
      <w:r w:rsidRPr="0040793E">
        <w:rPr>
          <w:rFonts w:eastAsia="Times New Roman"/>
          <w:noProof/>
          <w:lang w:val="en-GB"/>
        </w:rPr>
        <w:t>V. Europe</w:t>
      </w:r>
      <w:r>
        <w:rPr>
          <w:noProof/>
        </w:rPr>
        <w:tab/>
      </w:r>
      <w:r>
        <w:rPr>
          <w:noProof/>
        </w:rPr>
        <w:fldChar w:fldCharType="begin"/>
      </w:r>
      <w:r>
        <w:rPr>
          <w:noProof/>
        </w:rPr>
        <w:instrText xml:space="preserve"> PAGEREF _Toc242103249 \h </w:instrText>
      </w:r>
      <w:r>
        <w:rPr>
          <w:noProof/>
        </w:rPr>
      </w:r>
      <w:r>
        <w:rPr>
          <w:noProof/>
        </w:rPr>
        <w:fldChar w:fldCharType="separate"/>
      </w:r>
      <w:r>
        <w:rPr>
          <w:noProof/>
        </w:rPr>
        <w:t>88</w:t>
      </w:r>
      <w:r>
        <w:rPr>
          <w:noProof/>
        </w:rPr>
        <w:fldChar w:fldCharType="end"/>
      </w:r>
    </w:p>
    <w:p w14:paraId="454D72B4" w14:textId="54E88202" w:rsidR="009650FE" w:rsidRDefault="009650FE" w:rsidP="009650FE">
      <w:pPr>
        <w:pStyle w:val="Inhopg2"/>
        <w:tabs>
          <w:tab w:val="right" w:leader="dot" w:pos="9062"/>
        </w:tabs>
        <w:divId w:val="863442105"/>
        <w:rPr>
          <w:rFonts w:asciiTheme="minorHAnsi" w:hAnsiTheme="minorHAnsi" w:cstheme="minorBidi"/>
          <w:noProof/>
          <w:kern w:val="2"/>
          <w:sz w:val="24"/>
          <w14:ligatures w14:val="standardContextual"/>
        </w:rPr>
      </w:pPr>
      <w:r w:rsidRPr="0040793E">
        <w:rPr>
          <w:rFonts w:eastAsia="Times New Roman"/>
          <w:noProof/>
          <w:lang w:val="en-GB"/>
        </w:rPr>
        <w:t>The European layer</w:t>
      </w:r>
      <w:r>
        <w:rPr>
          <w:noProof/>
        </w:rPr>
        <w:tab/>
      </w:r>
      <w:r>
        <w:rPr>
          <w:noProof/>
        </w:rPr>
        <w:fldChar w:fldCharType="begin"/>
      </w:r>
      <w:r>
        <w:rPr>
          <w:noProof/>
        </w:rPr>
        <w:instrText xml:space="preserve"> PAGEREF _Toc242103250 \h </w:instrText>
      </w:r>
      <w:r>
        <w:rPr>
          <w:noProof/>
        </w:rPr>
      </w:r>
      <w:r>
        <w:rPr>
          <w:noProof/>
        </w:rPr>
        <w:fldChar w:fldCharType="separate"/>
      </w:r>
      <w:r>
        <w:rPr>
          <w:noProof/>
        </w:rPr>
        <w:t>88</w:t>
      </w:r>
      <w:r>
        <w:rPr>
          <w:noProof/>
        </w:rPr>
        <w:fldChar w:fldCharType="end"/>
      </w:r>
    </w:p>
    <w:p w14:paraId="473634C3" w14:textId="5BE56FB9" w:rsidR="009650FE" w:rsidRDefault="009650FE" w:rsidP="009650FE">
      <w:pPr>
        <w:pStyle w:val="Inhopg3"/>
        <w:tabs>
          <w:tab w:val="right" w:leader="dot" w:pos="9062"/>
        </w:tabs>
        <w:divId w:val="863442105"/>
        <w:rPr>
          <w:rFonts w:asciiTheme="minorHAnsi" w:hAnsiTheme="minorHAnsi" w:cstheme="minorBidi"/>
          <w:noProof/>
          <w:kern w:val="2"/>
          <w:sz w:val="24"/>
          <w14:ligatures w14:val="standardContextual"/>
        </w:rPr>
      </w:pPr>
      <w:r w:rsidRPr="0040793E">
        <w:rPr>
          <w:rFonts w:eastAsia="Times New Roman"/>
          <w:noProof/>
          <w:lang w:val="en-GB"/>
        </w:rPr>
        <w:t>Part A — The European and international level</w:t>
      </w:r>
      <w:r>
        <w:rPr>
          <w:noProof/>
        </w:rPr>
        <w:tab/>
      </w:r>
      <w:r>
        <w:rPr>
          <w:noProof/>
        </w:rPr>
        <w:fldChar w:fldCharType="begin"/>
      </w:r>
      <w:r>
        <w:rPr>
          <w:noProof/>
        </w:rPr>
        <w:instrText xml:space="preserve"> PAGEREF _Toc242103251 \h </w:instrText>
      </w:r>
      <w:r>
        <w:rPr>
          <w:noProof/>
        </w:rPr>
      </w:r>
      <w:r>
        <w:rPr>
          <w:noProof/>
        </w:rPr>
        <w:fldChar w:fldCharType="separate"/>
      </w:r>
      <w:r>
        <w:rPr>
          <w:noProof/>
        </w:rPr>
        <w:t>88</w:t>
      </w:r>
      <w:r>
        <w:rPr>
          <w:noProof/>
        </w:rPr>
        <w:fldChar w:fldCharType="end"/>
      </w:r>
    </w:p>
    <w:p w14:paraId="059300B9" w14:textId="23D661DA" w:rsidR="009650FE" w:rsidRDefault="009650FE" w:rsidP="009650FE">
      <w:pPr>
        <w:pStyle w:val="Inhopg3"/>
        <w:tabs>
          <w:tab w:val="right" w:leader="dot" w:pos="9062"/>
        </w:tabs>
        <w:divId w:val="863442105"/>
        <w:rPr>
          <w:rFonts w:asciiTheme="minorHAnsi" w:hAnsiTheme="minorHAnsi" w:cstheme="minorBidi"/>
          <w:noProof/>
          <w:kern w:val="2"/>
          <w:sz w:val="24"/>
          <w14:ligatures w14:val="standardContextual"/>
        </w:rPr>
      </w:pPr>
      <w:r w:rsidRPr="0040793E">
        <w:rPr>
          <w:rFonts w:eastAsia="Times New Roman"/>
          <w:noProof/>
          <w:lang w:val="en-GB"/>
        </w:rPr>
        <w:t>Part B — The circular reference</w:t>
      </w:r>
      <w:r>
        <w:rPr>
          <w:noProof/>
        </w:rPr>
        <w:tab/>
      </w:r>
      <w:r>
        <w:rPr>
          <w:noProof/>
        </w:rPr>
        <w:fldChar w:fldCharType="begin"/>
      </w:r>
      <w:r>
        <w:rPr>
          <w:noProof/>
        </w:rPr>
        <w:instrText xml:space="preserve"> PAGEREF _Toc242103252 \h </w:instrText>
      </w:r>
      <w:r>
        <w:rPr>
          <w:noProof/>
        </w:rPr>
      </w:r>
      <w:r>
        <w:rPr>
          <w:noProof/>
        </w:rPr>
        <w:fldChar w:fldCharType="separate"/>
      </w:r>
      <w:r>
        <w:rPr>
          <w:noProof/>
        </w:rPr>
        <w:t>88</w:t>
      </w:r>
      <w:r>
        <w:rPr>
          <w:noProof/>
        </w:rPr>
        <w:fldChar w:fldCharType="end"/>
      </w:r>
    </w:p>
    <w:p w14:paraId="738F718D" w14:textId="3D5B9DC5" w:rsidR="009650FE" w:rsidRDefault="009650FE" w:rsidP="009650FE">
      <w:pPr>
        <w:pStyle w:val="Inhopg3"/>
        <w:tabs>
          <w:tab w:val="right" w:leader="dot" w:pos="9062"/>
        </w:tabs>
        <w:divId w:val="863442105"/>
        <w:rPr>
          <w:rFonts w:asciiTheme="minorHAnsi" w:hAnsiTheme="minorHAnsi" w:cstheme="minorBidi"/>
          <w:noProof/>
          <w:kern w:val="2"/>
          <w:sz w:val="24"/>
          <w14:ligatures w14:val="standardContextual"/>
        </w:rPr>
      </w:pPr>
      <w:r w:rsidRPr="0040793E">
        <w:rPr>
          <w:rFonts w:eastAsia="Times New Roman"/>
          <w:noProof/>
          <w:lang w:val="en-GB"/>
        </w:rPr>
        <w:t>Part C — The two openings</w:t>
      </w:r>
      <w:r>
        <w:rPr>
          <w:noProof/>
        </w:rPr>
        <w:tab/>
      </w:r>
      <w:r>
        <w:rPr>
          <w:noProof/>
        </w:rPr>
        <w:fldChar w:fldCharType="begin"/>
      </w:r>
      <w:r>
        <w:rPr>
          <w:noProof/>
        </w:rPr>
        <w:instrText xml:space="preserve"> PAGEREF _Toc242103253 \h </w:instrText>
      </w:r>
      <w:r>
        <w:rPr>
          <w:noProof/>
        </w:rPr>
      </w:r>
      <w:r>
        <w:rPr>
          <w:noProof/>
        </w:rPr>
        <w:fldChar w:fldCharType="separate"/>
      </w:r>
      <w:r>
        <w:rPr>
          <w:noProof/>
        </w:rPr>
        <w:t>89</w:t>
      </w:r>
      <w:r>
        <w:rPr>
          <w:noProof/>
        </w:rPr>
        <w:fldChar w:fldCharType="end"/>
      </w:r>
    </w:p>
    <w:p w14:paraId="61041ED7" w14:textId="43E8DAEF" w:rsidR="009650FE" w:rsidRDefault="009650FE" w:rsidP="009650FE">
      <w:pPr>
        <w:pStyle w:val="Inhopg3"/>
        <w:tabs>
          <w:tab w:val="right" w:leader="dot" w:pos="9062"/>
        </w:tabs>
        <w:divId w:val="863442105"/>
        <w:rPr>
          <w:rFonts w:asciiTheme="minorHAnsi" w:hAnsiTheme="minorHAnsi" w:cstheme="minorBidi"/>
          <w:noProof/>
          <w:kern w:val="2"/>
          <w:sz w:val="24"/>
          <w14:ligatures w14:val="standardContextual"/>
        </w:rPr>
      </w:pPr>
      <w:r w:rsidRPr="0040793E">
        <w:rPr>
          <w:rFonts w:eastAsia="Times New Roman"/>
          <w:noProof/>
          <w:lang w:val="en-GB"/>
        </w:rPr>
        <w:t>Part D — The infringement proceedings that never materialise</w:t>
      </w:r>
      <w:r>
        <w:rPr>
          <w:noProof/>
        </w:rPr>
        <w:tab/>
      </w:r>
      <w:r>
        <w:rPr>
          <w:noProof/>
        </w:rPr>
        <w:fldChar w:fldCharType="begin"/>
      </w:r>
      <w:r>
        <w:rPr>
          <w:noProof/>
        </w:rPr>
        <w:instrText xml:space="preserve"> PAGEREF _Toc242103254 \h </w:instrText>
      </w:r>
      <w:r>
        <w:rPr>
          <w:noProof/>
        </w:rPr>
      </w:r>
      <w:r>
        <w:rPr>
          <w:noProof/>
        </w:rPr>
        <w:fldChar w:fldCharType="separate"/>
      </w:r>
      <w:r>
        <w:rPr>
          <w:noProof/>
        </w:rPr>
        <w:t>90</w:t>
      </w:r>
      <w:r>
        <w:rPr>
          <w:noProof/>
        </w:rPr>
        <w:fldChar w:fldCharType="end"/>
      </w:r>
    </w:p>
    <w:p w14:paraId="761FF83E" w14:textId="33A93596" w:rsidR="009650FE" w:rsidRDefault="009650FE" w:rsidP="009650FE">
      <w:pPr>
        <w:pStyle w:val="Inhopg3"/>
        <w:tabs>
          <w:tab w:val="right" w:leader="dot" w:pos="9062"/>
        </w:tabs>
        <w:divId w:val="863442105"/>
        <w:rPr>
          <w:rFonts w:asciiTheme="minorHAnsi" w:hAnsiTheme="minorHAnsi" w:cstheme="minorBidi"/>
          <w:noProof/>
          <w:kern w:val="2"/>
          <w:sz w:val="24"/>
          <w14:ligatures w14:val="standardContextual"/>
        </w:rPr>
      </w:pPr>
      <w:r w:rsidRPr="0040793E">
        <w:rPr>
          <w:rFonts w:eastAsia="Times New Roman"/>
          <w:noProof/>
          <w:lang w:val="en-GB"/>
        </w:rPr>
        <w:t>Part E — The European paradox</w:t>
      </w:r>
      <w:r>
        <w:rPr>
          <w:noProof/>
        </w:rPr>
        <w:tab/>
      </w:r>
      <w:r>
        <w:rPr>
          <w:noProof/>
        </w:rPr>
        <w:fldChar w:fldCharType="begin"/>
      </w:r>
      <w:r>
        <w:rPr>
          <w:noProof/>
        </w:rPr>
        <w:instrText xml:space="preserve"> PAGEREF _Toc242103255 \h </w:instrText>
      </w:r>
      <w:r>
        <w:rPr>
          <w:noProof/>
        </w:rPr>
      </w:r>
      <w:r>
        <w:rPr>
          <w:noProof/>
        </w:rPr>
        <w:fldChar w:fldCharType="separate"/>
      </w:r>
      <w:r>
        <w:rPr>
          <w:noProof/>
        </w:rPr>
        <w:t>91</w:t>
      </w:r>
      <w:r>
        <w:rPr>
          <w:noProof/>
        </w:rPr>
        <w:fldChar w:fldCharType="end"/>
      </w:r>
    </w:p>
    <w:p w14:paraId="43835012" w14:textId="7FF3EAE1" w:rsidR="009650FE" w:rsidRDefault="009650FE" w:rsidP="009650FE">
      <w:pPr>
        <w:pStyle w:val="Inhopg3"/>
        <w:tabs>
          <w:tab w:val="right" w:leader="dot" w:pos="9062"/>
        </w:tabs>
        <w:divId w:val="863442105"/>
        <w:rPr>
          <w:rFonts w:asciiTheme="minorHAnsi" w:hAnsiTheme="minorHAnsi" w:cstheme="minorBidi"/>
          <w:noProof/>
          <w:kern w:val="2"/>
          <w:sz w:val="24"/>
          <w14:ligatures w14:val="standardContextual"/>
        </w:rPr>
      </w:pPr>
      <w:r w:rsidRPr="0040793E">
        <w:rPr>
          <w:rFonts w:eastAsia="Times New Roman"/>
          <w:noProof/>
          <w:lang w:val="en-GB"/>
        </w:rPr>
        <w:t>What this chapter sets out</w:t>
      </w:r>
      <w:r>
        <w:rPr>
          <w:noProof/>
        </w:rPr>
        <w:tab/>
      </w:r>
      <w:r>
        <w:rPr>
          <w:noProof/>
        </w:rPr>
        <w:fldChar w:fldCharType="begin"/>
      </w:r>
      <w:r>
        <w:rPr>
          <w:noProof/>
        </w:rPr>
        <w:instrText xml:space="preserve"> PAGEREF _Toc242103256 \h </w:instrText>
      </w:r>
      <w:r>
        <w:rPr>
          <w:noProof/>
        </w:rPr>
      </w:r>
      <w:r>
        <w:rPr>
          <w:noProof/>
        </w:rPr>
        <w:fldChar w:fldCharType="separate"/>
      </w:r>
      <w:r>
        <w:rPr>
          <w:noProof/>
        </w:rPr>
        <w:t>91</w:t>
      </w:r>
      <w:r>
        <w:rPr>
          <w:noProof/>
        </w:rPr>
        <w:fldChar w:fldCharType="end"/>
      </w:r>
    </w:p>
    <w:p w14:paraId="1FA38B99" w14:textId="7C0AA411" w:rsidR="009650FE" w:rsidRDefault="009650FE" w:rsidP="009650FE">
      <w:pPr>
        <w:pStyle w:val="Inhopg1"/>
        <w:tabs>
          <w:tab w:val="right" w:leader="dot" w:pos="9062"/>
        </w:tabs>
        <w:divId w:val="863442105"/>
        <w:rPr>
          <w:rFonts w:asciiTheme="minorHAnsi" w:hAnsiTheme="minorHAnsi" w:cstheme="minorBidi"/>
          <w:noProof/>
          <w:kern w:val="2"/>
          <w:sz w:val="24"/>
          <w14:ligatures w14:val="standardContextual"/>
        </w:rPr>
      </w:pPr>
      <w:r w:rsidRPr="0040793E">
        <w:rPr>
          <w:rFonts w:eastAsia="Times New Roman"/>
          <w:noProof/>
          <w:lang w:val="en-GB"/>
        </w:rPr>
        <w:t>VI. Those who are watching</w:t>
      </w:r>
      <w:r>
        <w:rPr>
          <w:noProof/>
        </w:rPr>
        <w:tab/>
      </w:r>
      <w:r>
        <w:rPr>
          <w:noProof/>
        </w:rPr>
        <w:fldChar w:fldCharType="begin"/>
      </w:r>
      <w:r>
        <w:rPr>
          <w:noProof/>
        </w:rPr>
        <w:instrText xml:space="preserve"> PAGEREF _Toc242103257 \h </w:instrText>
      </w:r>
      <w:r>
        <w:rPr>
          <w:noProof/>
        </w:rPr>
      </w:r>
      <w:r>
        <w:rPr>
          <w:noProof/>
        </w:rPr>
        <w:fldChar w:fldCharType="separate"/>
      </w:r>
      <w:r>
        <w:rPr>
          <w:noProof/>
        </w:rPr>
        <w:t>93</w:t>
      </w:r>
      <w:r>
        <w:rPr>
          <w:noProof/>
        </w:rPr>
        <w:fldChar w:fldCharType="end"/>
      </w:r>
    </w:p>
    <w:p w14:paraId="602F23E1" w14:textId="3AF0BE0F" w:rsidR="009650FE" w:rsidRDefault="009650FE" w:rsidP="009650FE">
      <w:pPr>
        <w:pStyle w:val="Inhopg2"/>
        <w:tabs>
          <w:tab w:val="right" w:leader="dot" w:pos="9062"/>
        </w:tabs>
        <w:divId w:val="863442105"/>
        <w:rPr>
          <w:rFonts w:asciiTheme="minorHAnsi" w:hAnsiTheme="minorHAnsi" w:cstheme="minorBidi"/>
          <w:noProof/>
          <w:kern w:val="2"/>
          <w:sz w:val="24"/>
          <w14:ligatures w14:val="standardContextual"/>
        </w:rPr>
      </w:pPr>
      <w:r w:rsidRPr="0040793E">
        <w:rPr>
          <w:rFonts w:eastAsia="Times New Roman"/>
          <w:noProof/>
          <w:lang w:val="en-GB"/>
        </w:rPr>
        <w:t>The control and mediation layer</w:t>
      </w:r>
      <w:r>
        <w:rPr>
          <w:noProof/>
        </w:rPr>
        <w:tab/>
      </w:r>
      <w:r>
        <w:rPr>
          <w:noProof/>
        </w:rPr>
        <w:fldChar w:fldCharType="begin"/>
      </w:r>
      <w:r>
        <w:rPr>
          <w:noProof/>
        </w:rPr>
        <w:instrText xml:space="preserve"> PAGEREF _Toc242103258 \h </w:instrText>
      </w:r>
      <w:r>
        <w:rPr>
          <w:noProof/>
        </w:rPr>
      </w:r>
      <w:r>
        <w:rPr>
          <w:noProof/>
        </w:rPr>
        <w:fldChar w:fldCharType="separate"/>
      </w:r>
      <w:r>
        <w:rPr>
          <w:noProof/>
        </w:rPr>
        <w:t>93</w:t>
      </w:r>
      <w:r>
        <w:rPr>
          <w:noProof/>
        </w:rPr>
        <w:fldChar w:fldCharType="end"/>
      </w:r>
    </w:p>
    <w:p w14:paraId="0B804A87" w14:textId="1E8313BB" w:rsidR="009650FE" w:rsidRDefault="009650FE" w:rsidP="009650FE">
      <w:pPr>
        <w:pStyle w:val="Inhopg3"/>
        <w:tabs>
          <w:tab w:val="right" w:leader="dot" w:pos="9062"/>
        </w:tabs>
        <w:divId w:val="863442105"/>
        <w:rPr>
          <w:rFonts w:asciiTheme="minorHAnsi" w:hAnsiTheme="minorHAnsi" w:cstheme="minorBidi"/>
          <w:noProof/>
          <w:kern w:val="2"/>
          <w:sz w:val="24"/>
          <w14:ligatures w14:val="standardContextual"/>
        </w:rPr>
      </w:pPr>
      <w:r w:rsidRPr="0040793E">
        <w:rPr>
          <w:rFonts w:eastAsia="Times New Roman"/>
          <w:noProof/>
          <w:lang w:val="en-GB"/>
        </w:rPr>
        <w:t>Part A — The four mediators</w:t>
      </w:r>
      <w:r>
        <w:rPr>
          <w:noProof/>
        </w:rPr>
        <w:tab/>
      </w:r>
      <w:r>
        <w:rPr>
          <w:noProof/>
        </w:rPr>
        <w:fldChar w:fldCharType="begin"/>
      </w:r>
      <w:r>
        <w:rPr>
          <w:noProof/>
        </w:rPr>
        <w:instrText xml:space="preserve"> PAGEREF _Toc242103259 \h </w:instrText>
      </w:r>
      <w:r>
        <w:rPr>
          <w:noProof/>
        </w:rPr>
      </w:r>
      <w:r>
        <w:rPr>
          <w:noProof/>
        </w:rPr>
        <w:fldChar w:fldCharType="separate"/>
      </w:r>
      <w:r>
        <w:rPr>
          <w:noProof/>
        </w:rPr>
        <w:t>93</w:t>
      </w:r>
      <w:r>
        <w:rPr>
          <w:noProof/>
        </w:rPr>
        <w:fldChar w:fldCharType="end"/>
      </w:r>
    </w:p>
    <w:p w14:paraId="53B7E413" w14:textId="281AF3ED" w:rsidR="009650FE" w:rsidRDefault="009650FE" w:rsidP="009650FE">
      <w:pPr>
        <w:pStyle w:val="Inhopg3"/>
        <w:tabs>
          <w:tab w:val="right" w:leader="dot" w:pos="9062"/>
        </w:tabs>
        <w:divId w:val="863442105"/>
        <w:rPr>
          <w:rFonts w:asciiTheme="minorHAnsi" w:hAnsiTheme="minorHAnsi" w:cstheme="minorBidi"/>
          <w:noProof/>
          <w:kern w:val="2"/>
          <w:sz w:val="24"/>
          <w14:ligatures w14:val="standardContextual"/>
        </w:rPr>
      </w:pPr>
      <w:r w:rsidRPr="0040793E">
        <w:rPr>
          <w:rFonts w:eastAsia="Times New Roman"/>
          <w:noProof/>
          <w:lang w:val="en-GB"/>
        </w:rPr>
        <w:t>Part B — The difference between the two ombudsmen</w:t>
      </w:r>
      <w:r>
        <w:rPr>
          <w:noProof/>
        </w:rPr>
        <w:tab/>
      </w:r>
      <w:r>
        <w:rPr>
          <w:noProof/>
        </w:rPr>
        <w:fldChar w:fldCharType="begin"/>
      </w:r>
      <w:r>
        <w:rPr>
          <w:noProof/>
        </w:rPr>
        <w:instrText xml:space="preserve"> PAGEREF _Toc242103260 \h </w:instrText>
      </w:r>
      <w:r>
        <w:rPr>
          <w:noProof/>
        </w:rPr>
      </w:r>
      <w:r>
        <w:rPr>
          <w:noProof/>
        </w:rPr>
        <w:fldChar w:fldCharType="separate"/>
      </w:r>
      <w:r>
        <w:rPr>
          <w:noProof/>
        </w:rPr>
        <w:t>93</w:t>
      </w:r>
      <w:r>
        <w:rPr>
          <w:noProof/>
        </w:rPr>
        <w:fldChar w:fldCharType="end"/>
      </w:r>
    </w:p>
    <w:p w14:paraId="50B58E3C" w14:textId="3248181E" w:rsidR="009650FE" w:rsidRDefault="009650FE" w:rsidP="009650FE">
      <w:pPr>
        <w:pStyle w:val="Inhopg3"/>
        <w:tabs>
          <w:tab w:val="right" w:leader="dot" w:pos="9062"/>
        </w:tabs>
        <w:divId w:val="863442105"/>
        <w:rPr>
          <w:rFonts w:asciiTheme="minorHAnsi" w:hAnsiTheme="minorHAnsi" w:cstheme="minorBidi"/>
          <w:noProof/>
          <w:kern w:val="2"/>
          <w:sz w:val="24"/>
          <w14:ligatures w14:val="standardContextual"/>
        </w:rPr>
      </w:pPr>
      <w:r w:rsidRPr="0040793E">
        <w:rPr>
          <w:rFonts w:eastAsia="Times New Roman"/>
          <w:noProof/>
          <w:lang w:val="en-GB"/>
        </w:rPr>
        <w:t>Part C — The circular reference between the two SOLVIT centres</w:t>
      </w:r>
      <w:r>
        <w:rPr>
          <w:noProof/>
        </w:rPr>
        <w:tab/>
      </w:r>
      <w:r>
        <w:rPr>
          <w:noProof/>
        </w:rPr>
        <w:fldChar w:fldCharType="begin"/>
      </w:r>
      <w:r>
        <w:rPr>
          <w:noProof/>
        </w:rPr>
        <w:instrText xml:space="preserve"> PAGEREF _Toc242103261 \h </w:instrText>
      </w:r>
      <w:r>
        <w:rPr>
          <w:noProof/>
        </w:rPr>
      </w:r>
      <w:r>
        <w:rPr>
          <w:noProof/>
        </w:rPr>
        <w:fldChar w:fldCharType="separate"/>
      </w:r>
      <w:r>
        <w:rPr>
          <w:noProof/>
        </w:rPr>
        <w:t>94</w:t>
      </w:r>
      <w:r>
        <w:rPr>
          <w:noProof/>
        </w:rPr>
        <w:fldChar w:fldCharType="end"/>
      </w:r>
    </w:p>
    <w:p w14:paraId="601E6BC3" w14:textId="419BF349" w:rsidR="009650FE" w:rsidRDefault="009650FE" w:rsidP="009650FE">
      <w:pPr>
        <w:pStyle w:val="Inhopg3"/>
        <w:tabs>
          <w:tab w:val="right" w:leader="dot" w:pos="9062"/>
        </w:tabs>
        <w:divId w:val="863442105"/>
        <w:rPr>
          <w:rFonts w:asciiTheme="minorHAnsi" w:hAnsiTheme="minorHAnsi" w:cstheme="minorBidi"/>
          <w:noProof/>
          <w:kern w:val="2"/>
          <w:sz w:val="24"/>
          <w14:ligatures w14:val="standardContextual"/>
        </w:rPr>
      </w:pPr>
      <w:r w:rsidRPr="0040793E">
        <w:rPr>
          <w:rFonts w:eastAsia="Times New Roman"/>
          <w:noProof/>
          <w:lang w:val="en-GB"/>
        </w:rPr>
        <w:t>Part D — The ELA: the road that won’t open</w:t>
      </w:r>
      <w:r>
        <w:rPr>
          <w:noProof/>
        </w:rPr>
        <w:tab/>
      </w:r>
      <w:r>
        <w:rPr>
          <w:noProof/>
        </w:rPr>
        <w:fldChar w:fldCharType="begin"/>
      </w:r>
      <w:r>
        <w:rPr>
          <w:noProof/>
        </w:rPr>
        <w:instrText xml:space="preserve"> PAGEREF _Toc242103262 \h </w:instrText>
      </w:r>
      <w:r>
        <w:rPr>
          <w:noProof/>
        </w:rPr>
      </w:r>
      <w:r>
        <w:rPr>
          <w:noProof/>
        </w:rPr>
        <w:fldChar w:fldCharType="separate"/>
      </w:r>
      <w:r>
        <w:rPr>
          <w:noProof/>
        </w:rPr>
        <w:t>94</w:t>
      </w:r>
      <w:r>
        <w:rPr>
          <w:noProof/>
        </w:rPr>
        <w:fldChar w:fldCharType="end"/>
      </w:r>
    </w:p>
    <w:p w14:paraId="0A18FB20" w14:textId="772E9A22" w:rsidR="009650FE" w:rsidRDefault="009650FE" w:rsidP="009650FE">
      <w:pPr>
        <w:pStyle w:val="Inhopg3"/>
        <w:tabs>
          <w:tab w:val="right" w:leader="dot" w:pos="9062"/>
        </w:tabs>
        <w:divId w:val="863442105"/>
        <w:rPr>
          <w:rFonts w:asciiTheme="minorHAnsi" w:hAnsiTheme="minorHAnsi" w:cstheme="minorBidi"/>
          <w:noProof/>
          <w:kern w:val="2"/>
          <w:sz w:val="24"/>
          <w14:ligatures w14:val="standardContextual"/>
        </w:rPr>
      </w:pPr>
      <w:r w:rsidRPr="0040793E">
        <w:rPr>
          <w:rFonts w:eastAsia="Times New Roman"/>
          <w:noProof/>
          <w:lang w:val="en-GB"/>
        </w:rPr>
        <w:t>Part E — The pattern</w:t>
      </w:r>
      <w:r>
        <w:rPr>
          <w:noProof/>
        </w:rPr>
        <w:tab/>
      </w:r>
      <w:r>
        <w:rPr>
          <w:noProof/>
        </w:rPr>
        <w:fldChar w:fldCharType="begin"/>
      </w:r>
      <w:r>
        <w:rPr>
          <w:noProof/>
        </w:rPr>
        <w:instrText xml:space="preserve"> PAGEREF _Toc242103263 \h </w:instrText>
      </w:r>
      <w:r>
        <w:rPr>
          <w:noProof/>
        </w:rPr>
      </w:r>
      <w:r>
        <w:rPr>
          <w:noProof/>
        </w:rPr>
        <w:fldChar w:fldCharType="separate"/>
      </w:r>
      <w:r>
        <w:rPr>
          <w:noProof/>
        </w:rPr>
        <w:t>95</w:t>
      </w:r>
      <w:r>
        <w:rPr>
          <w:noProof/>
        </w:rPr>
        <w:fldChar w:fldCharType="end"/>
      </w:r>
    </w:p>
    <w:p w14:paraId="7B66A196" w14:textId="0089213C" w:rsidR="009650FE" w:rsidRDefault="009650FE" w:rsidP="009650FE">
      <w:pPr>
        <w:pStyle w:val="Inhopg2"/>
        <w:tabs>
          <w:tab w:val="right" w:leader="dot" w:pos="9062"/>
        </w:tabs>
        <w:divId w:val="863442105"/>
        <w:rPr>
          <w:rFonts w:asciiTheme="minorHAnsi" w:hAnsiTheme="minorHAnsi" w:cstheme="minorBidi"/>
          <w:noProof/>
          <w:kern w:val="2"/>
          <w:sz w:val="24"/>
          <w14:ligatures w14:val="standardContextual"/>
        </w:rPr>
      </w:pPr>
      <w:r w:rsidRPr="0040793E">
        <w:rPr>
          <w:rFonts w:eastAsia="Times New Roman"/>
          <w:noProof/>
          <w:lang w:val="en-GB"/>
        </w:rPr>
        <w:t>The courts</w:t>
      </w:r>
      <w:r>
        <w:rPr>
          <w:noProof/>
        </w:rPr>
        <w:tab/>
      </w:r>
      <w:r>
        <w:rPr>
          <w:noProof/>
        </w:rPr>
        <w:fldChar w:fldCharType="begin"/>
      </w:r>
      <w:r>
        <w:rPr>
          <w:noProof/>
        </w:rPr>
        <w:instrText xml:space="preserve"> PAGEREF _Toc242103264 \h </w:instrText>
      </w:r>
      <w:r>
        <w:rPr>
          <w:noProof/>
        </w:rPr>
      </w:r>
      <w:r>
        <w:rPr>
          <w:noProof/>
        </w:rPr>
        <w:fldChar w:fldCharType="separate"/>
      </w:r>
      <w:r>
        <w:rPr>
          <w:noProof/>
        </w:rPr>
        <w:t>97</w:t>
      </w:r>
      <w:r>
        <w:rPr>
          <w:noProof/>
        </w:rPr>
        <w:fldChar w:fldCharType="end"/>
      </w:r>
    </w:p>
    <w:p w14:paraId="2B51E2B7" w14:textId="0ED18B16" w:rsidR="009650FE" w:rsidRDefault="009650FE" w:rsidP="009650FE">
      <w:pPr>
        <w:pStyle w:val="Inhopg3"/>
        <w:tabs>
          <w:tab w:val="right" w:leader="dot" w:pos="9062"/>
        </w:tabs>
        <w:divId w:val="863442105"/>
        <w:rPr>
          <w:rFonts w:asciiTheme="minorHAnsi" w:hAnsiTheme="minorHAnsi" w:cstheme="minorBidi"/>
          <w:noProof/>
          <w:kern w:val="2"/>
          <w:sz w:val="24"/>
          <w14:ligatures w14:val="standardContextual"/>
        </w:rPr>
      </w:pPr>
      <w:r w:rsidRPr="0040793E">
        <w:rPr>
          <w:rFonts w:eastAsia="Times New Roman"/>
          <w:noProof/>
          <w:lang w:val="en-GB"/>
        </w:rPr>
        <w:t>Part A — The two legal remedies</w:t>
      </w:r>
      <w:r>
        <w:rPr>
          <w:noProof/>
        </w:rPr>
        <w:tab/>
      </w:r>
      <w:r>
        <w:rPr>
          <w:noProof/>
        </w:rPr>
        <w:fldChar w:fldCharType="begin"/>
      </w:r>
      <w:r>
        <w:rPr>
          <w:noProof/>
        </w:rPr>
        <w:instrText xml:space="preserve"> PAGEREF _Toc242103265 \h </w:instrText>
      </w:r>
      <w:r>
        <w:rPr>
          <w:noProof/>
        </w:rPr>
      </w:r>
      <w:r>
        <w:rPr>
          <w:noProof/>
        </w:rPr>
        <w:fldChar w:fldCharType="separate"/>
      </w:r>
      <w:r>
        <w:rPr>
          <w:noProof/>
        </w:rPr>
        <w:t>97</w:t>
      </w:r>
      <w:r>
        <w:rPr>
          <w:noProof/>
        </w:rPr>
        <w:fldChar w:fldCharType="end"/>
      </w:r>
    </w:p>
    <w:p w14:paraId="7F735D9E" w14:textId="658EC73E" w:rsidR="009650FE" w:rsidRDefault="009650FE" w:rsidP="009650FE">
      <w:pPr>
        <w:pStyle w:val="Inhopg3"/>
        <w:tabs>
          <w:tab w:val="right" w:leader="dot" w:pos="9062"/>
        </w:tabs>
        <w:divId w:val="863442105"/>
        <w:rPr>
          <w:rFonts w:asciiTheme="minorHAnsi" w:hAnsiTheme="minorHAnsi" w:cstheme="minorBidi"/>
          <w:noProof/>
          <w:kern w:val="2"/>
          <w:sz w:val="24"/>
          <w14:ligatures w14:val="standardContextual"/>
        </w:rPr>
      </w:pPr>
      <w:r w:rsidRPr="0040793E">
        <w:rPr>
          <w:rFonts w:eastAsia="Times New Roman"/>
          <w:noProof/>
          <w:lang w:val="en-GB"/>
        </w:rPr>
        <w:t>Part B — The pro bono threshold</w:t>
      </w:r>
      <w:r>
        <w:rPr>
          <w:noProof/>
        </w:rPr>
        <w:tab/>
      </w:r>
      <w:r>
        <w:rPr>
          <w:noProof/>
        </w:rPr>
        <w:fldChar w:fldCharType="begin"/>
      </w:r>
      <w:r>
        <w:rPr>
          <w:noProof/>
        </w:rPr>
        <w:instrText xml:space="preserve"> PAGEREF _Toc242103266 \h </w:instrText>
      </w:r>
      <w:r>
        <w:rPr>
          <w:noProof/>
        </w:rPr>
      </w:r>
      <w:r>
        <w:rPr>
          <w:noProof/>
        </w:rPr>
        <w:fldChar w:fldCharType="separate"/>
      </w:r>
      <w:r>
        <w:rPr>
          <w:noProof/>
        </w:rPr>
        <w:t>97</w:t>
      </w:r>
      <w:r>
        <w:rPr>
          <w:noProof/>
        </w:rPr>
        <w:fldChar w:fldCharType="end"/>
      </w:r>
    </w:p>
    <w:p w14:paraId="07DB801F" w14:textId="3E6EC7A1" w:rsidR="009650FE" w:rsidRDefault="009650FE" w:rsidP="009650FE">
      <w:pPr>
        <w:pStyle w:val="Inhopg3"/>
        <w:tabs>
          <w:tab w:val="right" w:leader="dot" w:pos="9062"/>
        </w:tabs>
        <w:divId w:val="863442105"/>
        <w:rPr>
          <w:rFonts w:asciiTheme="minorHAnsi" w:hAnsiTheme="minorHAnsi" w:cstheme="minorBidi"/>
          <w:noProof/>
          <w:kern w:val="2"/>
          <w:sz w:val="24"/>
          <w14:ligatures w14:val="standardContextual"/>
        </w:rPr>
      </w:pPr>
      <w:r w:rsidRPr="0040793E">
        <w:rPr>
          <w:rFonts w:eastAsia="Times New Roman"/>
          <w:noProof/>
          <w:lang w:val="en-GB"/>
        </w:rPr>
        <w:t>Part C — The irony of the reference year</w:t>
      </w:r>
      <w:r>
        <w:rPr>
          <w:noProof/>
        </w:rPr>
        <w:tab/>
      </w:r>
      <w:r>
        <w:rPr>
          <w:noProof/>
        </w:rPr>
        <w:fldChar w:fldCharType="begin"/>
      </w:r>
      <w:r>
        <w:rPr>
          <w:noProof/>
        </w:rPr>
        <w:instrText xml:space="preserve"> PAGEREF _Toc242103267 \h </w:instrText>
      </w:r>
      <w:r>
        <w:rPr>
          <w:noProof/>
        </w:rPr>
      </w:r>
      <w:r>
        <w:rPr>
          <w:noProof/>
        </w:rPr>
        <w:fldChar w:fldCharType="separate"/>
      </w:r>
      <w:r>
        <w:rPr>
          <w:noProof/>
        </w:rPr>
        <w:t>98</w:t>
      </w:r>
      <w:r>
        <w:rPr>
          <w:noProof/>
        </w:rPr>
        <w:fldChar w:fldCharType="end"/>
      </w:r>
    </w:p>
    <w:p w14:paraId="0ACED359" w14:textId="5EFB8B74" w:rsidR="009650FE" w:rsidRDefault="009650FE" w:rsidP="009650FE">
      <w:pPr>
        <w:pStyle w:val="Inhopg3"/>
        <w:tabs>
          <w:tab w:val="right" w:leader="dot" w:pos="9062"/>
        </w:tabs>
        <w:divId w:val="863442105"/>
        <w:rPr>
          <w:rFonts w:asciiTheme="minorHAnsi" w:hAnsiTheme="minorHAnsi" w:cstheme="minorBidi"/>
          <w:noProof/>
          <w:kern w:val="2"/>
          <w:sz w:val="24"/>
          <w14:ligatures w14:val="standardContextual"/>
        </w:rPr>
      </w:pPr>
      <w:r w:rsidRPr="0040793E">
        <w:rPr>
          <w:rFonts w:eastAsia="Times New Roman"/>
          <w:noProof/>
          <w:lang w:val="en-GB"/>
        </w:rPr>
        <w:t>Part D — What this means</w:t>
      </w:r>
      <w:r>
        <w:rPr>
          <w:noProof/>
        </w:rPr>
        <w:tab/>
      </w:r>
      <w:r>
        <w:rPr>
          <w:noProof/>
        </w:rPr>
        <w:fldChar w:fldCharType="begin"/>
      </w:r>
      <w:r>
        <w:rPr>
          <w:noProof/>
        </w:rPr>
        <w:instrText xml:space="preserve"> PAGEREF _Toc242103268 \h </w:instrText>
      </w:r>
      <w:r>
        <w:rPr>
          <w:noProof/>
        </w:rPr>
      </w:r>
      <w:r>
        <w:rPr>
          <w:noProof/>
        </w:rPr>
        <w:fldChar w:fldCharType="separate"/>
      </w:r>
      <w:r>
        <w:rPr>
          <w:noProof/>
        </w:rPr>
        <w:t>99</w:t>
      </w:r>
      <w:r>
        <w:rPr>
          <w:noProof/>
        </w:rPr>
        <w:fldChar w:fldCharType="end"/>
      </w:r>
    </w:p>
    <w:p w14:paraId="3B8EA5A5" w14:textId="6D01481A" w:rsidR="009650FE" w:rsidRDefault="009650FE" w:rsidP="009650FE">
      <w:pPr>
        <w:pStyle w:val="Inhopg2"/>
        <w:tabs>
          <w:tab w:val="right" w:leader="dot" w:pos="9062"/>
        </w:tabs>
        <w:divId w:val="863442105"/>
        <w:rPr>
          <w:rFonts w:asciiTheme="minorHAnsi" w:hAnsiTheme="minorHAnsi" w:cstheme="minorBidi"/>
          <w:noProof/>
          <w:kern w:val="2"/>
          <w:sz w:val="24"/>
          <w14:ligatures w14:val="standardContextual"/>
        </w:rPr>
      </w:pPr>
      <w:r w:rsidRPr="0040793E">
        <w:rPr>
          <w:rFonts w:eastAsia="Times New Roman"/>
          <w:noProof/>
          <w:lang w:val="en-GB"/>
        </w:rPr>
        <w:t>Politics</w:t>
      </w:r>
      <w:r>
        <w:rPr>
          <w:noProof/>
        </w:rPr>
        <w:tab/>
      </w:r>
      <w:r>
        <w:rPr>
          <w:noProof/>
        </w:rPr>
        <w:fldChar w:fldCharType="begin"/>
      </w:r>
      <w:r>
        <w:rPr>
          <w:noProof/>
        </w:rPr>
        <w:instrText xml:space="preserve"> PAGEREF _Toc242103269 \h </w:instrText>
      </w:r>
      <w:r>
        <w:rPr>
          <w:noProof/>
        </w:rPr>
      </w:r>
      <w:r>
        <w:rPr>
          <w:noProof/>
        </w:rPr>
        <w:fldChar w:fldCharType="separate"/>
      </w:r>
      <w:r>
        <w:rPr>
          <w:noProof/>
        </w:rPr>
        <w:t>100</w:t>
      </w:r>
      <w:r>
        <w:rPr>
          <w:noProof/>
        </w:rPr>
        <w:fldChar w:fldCharType="end"/>
      </w:r>
    </w:p>
    <w:p w14:paraId="6A757A23" w14:textId="360FC021" w:rsidR="009650FE" w:rsidRDefault="009650FE" w:rsidP="009650FE">
      <w:pPr>
        <w:pStyle w:val="Inhopg3"/>
        <w:tabs>
          <w:tab w:val="right" w:leader="dot" w:pos="9062"/>
        </w:tabs>
        <w:divId w:val="863442105"/>
        <w:rPr>
          <w:rFonts w:asciiTheme="minorHAnsi" w:hAnsiTheme="minorHAnsi" w:cstheme="minorBidi"/>
          <w:noProof/>
          <w:kern w:val="2"/>
          <w:sz w:val="24"/>
          <w14:ligatures w14:val="standardContextual"/>
        </w:rPr>
      </w:pPr>
      <w:r w:rsidRPr="0040793E">
        <w:rPr>
          <w:rFonts w:eastAsia="Times New Roman"/>
          <w:noProof/>
          <w:lang w:val="en-GB"/>
        </w:rPr>
        <w:t>Part A — The separation of powers</w:t>
      </w:r>
      <w:r>
        <w:rPr>
          <w:noProof/>
        </w:rPr>
        <w:tab/>
      </w:r>
      <w:r>
        <w:rPr>
          <w:noProof/>
        </w:rPr>
        <w:fldChar w:fldCharType="begin"/>
      </w:r>
      <w:r>
        <w:rPr>
          <w:noProof/>
        </w:rPr>
        <w:instrText xml:space="preserve"> PAGEREF _Toc242103270 \h </w:instrText>
      </w:r>
      <w:r>
        <w:rPr>
          <w:noProof/>
        </w:rPr>
      </w:r>
      <w:r>
        <w:rPr>
          <w:noProof/>
        </w:rPr>
        <w:fldChar w:fldCharType="separate"/>
      </w:r>
      <w:r>
        <w:rPr>
          <w:noProof/>
        </w:rPr>
        <w:t>100</w:t>
      </w:r>
      <w:r>
        <w:rPr>
          <w:noProof/>
        </w:rPr>
        <w:fldChar w:fldCharType="end"/>
      </w:r>
    </w:p>
    <w:p w14:paraId="37DB90B1" w14:textId="44B8639D" w:rsidR="009650FE" w:rsidRDefault="009650FE" w:rsidP="009650FE">
      <w:pPr>
        <w:pStyle w:val="Inhopg3"/>
        <w:tabs>
          <w:tab w:val="right" w:leader="dot" w:pos="9062"/>
        </w:tabs>
        <w:divId w:val="863442105"/>
        <w:rPr>
          <w:rFonts w:asciiTheme="minorHAnsi" w:hAnsiTheme="minorHAnsi" w:cstheme="minorBidi"/>
          <w:noProof/>
          <w:kern w:val="2"/>
          <w:sz w:val="24"/>
          <w14:ligatures w14:val="standardContextual"/>
        </w:rPr>
      </w:pPr>
      <w:r w:rsidRPr="0040793E">
        <w:rPr>
          <w:rFonts w:eastAsia="Times New Roman"/>
          <w:noProof/>
          <w:lang w:val="en-GB"/>
        </w:rPr>
        <w:t>Part B — What politics can and cannot do</w:t>
      </w:r>
      <w:r>
        <w:rPr>
          <w:noProof/>
        </w:rPr>
        <w:tab/>
      </w:r>
      <w:r>
        <w:rPr>
          <w:noProof/>
        </w:rPr>
        <w:fldChar w:fldCharType="begin"/>
      </w:r>
      <w:r>
        <w:rPr>
          <w:noProof/>
        </w:rPr>
        <w:instrText xml:space="preserve"> PAGEREF _Toc242103271 \h </w:instrText>
      </w:r>
      <w:r>
        <w:rPr>
          <w:noProof/>
        </w:rPr>
      </w:r>
      <w:r>
        <w:rPr>
          <w:noProof/>
        </w:rPr>
        <w:fldChar w:fldCharType="separate"/>
      </w:r>
      <w:r>
        <w:rPr>
          <w:noProof/>
        </w:rPr>
        <w:t>100</w:t>
      </w:r>
      <w:r>
        <w:rPr>
          <w:noProof/>
        </w:rPr>
        <w:fldChar w:fldCharType="end"/>
      </w:r>
    </w:p>
    <w:p w14:paraId="7D4AB96D" w14:textId="674CB52D" w:rsidR="009650FE" w:rsidRDefault="009650FE" w:rsidP="009650FE">
      <w:pPr>
        <w:pStyle w:val="Inhopg3"/>
        <w:tabs>
          <w:tab w:val="right" w:leader="dot" w:pos="9062"/>
        </w:tabs>
        <w:divId w:val="863442105"/>
        <w:rPr>
          <w:rFonts w:asciiTheme="minorHAnsi" w:hAnsiTheme="minorHAnsi" w:cstheme="minorBidi"/>
          <w:noProof/>
          <w:kern w:val="2"/>
          <w:sz w:val="24"/>
          <w14:ligatures w14:val="standardContextual"/>
        </w:rPr>
      </w:pPr>
      <w:r w:rsidRPr="0040793E">
        <w:rPr>
          <w:rFonts w:eastAsia="Times New Roman"/>
          <w:noProof/>
          <w:lang w:val="en-GB"/>
        </w:rPr>
        <w:t>Part C — Belgian parliamentary practice</w:t>
      </w:r>
      <w:r>
        <w:rPr>
          <w:noProof/>
        </w:rPr>
        <w:tab/>
      </w:r>
      <w:r>
        <w:rPr>
          <w:noProof/>
        </w:rPr>
        <w:fldChar w:fldCharType="begin"/>
      </w:r>
      <w:r>
        <w:rPr>
          <w:noProof/>
        </w:rPr>
        <w:instrText xml:space="preserve"> PAGEREF _Toc242103272 \h </w:instrText>
      </w:r>
      <w:r>
        <w:rPr>
          <w:noProof/>
        </w:rPr>
      </w:r>
      <w:r>
        <w:rPr>
          <w:noProof/>
        </w:rPr>
        <w:fldChar w:fldCharType="separate"/>
      </w:r>
      <w:r>
        <w:rPr>
          <w:noProof/>
        </w:rPr>
        <w:t>101</w:t>
      </w:r>
      <w:r>
        <w:rPr>
          <w:noProof/>
        </w:rPr>
        <w:fldChar w:fldCharType="end"/>
      </w:r>
    </w:p>
    <w:p w14:paraId="36B896B7" w14:textId="5777DD24" w:rsidR="009650FE" w:rsidRDefault="009650FE" w:rsidP="009650FE">
      <w:pPr>
        <w:pStyle w:val="Inhopg3"/>
        <w:tabs>
          <w:tab w:val="right" w:leader="dot" w:pos="9062"/>
        </w:tabs>
        <w:divId w:val="863442105"/>
        <w:rPr>
          <w:rFonts w:asciiTheme="minorHAnsi" w:hAnsiTheme="minorHAnsi" w:cstheme="minorBidi"/>
          <w:noProof/>
          <w:kern w:val="2"/>
          <w:sz w:val="24"/>
          <w14:ligatures w14:val="standardContextual"/>
        </w:rPr>
      </w:pPr>
      <w:r w:rsidRPr="0040793E">
        <w:rPr>
          <w:rFonts w:eastAsia="Times New Roman"/>
          <w:noProof/>
          <w:lang w:val="en-GB"/>
        </w:rPr>
        <w:t>Part D — Parliamentary practice in the Netherlands</w:t>
      </w:r>
      <w:r>
        <w:rPr>
          <w:noProof/>
        </w:rPr>
        <w:tab/>
      </w:r>
      <w:r>
        <w:rPr>
          <w:noProof/>
        </w:rPr>
        <w:fldChar w:fldCharType="begin"/>
      </w:r>
      <w:r>
        <w:rPr>
          <w:noProof/>
        </w:rPr>
        <w:instrText xml:space="preserve"> PAGEREF _Toc242103273 \h </w:instrText>
      </w:r>
      <w:r>
        <w:rPr>
          <w:noProof/>
        </w:rPr>
      </w:r>
      <w:r>
        <w:rPr>
          <w:noProof/>
        </w:rPr>
        <w:fldChar w:fldCharType="separate"/>
      </w:r>
      <w:r>
        <w:rPr>
          <w:noProof/>
        </w:rPr>
        <w:t>101</w:t>
      </w:r>
      <w:r>
        <w:rPr>
          <w:noProof/>
        </w:rPr>
        <w:fldChar w:fldCharType="end"/>
      </w:r>
    </w:p>
    <w:p w14:paraId="627AB7BB" w14:textId="2C32E63D" w:rsidR="009650FE" w:rsidRDefault="009650FE" w:rsidP="009650FE">
      <w:pPr>
        <w:pStyle w:val="Inhopg3"/>
        <w:tabs>
          <w:tab w:val="right" w:leader="dot" w:pos="9062"/>
        </w:tabs>
        <w:divId w:val="863442105"/>
        <w:rPr>
          <w:rFonts w:asciiTheme="minorHAnsi" w:hAnsiTheme="minorHAnsi" w:cstheme="minorBidi"/>
          <w:noProof/>
          <w:kern w:val="2"/>
          <w:sz w:val="24"/>
          <w14:ligatures w14:val="standardContextual"/>
        </w:rPr>
      </w:pPr>
      <w:r w:rsidRPr="0040793E">
        <w:rPr>
          <w:rFonts w:eastAsia="Times New Roman"/>
          <w:noProof/>
          <w:lang w:val="en-GB"/>
        </w:rPr>
        <w:t>Part E — A summary of the differences</w:t>
      </w:r>
      <w:r>
        <w:rPr>
          <w:noProof/>
        </w:rPr>
        <w:tab/>
      </w:r>
      <w:r>
        <w:rPr>
          <w:noProof/>
        </w:rPr>
        <w:fldChar w:fldCharType="begin"/>
      </w:r>
      <w:r>
        <w:rPr>
          <w:noProof/>
        </w:rPr>
        <w:instrText xml:space="preserve"> PAGEREF _Toc242103274 \h </w:instrText>
      </w:r>
      <w:r>
        <w:rPr>
          <w:noProof/>
        </w:rPr>
      </w:r>
      <w:r>
        <w:rPr>
          <w:noProof/>
        </w:rPr>
        <w:fldChar w:fldCharType="separate"/>
      </w:r>
      <w:r>
        <w:rPr>
          <w:noProof/>
        </w:rPr>
        <w:t>102</w:t>
      </w:r>
      <w:r>
        <w:rPr>
          <w:noProof/>
        </w:rPr>
        <w:fldChar w:fldCharType="end"/>
      </w:r>
    </w:p>
    <w:p w14:paraId="18E76531" w14:textId="0D537A0C" w:rsidR="009650FE" w:rsidRDefault="009650FE" w:rsidP="009650FE">
      <w:pPr>
        <w:pStyle w:val="Inhopg3"/>
        <w:tabs>
          <w:tab w:val="right" w:leader="dot" w:pos="9062"/>
        </w:tabs>
        <w:divId w:val="863442105"/>
        <w:rPr>
          <w:rFonts w:asciiTheme="minorHAnsi" w:hAnsiTheme="minorHAnsi" w:cstheme="minorBidi"/>
          <w:noProof/>
          <w:kern w:val="2"/>
          <w:sz w:val="24"/>
          <w14:ligatures w14:val="standardContextual"/>
        </w:rPr>
      </w:pPr>
      <w:r w:rsidRPr="0040793E">
        <w:rPr>
          <w:rFonts w:eastAsia="Times New Roman"/>
          <w:noProof/>
          <w:lang w:val="en-GB"/>
        </w:rPr>
        <w:t>Part F — The power of framing</w:t>
      </w:r>
      <w:r>
        <w:rPr>
          <w:noProof/>
        </w:rPr>
        <w:tab/>
      </w:r>
      <w:r>
        <w:rPr>
          <w:noProof/>
        </w:rPr>
        <w:fldChar w:fldCharType="begin"/>
      </w:r>
      <w:r>
        <w:rPr>
          <w:noProof/>
        </w:rPr>
        <w:instrText xml:space="preserve"> PAGEREF _Toc242103275 \h </w:instrText>
      </w:r>
      <w:r>
        <w:rPr>
          <w:noProof/>
        </w:rPr>
      </w:r>
      <w:r>
        <w:rPr>
          <w:noProof/>
        </w:rPr>
        <w:fldChar w:fldCharType="separate"/>
      </w:r>
      <w:r>
        <w:rPr>
          <w:noProof/>
        </w:rPr>
        <w:t>103</w:t>
      </w:r>
      <w:r>
        <w:rPr>
          <w:noProof/>
        </w:rPr>
        <w:fldChar w:fldCharType="end"/>
      </w:r>
    </w:p>
    <w:p w14:paraId="0021BDA1" w14:textId="3182FCB8" w:rsidR="009650FE" w:rsidRDefault="009650FE" w:rsidP="009650FE">
      <w:pPr>
        <w:pStyle w:val="Inhopg3"/>
        <w:tabs>
          <w:tab w:val="right" w:leader="dot" w:pos="9062"/>
        </w:tabs>
        <w:divId w:val="863442105"/>
        <w:rPr>
          <w:rFonts w:asciiTheme="minorHAnsi" w:hAnsiTheme="minorHAnsi" w:cstheme="minorBidi"/>
          <w:noProof/>
          <w:kern w:val="2"/>
          <w:sz w:val="24"/>
          <w14:ligatures w14:val="standardContextual"/>
        </w:rPr>
      </w:pPr>
      <w:r w:rsidRPr="0040793E">
        <w:rPr>
          <w:rFonts w:eastAsia="Times New Roman"/>
          <w:noProof/>
          <w:lang w:val="en-GB"/>
        </w:rPr>
        <w:t>Part G — What this document does</w:t>
      </w:r>
      <w:r>
        <w:rPr>
          <w:noProof/>
        </w:rPr>
        <w:tab/>
      </w:r>
      <w:r>
        <w:rPr>
          <w:noProof/>
        </w:rPr>
        <w:fldChar w:fldCharType="begin"/>
      </w:r>
      <w:r>
        <w:rPr>
          <w:noProof/>
        </w:rPr>
        <w:instrText xml:space="preserve"> PAGEREF _Toc242103276 \h </w:instrText>
      </w:r>
      <w:r>
        <w:rPr>
          <w:noProof/>
        </w:rPr>
      </w:r>
      <w:r>
        <w:rPr>
          <w:noProof/>
        </w:rPr>
        <w:fldChar w:fldCharType="separate"/>
      </w:r>
      <w:r>
        <w:rPr>
          <w:noProof/>
        </w:rPr>
        <w:t>103</w:t>
      </w:r>
      <w:r>
        <w:rPr>
          <w:noProof/>
        </w:rPr>
        <w:fldChar w:fldCharType="end"/>
      </w:r>
    </w:p>
    <w:p w14:paraId="29747F23" w14:textId="4013C84A" w:rsidR="009650FE" w:rsidRDefault="009650FE" w:rsidP="009650FE">
      <w:pPr>
        <w:pStyle w:val="Inhopg2"/>
        <w:tabs>
          <w:tab w:val="right" w:leader="dot" w:pos="9062"/>
        </w:tabs>
        <w:divId w:val="863442105"/>
        <w:rPr>
          <w:rFonts w:asciiTheme="minorHAnsi" w:hAnsiTheme="minorHAnsi" w:cstheme="minorBidi"/>
          <w:noProof/>
          <w:kern w:val="2"/>
          <w:sz w:val="24"/>
          <w14:ligatures w14:val="standardContextual"/>
        </w:rPr>
      </w:pPr>
      <w:r w:rsidRPr="0040793E">
        <w:rPr>
          <w:rFonts w:eastAsia="Times New Roman"/>
          <w:noProof/>
          <w:lang w:val="en-GB"/>
        </w:rPr>
        <w:t>The nobility</w:t>
      </w:r>
      <w:r>
        <w:rPr>
          <w:noProof/>
        </w:rPr>
        <w:tab/>
      </w:r>
      <w:r>
        <w:rPr>
          <w:noProof/>
        </w:rPr>
        <w:fldChar w:fldCharType="begin"/>
      </w:r>
      <w:r>
        <w:rPr>
          <w:noProof/>
        </w:rPr>
        <w:instrText xml:space="preserve"> PAGEREF _Toc242103277 \h </w:instrText>
      </w:r>
      <w:r>
        <w:rPr>
          <w:noProof/>
        </w:rPr>
      </w:r>
      <w:r>
        <w:rPr>
          <w:noProof/>
        </w:rPr>
        <w:fldChar w:fldCharType="separate"/>
      </w:r>
      <w:r>
        <w:rPr>
          <w:noProof/>
        </w:rPr>
        <w:t>105</w:t>
      </w:r>
      <w:r>
        <w:rPr>
          <w:noProof/>
        </w:rPr>
        <w:fldChar w:fldCharType="end"/>
      </w:r>
    </w:p>
    <w:p w14:paraId="753E3DA7" w14:textId="068C9927" w:rsidR="009650FE" w:rsidRDefault="009650FE" w:rsidP="009650FE">
      <w:pPr>
        <w:pStyle w:val="Inhopg3"/>
        <w:tabs>
          <w:tab w:val="right" w:leader="dot" w:pos="9062"/>
        </w:tabs>
        <w:divId w:val="863442105"/>
        <w:rPr>
          <w:rFonts w:asciiTheme="minorHAnsi" w:hAnsiTheme="minorHAnsi" w:cstheme="minorBidi"/>
          <w:noProof/>
          <w:kern w:val="2"/>
          <w:sz w:val="24"/>
          <w14:ligatures w14:val="standardContextual"/>
        </w:rPr>
      </w:pPr>
      <w:r w:rsidRPr="0040793E">
        <w:rPr>
          <w:rFonts w:eastAsia="Times New Roman"/>
          <w:noProof/>
          <w:lang w:val="en-GB"/>
        </w:rPr>
        <w:t>Part A — Formal power: what the King can and cannot do</w:t>
      </w:r>
      <w:r>
        <w:rPr>
          <w:noProof/>
        </w:rPr>
        <w:tab/>
      </w:r>
      <w:r>
        <w:rPr>
          <w:noProof/>
        </w:rPr>
        <w:fldChar w:fldCharType="begin"/>
      </w:r>
      <w:r>
        <w:rPr>
          <w:noProof/>
        </w:rPr>
        <w:instrText xml:space="preserve"> PAGEREF _Toc242103278 \h </w:instrText>
      </w:r>
      <w:r>
        <w:rPr>
          <w:noProof/>
        </w:rPr>
      </w:r>
      <w:r>
        <w:rPr>
          <w:noProof/>
        </w:rPr>
        <w:fldChar w:fldCharType="separate"/>
      </w:r>
      <w:r>
        <w:rPr>
          <w:noProof/>
        </w:rPr>
        <w:t>105</w:t>
      </w:r>
      <w:r>
        <w:rPr>
          <w:noProof/>
        </w:rPr>
        <w:fldChar w:fldCharType="end"/>
      </w:r>
    </w:p>
    <w:p w14:paraId="6FD01305" w14:textId="0B68008B" w:rsidR="009650FE" w:rsidRDefault="009650FE" w:rsidP="009650FE">
      <w:pPr>
        <w:pStyle w:val="Inhopg3"/>
        <w:tabs>
          <w:tab w:val="right" w:leader="dot" w:pos="9062"/>
        </w:tabs>
        <w:divId w:val="863442105"/>
        <w:rPr>
          <w:rFonts w:asciiTheme="minorHAnsi" w:hAnsiTheme="minorHAnsi" w:cstheme="minorBidi"/>
          <w:noProof/>
          <w:kern w:val="2"/>
          <w:sz w:val="24"/>
          <w14:ligatures w14:val="standardContextual"/>
        </w:rPr>
      </w:pPr>
      <w:r w:rsidRPr="0040793E">
        <w:rPr>
          <w:rFonts w:eastAsia="Times New Roman"/>
          <w:noProof/>
          <w:lang w:val="en-GB"/>
        </w:rPr>
        <w:t>Part B — The right to petition</w:t>
      </w:r>
      <w:r>
        <w:rPr>
          <w:noProof/>
        </w:rPr>
        <w:tab/>
      </w:r>
      <w:r>
        <w:rPr>
          <w:noProof/>
        </w:rPr>
        <w:fldChar w:fldCharType="begin"/>
      </w:r>
      <w:r>
        <w:rPr>
          <w:noProof/>
        </w:rPr>
        <w:instrText xml:space="preserve"> PAGEREF _Toc242103279 \h </w:instrText>
      </w:r>
      <w:r>
        <w:rPr>
          <w:noProof/>
        </w:rPr>
      </w:r>
      <w:r>
        <w:rPr>
          <w:noProof/>
        </w:rPr>
        <w:fldChar w:fldCharType="separate"/>
      </w:r>
      <w:r>
        <w:rPr>
          <w:noProof/>
        </w:rPr>
        <w:t>105</w:t>
      </w:r>
      <w:r>
        <w:rPr>
          <w:noProof/>
        </w:rPr>
        <w:fldChar w:fldCharType="end"/>
      </w:r>
    </w:p>
    <w:p w14:paraId="1C76A1A0" w14:textId="3C9144E4" w:rsidR="009650FE" w:rsidRDefault="009650FE" w:rsidP="009650FE">
      <w:pPr>
        <w:pStyle w:val="Inhopg3"/>
        <w:tabs>
          <w:tab w:val="right" w:leader="dot" w:pos="9062"/>
        </w:tabs>
        <w:divId w:val="863442105"/>
        <w:rPr>
          <w:rFonts w:asciiTheme="minorHAnsi" w:hAnsiTheme="minorHAnsi" w:cstheme="minorBidi"/>
          <w:noProof/>
          <w:kern w:val="2"/>
          <w:sz w:val="24"/>
          <w14:ligatures w14:val="standardContextual"/>
        </w:rPr>
      </w:pPr>
      <w:r w:rsidRPr="0040793E">
        <w:rPr>
          <w:rFonts w:eastAsia="Times New Roman"/>
          <w:noProof/>
          <w:lang w:val="en-GB"/>
        </w:rPr>
        <w:t>Part C — In practice: how petitions are dealt with</w:t>
      </w:r>
      <w:r>
        <w:rPr>
          <w:noProof/>
        </w:rPr>
        <w:tab/>
      </w:r>
      <w:r>
        <w:rPr>
          <w:noProof/>
        </w:rPr>
        <w:fldChar w:fldCharType="begin"/>
      </w:r>
      <w:r>
        <w:rPr>
          <w:noProof/>
        </w:rPr>
        <w:instrText xml:space="preserve"> PAGEREF _Toc242103280 \h </w:instrText>
      </w:r>
      <w:r>
        <w:rPr>
          <w:noProof/>
        </w:rPr>
      </w:r>
      <w:r>
        <w:rPr>
          <w:noProof/>
        </w:rPr>
        <w:fldChar w:fldCharType="separate"/>
      </w:r>
      <w:r>
        <w:rPr>
          <w:noProof/>
        </w:rPr>
        <w:t>106</w:t>
      </w:r>
      <w:r>
        <w:rPr>
          <w:noProof/>
        </w:rPr>
        <w:fldChar w:fldCharType="end"/>
      </w:r>
    </w:p>
    <w:p w14:paraId="0E2345E1" w14:textId="4FB2F794" w:rsidR="009650FE" w:rsidRDefault="009650FE" w:rsidP="009650FE">
      <w:pPr>
        <w:pStyle w:val="Inhopg3"/>
        <w:tabs>
          <w:tab w:val="right" w:leader="dot" w:pos="9062"/>
        </w:tabs>
        <w:divId w:val="863442105"/>
        <w:rPr>
          <w:rFonts w:asciiTheme="minorHAnsi" w:hAnsiTheme="minorHAnsi" w:cstheme="minorBidi"/>
          <w:noProof/>
          <w:kern w:val="2"/>
          <w:sz w:val="24"/>
          <w14:ligatures w14:val="standardContextual"/>
        </w:rPr>
      </w:pPr>
      <w:r w:rsidRPr="0040793E">
        <w:rPr>
          <w:rFonts w:eastAsia="Times New Roman"/>
          <w:noProof/>
          <w:lang w:val="en-GB"/>
        </w:rPr>
        <w:t>Part D — The paradox of the informal channel</w:t>
      </w:r>
      <w:r>
        <w:rPr>
          <w:noProof/>
        </w:rPr>
        <w:tab/>
      </w:r>
      <w:r>
        <w:rPr>
          <w:noProof/>
        </w:rPr>
        <w:fldChar w:fldCharType="begin"/>
      </w:r>
      <w:r>
        <w:rPr>
          <w:noProof/>
        </w:rPr>
        <w:instrText xml:space="preserve"> PAGEREF _Toc242103281 \h </w:instrText>
      </w:r>
      <w:r>
        <w:rPr>
          <w:noProof/>
        </w:rPr>
      </w:r>
      <w:r>
        <w:rPr>
          <w:noProof/>
        </w:rPr>
        <w:fldChar w:fldCharType="separate"/>
      </w:r>
      <w:r>
        <w:rPr>
          <w:noProof/>
        </w:rPr>
        <w:t>106</w:t>
      </w:r>
      <w:r>
        <w:rPr>
          <w:noProof/>
        </w:rPr>
        <w:fldChar w:fldCharType="end"/>
      </w:r>
    </w:p>
    <w:p w14:paraId="7A3C788A" w14:textId="4C43B994" w:rsidR="009650FE" w:rsidRDefault="009650FE" w:rsidP="009650FE">
      <w:pPr>
        <w:pStyle w:val="Inhopg3"/>
        <w:tabs>
          <w:tab w:val="right" w:leader="dot" w:pos="9062"/>
        </w:tabs>
        <w:divId w:val="863442105"/>
        <w:rPr>
          <w:rFonts w:asciiTheme="minorHAnsi" w:hAnsiTheme="minorHAnsi" w:cstheme="minorBidi"/>
          <w:noProof/>
          <w:kern w:val="2"/>
          <w:sz w:val="24"/>
          <w14:ligatures w14:val="standardContextual"/>
        </w:rPr>
      </w:pPr>
      <w:r w:rsidRPr="0040793E">
        <w:rPr>
          <w:rFonts w:eastAsia="Times New Roman"/>
          <w:noProof/>
          <w:lang w:val="en-GB"/>
        </w:rPr>
        <w:t>Part E — Practical aspects of this case</w:t>
      </w:r>
      <w:r>
        <w:rPr>
          <w:noProof/>
        </w:rPr>
        <w:tab/>
      </w:r>
      <w:r>
        <w:rPr>
          <w:noProof/>
        </w:rPr>
        <w:fldChar w:fldCharType="begin"/>
      </w:r>
      <w:r>
        <w:rPr>
          <w:noProof/>
        </w:rPr>
        <w:instrText xml:space="preserve"> PAGEREF _Toc242103282 \h </w:instrText>
      </w:r>
      <w:r>
        <w:rPr>
          <w:noProof/>
        </w:rPr>
      </w:r>
      <w:r>
        <w:rPr>
          <w:noProof/>
        </w:rPr>
        <w:fldChar w:fldCharType="separate"/>
      </w:r>
      <w:r>
        <w:rPr>
          <w:noProof/>
        </w:rPr>
        <w:t>106</w:t>
      </w:r>
      <w:r>
        <w:rPr>
          <w:noProof/>
        </w:rPr>
        <w:fldChar w:fldCharType="end"/>
      </w:r>
    </w:p>
    <w:p w14:paraId="7CE941FC" w14:textId="74056686" w:rsidR="009650FE" w:rsidRDefault="009650FE" w:rsidP="009650FE">
      <w:pPr>
        <w:pStyle w:val="Inhopg3"/>
        <w:tabs>
          <w:tab w:val="right" w:leader="dot" w:pos="9062"/>
        </w:tabs>
        <w:divId w:val="863442105"/>
        <w:rPr>
          <w:rFonts w:asciiTheme="minorHAnsi" w:hAnsiTheme="minorHAnsi" w:cstheme="minorBidi"/>
          <w:noProof/>
          <w:kern w:val="2"/>
          <w:sz w:val="24"/>
          <w14:ligatures w14:val="standardContextual"/>
        </w:rPr>
      </w:pPr>
      <w:r w:rsidRPr="0040793E">
        <w:rPr>
          <w:rFonts w:eastAsia="Times New Roman"/>
          <w:noProof/>
          <w:lang w:val="en-GB"/>
        </w:rPr>
        <w:t>Part F — What this chapter sets out</w:t>
      </w:r>
      <w:r>
        <w:rPr>
          <w:noProof/>
        </w:rPr>
        <w:tab/>
      </w:r>
      <w:r>
        <w:rPr>
          <w:noProof/>
        </w:rPr>
        <w:fldChar w:fldCharType="begin"/>
      </w:r>
      <w:r>
        <w:rPr>
          <w:noProof/>
        </w:rPr>
        <w:instrText xml:space="preserve"> PAGEREF _Toc242103283 \h </w:instrText>
      </w:r>
      <w:r>
        <w:rPr>
          <w:noProof/>
        </w:rPr>
      </w:r>
      <w:r>
        <w:rPr>
          <w:noProof/>
        </w:rPr>
        <w:fldChar w:fldCharType="separate"/>
      </w:r>
      <w:r>
        <w:rPr>
          <w:noProof/>
        </w:rPr>
        <w:t>107</w:t>
      </w:r>
      <w:r>
        <w:rPr>
          <w:noProof/>
        </w:rPr>
        <w:fldChar w:fldCharType="end"/>
      </w:r>
    </w:p>
    <w:p w14:paraId="1B956A7E" w14:textId="2FE0B5E6" w:rsidR="009650FE" w:rsidRDefault="009650FE" w:rsidP="009650FE">
      <w:pPr>
        <w:pStyle w:val="Inhopg2"/>
        <w:tabs>
          <w:tab w:val="right" w:leader="dot" w:pos="9062"/>
        </w:tabs>
        <w:divId w:val="863442105"/>
        <w:rPr>
          <w:rFonts w:asciiTheme="minorHAnsi" w:hAnsiTheme="minorHAnsi" w:cstheme="minorBidi"/>
          <w:noProof/>
          <w:kern w:val="2"/>
          <w:sz w:val="24"/>
          <w14:ligatures w14:val="standardContextual"/>
        </w:rPr>
      </w:pPr>
      <w:r w:rsidRPr="0040793E">
        <w:rPr>
          <w:rFonts w:eastAsia="Times New Roman"/>
          <w:noProof/>
          <w:lang w:val="en-GB"/>
        </w:rPr>
        <w:t>The allies and the watchdog</w:t>
      </w:r>
      <w:r>
        <w:rPr>
          <w:noProof/>
        </w:rPr>
        <w:tab/>
      </w:r>
      <w:r>
        <w:rPr>
          <w:noProof/>
        </w:rPr>
        <w:fldChar w:fldCharType="begin"/>
      </w:r>
      <w:r>
        <w:rPr>
          <w:noProof/>
        </w:rPr>
        <w:instrText xml:space="preserve"> PAGEREF _Toc242103284 \h </w:instrText>
      </w:r>
      <w:r>
        <w:rPr>
          <w:noProof/>
        </w:rPr>
      </w:r>
      <w:r>
        <w:rPr>
          <w:noProof/>
        </w:rPr>
        <w:fldChar w:fldCharType="separate"/>
      </w:r>
      <w:r>
        <w:rPr>
          <w:noProof/>
        </w:rPr>
        <w:t>108</w:t>
      </w:r>
      <w:r>
        <w:rPr>
          <w:noProof/>
        </w:rPr>
        <w:fldChar w:fldCharType="end"/>
      </w:r>
    </w:p>
    <w:p w14:paraId="4E2326AF" w14:textId="121E44BC" w:rsidR="009650FE" w:rsidRDefault="009650FE" w:rsidP="009650FE">
      <w:pPr>
        <w:pStyle w:val="Inhopg3"/>
        <w:tabs>
          <w:tab w:val="right" w:leader="dot" w:pos="9062"/>
        </w:tabs>
        <w:divId w:val="863442105"/>
        <w:rPr>
          <w:rFonts w:asciiTheme="minorHAnsi" w:hAnsiTheme="minorHAnsi" w:cstheme="minorBidi"/>
          <w:noProof/>
          <w:kern w:val="2"/>
          <w:sz w:val="24"/>
          <w14:ligatures w14:val="standardContextual"/>
        </w:rPr>
      </w:pPr>
      <w:r w:rsidRPr="0040793E">
        <w:rPr>
          <w:rFonts w:eastAsia="Times New Roman"/>
          <w:noProof/>
          <w:lang w:val="en-GB"/>
        </w:rPr>
        <w:t>Part A — ACV: the trade union that helps and takes action</w:t>
      </w:r>
      <w:r>
        <w:rPr>
          <w:noProof/>
        </w:rPr>
        <w:tab/>
      </w:r>
      <w:r>
        <w:rPr>
          <w:noProof/>
        </w:rPr>
        <w:fldChar w:fldCharType="begin"/>
      </w:r>
      <w:r>
        <w:rPr>
          <w:noProof/>
        </w:rPr>
        <w:instrText xml:space="preserve"> PAGEREF _Toc242103285 \h </w:instrText>
      </w:r>
      <w:r>
        <w:rPr>
          <w:noProof/>
        </w:rPr>
      </w:r>
      <w:r>
        <w:rPr>
          <w:noProof/>
        </w:rPr>
        <w:fldChar w:fldCharType="separate"/>
      </w:r>
      <w:r>
        <w:rPr>
          <w:noProof/>
        </w:rPr>
        <w:t>108</w:t>
      </w:r>
      <w:r>
        <w:rPr>
          <w:noProof/>
        </w:rPr>
        <w:fldChar w:fldCharType="end"/>
      </w:r>
    </w:p>
    <w:p w14:paraId="358FE948" w14:textId="770FC01B" w:rsidR="009650FE" w:rsidRDefault="009650FE" w:rsidP="009650FE">
      <w:pPr>
        <w:pStyle w:val="Inhopg3"/>
        <w:tabs>
          <w:tab w:val="right" w:leader="dot" w:pos="9062"/>
        </w:tabs>
        <w:divId w:val="863442105"/>
        <w:rPr>
          <w:rFonts w:asciiTheme="minorHAnsi" w:hAnsiTheme="minorHAnsi" w:cstheme="minorBidi"/>
          <w:noProof/>
          <w:kern w:val="2"/>
          <w:sz w:val="24"/>
          <w14:ligatures w14:val="standardContextual"/>
        </w:rPr>
      </w:pPr>
      <w:r w:rsidRPr="0040793E">
        <w:rPr>
          <w:rFonts w:eastAsia="Times New Roman"/>
          <w:noProof/>
          <w:lang w:val="en-GB"/>
        </w:rPr>
        <w:t>Part B — UNIA: the watchdog that isn’t allowed to bite</w:t>
      </w:r>
      <w:r>
        <w:rPr>
          <w:noProof/>
        </w:rPr>
        <w:tab/>
      </w:r>
      <w:r>
        <w:rPr>
          <w:noProof/>
        </w:rPr>
        <w:fldChar w:fldCharType="begin"/>
      </w:r>
      <w:r>
        <w:rPr>
          <w:noProof/>
        </w:rPr>
        <w:instrText xml:space="preserve"> PAGEREF _Toc242103286 \h </w:instrText>
      </w:r>
      <w:r>
        <w:rPr>
          <w:noProof/>
        </w:rPr>
      </w:r>
      <w:r>
        <w:rPr>
          <w:noProof/>
        </w:rPr>
        <w:fldChar w:fldCharType="separate"/>
      </w:r>
      <w:r>
        <w:rPr>
          <w:noProof/>
        </w:rPr>
        <w:t>109</w:t>
      </w:r>
      <w:r>
        <w:rPr>
          <w:noProof/>
        </w:rPr>
        <w:fldChar w:fldCharType="end"/>
      </w:r>
    </w:p>
    <w:p w14:paraId="6CF54399" w14:textId="00CB1EE3" w:rsidR="009650FE" w:rsidRDefault="009650FE" w:rsidP="009650FE">
      <w:pPr>
        <w:pStyle w:val="Inhopg3"/>
        <w:tabs>
          <w:tab w:val="right" w:leader="dot" w:pos="9062"/>
        </w:tabs>
        <w:divId w:val="863442105"/>
        <w:rPr>
          <w:rFonts w:asciiTheme="minorHAnsi" w:hAnsiTheme="minorHAnsi" w:cstheme="minorBidi"/>
          <w:noProof/>
          <w:kern w:val="2"/>
          <w:sz w:val="24"/>
          <w14:ligatures w14:val="standardContextual"/>
        </w:rPr>
      </w:pPr>
      <w:r w:rsidRPr="0040793E">
        <w:rPr>
          <w:rFonts w:eastAsia="Times New Roman"/>
          <w:noProof/>
          <w:lang w:val="en-GB"/>
        </w:rPr>
        <w:t>Part C — The academic observation layer</w:t>
      </w:r>
      <w:r>
        <w:rPr>
          <w:noProof/>
        </w:rPr>
        <w:tab/>
      </w:r>
      <w:r>
        <w:rPr>
          <w:noProof/>
        </w:rPr>
        <w:fldChar w:fldCharType="begin"/>
      </w:r>
      <w:r>
        <w:rPr>
          <w:noProof/>
        </w:rPr>
        <w:instrText xml:space="preserve"> PAGEREF _Toc242103287 \h </w:instrText>
      </w:r>
      <w:r>
        <w:rPr>
          <w:noProof/>
        </w:rPr>
      </w:r>
      <w:r>
        <w:rPr>
          <w:noProof/>
        </w:rPr>
        <w:fldChar w:fldCharType="separate"/>
      </w:r>
      <w:r>
        <w:rPr>
          <w:noProof/>
        </w:rPr>
        <w:t>109</w:t>
      </w:r>
      <w:r>
        <w:rPr>
          <w:noProof/>
        </w:rPr>
        <w:fldChar w:fldCharType="end"/>
      </w:r>
    </w:p>
    <w:p w14:paraId="182F399F" w14:textId="3B882A7A" w:rsidR="009650FE" w:rsidRDefault="009650FE" w:rsidP="009650FE">
      <w:pPr>
        <w:pStyle w:val="Inhopg3"/>
        <w:tabs>
          <w:tab w:val="right" w:leader="dot" w:pos="9062"/>
        </w:tabs>
        <w:divId w:val="863442105"/>
        <w:rPr>
          <w:rFonts w:asciiTheme="minorHAnsi" w:hAnsiTheme="minorHAnsi" w:cstheme="minorBidi"/>
          <w:noProof/>
          <w:kern w:val="2"/>
          <w:sz w:val="24"/>
          <w14:ligatures w14:val="standardContextual"/>
        </w:rPr>
      </w:pPr>
      <w:r w:rsidRPr="0040793E">
        <w:rPr>
          <w:rFonts w:eastAsia="Times New Roman"/>
          <w:noProof/>
          <w:lang w:val="en-GB"/>
        </w:rPr>
        <w:t>Part D — What this chapter sets out</w:t>
      </w:r>
      <w:r>
        <w:rPr>
          <w:noProof/>
        </w:rPr>
        <w:tab/>
      </w:r>
      <w:r>
        <w:rPr>
          <w:noProof/>
        </w:rPr>
        <w:fldChar w:fldCharType="begin"/>
      </w:r>
      <w:r>
        <w:rPr>
          <w:noProof/>
        </w:rPr>
        <w:instrText xml:space="preserve"> PAGEREF _Toc242103288 \h </w:instrText>
      </w:r>
      <w:r>
        <w:rPr>
          <w:noProof/>
        </w:rPr>
      </w:r>
      <w:r>
        <w:rPr>
          <w:noProof/>
        </w:rPr>
        <w:fldChar w:fldCharType="separate"/>
      </w:r>
      <w:r>
        <w:rPr>
          <w:noProof/>
        </w:rPr>
        <w:t>111</w:t>
      </w:r>
      <w:r>
        <w:rPr>
          <w:noProof/>
        </w:rPr>
        <w:fldChar w:fldCharType="end"/>
      </w:r>
    </w:p>
    <w:p w14:paraId="66C2581C" w14:textId="2109D20A" w:rsidR="009650FE" w:rsidRDefault="009650FE" w:rsidP="009650FE">
      <w:pPr>
        <w:pStyle w:val="Inhopg1"/>
        <w:tabs>
          <w:tab w:val="right" w:leader="dot" w:pos="9062"/>
        </w:tabs>
        <w:divId w:val="863442105"/>
        <w:rPr>
          <w:rFonts w:asciiTheme="minorHAnsi" w:hAnsiTheme="minorHAnsi" w:cstheme="minorBidi"/>
          <w:noProof/>
          <w:kern w:val="2"/>
          <w:sz w:val="24"/>
          <w14:ligatures w14:val="standardContextual"/>
        </w:rPr>
      </w:pPr>
      <w:r w:rsidRPr="0040793E">
        <w:rPr>
          <w:rFonts w:eastAsia="Times New Roman"/>
          <w:noProof/>
          <w:lang w:val="en-GB"/>
        </w:rPr>
        <w:t>VII. Conclusion</w:t>
      </w:r>
      <w:r>
        <w:rPr>
          <w:noProof/>
        </w:rPr>
        <w:tab/>
      </w:r>
      <w:r>
        <w:rPr>
          <w:noProof/>
        </w:rPr>
        <w:fldChar w:fldCharType="begin"/>
      </w:r>
      <w:r>
        <w:rPr>
          <w:noProof/>
        </w:rPr>
        <w:instrText xml:space="preserve"> PAGEREF _Toc242103289 \h </w:instrText>
      </w:r>
      <w:r>
        <w:rPr>
          <w:noProof/>
        </w:rPr>
      </w:r>
      <w:r>
        <w:rPr>
          <w:noProof/>
        </w:rPr>
        <w:fldChar w:fldCharType="separate"/>
      </w:r>
      <w:r>
        <w:rPr>
          <w:noProof/>
        </w:rPr>
        <w:t>113</w:t>
      </w:r>
      <w:r>
        <w:rPr>
          <w:noProof/>
        </w:rPr>
        <w:fldChar w:fldCharType="end"/>
      </w:r>
    </w:p>
    <w:p w14:paraId="48BB11B9" w14:textId="3A62D219" w:rsidR="009650FE" w:rsidRDefault="009650FE" w:rsidP="009650FE">
      <w:pPr>
        <w:pStyle w:val="Inhopg2"/>
        <w:tabs>
          <w:tab w:val="right" w:leader="dot" w:pos="9062"/>
        </w:tabs>
        <w:divId w:val="863442105"/>
        <w:rPr>
          <w:rFonts w:asciiTheme="minorHAnsi" w:hAnsiTheme="minorHAnsi" w:cstheme="minorBidi"/>
          <w:noProof/>
          <w:kern w:val="2"/>
          <w:sz w:val="24"/>
          <w14:ligatures w14:val="standardContextual"/>
        </w:rPr>
      </w:pPr>
      <w:r w:rsidRPr="0040793E">
        <w:rPr>
          <w:rFonts w:eastAsia="Times New Roman"/>
          <w:noProof/>
          <w:lang w:val="en-GB"/>
        </w:rPr>
        <w:t>Conclusion — the complete pyramid</w:t>
      </w:r>
      <w:r>
        <w:rPr>
          <w:noProof/>
        </w:rPr>
        <w:tab/>
      </w:r>
      <w:r>
        <w:rPr>
          <w:noProof/>
        </w:rPr>
        <w:fldChar w:fldCharType="begin"/>
      </w:r>
      <w:r>
        <w:rPr>
          <w:noProof/>
        </w:rPr>
        <w:instrText xml:space="preserve"> PAGEREF _Toc242103290 \h </w:instrText>
      </w:r>
      <w:r>
        <w:rPr>
          <w:noProof/>
        </w:rPr>
      </w:r>
      <w:r>
        <w:rPr>
          <w:noProof/>
        </w:rPr>
        <w:fldChar w:fldCharType="separate"/>
      </w:r>
      <w:r>
        <w:rPr>
          <w:noProof/>
        </w:rPr>
        <w:t>113</w:t>
      </w:r>
      <w:r>
        <w:rPr>
          <w:noProof/>
        </w:rPr>
        <w:fldChar w:fldCharType="end"/>
      </w:r>
    </w:p>
    <w:p w14:paraId="4BA3C118" w14:textId="1303E670" w:rsidR="009650FE" w:rsidRDefault="009650FE" w:rsidP="009650FE">
      <w:pPr>
        <w:pStyle w:val="Inhopg3"/>
        <w:tabs>
          <w:tab w:val="right" w:leader="dot" w:pos="9062"/>
        </w:tabs>
        <w:divId w:val="863442105"/>
        <w:rPr>
          <w:rFonts w:asciiTheme="minorHAnsi" w:hAnsiTheme="minorHAnsi" w:cstheme="minorBidi"/>
          <w:noProof/>
          <w:kern w:val="2"/>
          <w:sz w:val="24"/>
          <w14:ligatures w14:val="standardContextual"/>
        </w:rPr>
      </w:pPr>
      <w:r w:rsidRPr="0040793E">
        <w:rPr>
          <w:rFonts w:eastAsia="Times New Roman"/>
          <w:noProof/>
          <w:lang w:val="en-GB"/>
        </w:rPr>
        <w:t>The pyramid</w:t>
      </w:r>
      <w:r>
        <w:rPr>
          <w:noProof/>
        </w:rPr>
        <w:tab/>
      </w:r>
      <w:r>
        <w:rPr>
          <w:noProof/>
        </w:rPr>
        <w:fldChar w:fldCharType="begin"/>
      </w:r>
      <w:r>
        <w:rPr>
          <w:noProof/>
        </w:rPr>
        <w:instrText xml:space="preserve"> PAGEREF _Toc242103291 \h </w:instrText>
      </w:r>
      <w:r>
        <w:rPr>
          <w:noProof/>
        </w:rPr>
      </w:r>
      <w:r>
        <w:rPr>
          <w:noProof/>
        </w:rPr>
        <w:fldChar w:fldCharType="separate"/>
      </w:r>
      <w:r>
        <w:rPr>
          <w:noProof/>
        </w:rPr>
        <w:t>113</w:t>
      </w:r>
      <w:r>
        <w:rPr>
          <w:noProof/>
        </w:rPr>
        <w:fldChar w:fldCharType="end"/>
      </w:r>
    </w:p>
    <w:p w14:paraId="64339C38" w14:textId="5AAC6F15" w:rsidR="009650FE" w:rsidRDefault="009650FE" w:rsidP="009650FE">
      <w:pPr>
        <w:pStyle w:val="Inhopg3"/>
        <w:tabs>
          <w:tab w:val="right" w:leader="dot" w:pos="9062"/>
        </w:tabs>
        <w:divId w:val="863442105"/>
        <w:rPr>
          <w:rFonts w:asciiTheme="minorHAnsi" w:hAnsiTheme="minorHAnsi" w:cstheme="minorBidi"/>
          <w:noProof/>
          <w:kern w:val="2"/>
          <w:sz w:val="24"/>
          <w14:ligatures w14:val="standardContextual"/>
        </w:rPr>
      </w:pPr>
      <w:r w:rsidRPr="0040793E">
        <w:rPr>
          <w:rFonts w:eastAsia="Times New Roman"/>
          <w:noProof/>
          <w:lang w:val="en-GB"/>
        </w:rPr>
        <w:t>What this case has shown</w:t>
      </w:r>
      <w:r>
        <w:rPr>
          <w:noProof/>
        </w:rPr>
        <w:tab/>
      </w:r>
      <w:r>
        <w:rPr>
          <w:noProof/>
        </w:rPr>
        <w:fldChar w:fldCharType="begin"/>
      </w:r>
      <w:r>
        <w:rPr>
          <w:noProof/>
        </w:rPr>
        <w:instrText xml:space="preserve"> PAGEREF _Toc242103292 \h </w:instrText>
      </w:r>
      <w:r>
        <w:rPr>
          <w:noProof/>
        </w:rPr>
      </w:r>
      <w:r>
        <w:rPr>
          <w:noProof/>
        </w:rPr>
        <w:fldChar w:fldCharType="separate"/>
      </w:r>
      <w:r>
        <w:rPr>
          <w:noProof/>
        </w:rPr>
        <w:t>113</w:t>
      </w:r>
      <w:r>
        <w:rPr>
          <w:noProof/>
        </w:rPr>
        <w:fldChar w:fldCharType="end"/>
      </w:r>
    </w:p>
    <w:p w14:paraId="2AFCFCC4" w14:textId="2C700A3C" w:rsidR="009650FE" w:rsidRDefault="009650FE" w:rsidP="009650FE">
      <w:pPr>
        <w:pStyle w:val="Inhopg3"/>
        <w:tabs>
          <w:tab w:val="right" w:leader="dot" w:pos="9062"/>
        </w:tabs>
        <w:divId w:val="863442105"/>
        <w:rPr>
          <w:rFonts w:asciiTheme="minorHAnsi" w:hAnsiTheme="minorHAnsi" w:cstheme="minorBidi"/>
          <w:noProof/>
          <w:kern w:val="2"/>
          <w:sz w:val="24"/>
          <w14:ligatures w14:val="standardContextual"/>
        </w:rPr>
      </w:pPr>
      <w:r w:rsidRPr="0040793E">
        <w:rPr>
          <w:rFonts w:eastAsia="Times New Roman"/>
          <w:noProof/>
          <w:lang w:val="en-GB"/>
        </w:rPr>
        <w:t>The bridge to Document D</w:t>
      </w:r>
      <w:r>
        <w:rPr>
          <w:noProof/>
        </w:rPr>
        <w:tab/>
      </w:r>
      <w:r>
        <w:rPr>
          <w:noProof/>
        </w:rPr>
        <w:fldChar w:fldCharType="begin"/>
      </w:r>
      <w:r>
        <w:rPr>
          <w:noProof/>
        </w:rPr>
        <w:instrText xml:space="preserve"> PAGEREF _Toc242103293 \h </w:instrText>
      </w:r>
      <w:r>
        <w:rPr>
          <w:noProof/>
        </w:rPr>
      </w:r>
      <w:r>
        <w:rPr>
          <w:noProof/>
        </w:rPr>
        <w:fldChar w:fldCharType="separate"/>
      </w:r>
      <w:r>
        <w:rPr>
          <w:noProof/>
        </w:rPr>
        <w:t>114</w:t>
      </w:r>
      <w:r>
        <w:rPr>
          <w:noProof/>
        </w:rPr>
        <w:fldChar w:fldCharType="end"/>
      </w:r>
    </w:p>
    <w:p w14:paraId="4679BEAC" w14:textId="42F4E16C" w:rsidR="009650FE" w:rsidRDefault="009650FE" w:rsidP="009650FE">
      <w:pPr>
        <w:pStyle w:val="Inhopg2"/>
        <w:tabs>
          <w:tab w:val="right" w:leader="dot" w:pos="9062"/>
        </w:tabs>
        <w:divId w:val="863442105"/>
        <w:rPr>
          <w:rFonts w:asciiTheme="minorHAnsi" w:hAnsiTheme="minorHAnsi" w:cstheme="minorBidi"/>
          <w:noProof/>
          <w:kern w:val="2"/>
          <w:sz w:val="24"/>
          <w14:ligatures w14:val="standardContextual"/>
        </w:rPr>
      </w:pPr>
      <w:r w:rsidRPr="0040793E">
        <w:rPr>
          <w:rFonts w:eastAsia="Times New Roman"/>
          <w:noProof/>
          <w:lang w:val="en-GB"/>
        </w:rPr>
        <w:t>The entire network</w:t>
      </w:r>
      <w:r>
        <w:rPr>
          <w:noProof/>
        </w:rPr>
        <w:tab/>
      </w:r>
      <w:r>
        <w:rPr>
          <w:noProof/>
        </w:rPr>
        <w:fldChar w:fldCharType="begin"/>
      </w:r>
      <w:r>
        <w:rPr>
          <w:noProof/>
        </w:rPr>
        <w:instrText xml:space="preserve"> PAGEREF _Toc242103294 \h </w:instrText>
      </w:r>
      <w:r>
        <w:rPr>
          <w:noProof/>
        </w:rPr>
      </w:r>
      <w:r>
        <w:rPr>
          <w:noProof/>
        </w:rPr>
        <w:fldChar w:fldCharType="separate"/>
      </w:r>
      <w:r>
        <w:rPr>
          <w:noProof/>
        </w:rPr>
        <w:t>115</w:t>
      </w:r>
      <w:r>
        <w:rPr>
          <w:noProof/>
        </w:rPr>
        <w:fldChar w:fldCharType="end"/>
      </w:r>
    </w:p>
    <w:p w14:paraId="4794B3A9" w14:textId="46B9C2A4" w:rsidR="009650FE" w:rsidRDefault="009650FE" w:rsidP="009650FE">
      <w:pPr>
        <w:pStyle w:val="Inhopg3"/>
        <w:tabs>
          <w:tab w:val="right" w:leader="dot" w:pos="9062"/>
        </w:tabs>
        <w:divId w:val="863442105"/>
        <w:rPr>
          <w:rFonts w:asciiTheme="minorHAnsi" w:hAnsiTheme="minorHAnsi" w:cstheme="minorBidi"/>
          <w:noProof/>
          <w:kern w:val="2"/>
          <w:sz w:val="24"/>
          <w14:ligatures w14:val="standardContextual"/>
        </w:rPr>
      </w:pPr>
      <w:r w:rsidRPr="0040793E">
        <w:rPr>
          <w:rFonts w:eastAsia="Times New Roman"/>
          <w:noProof/>
          <w:lang w:val="en-GB"/>
        </w:rPr>
        <w:t>What the family sees</w:t>
      </w:r>
      <w:r>
        <w:rPr>
          <w:noProof/>
        </w:rPr>
        <w:tab/>
      </w:r>
      <w:r>
        <w:rPr>
          <w:noProof/>
        </w:rPr>
        <w:fldChar w:fldCharType="begin"/>
      </w:r>
      <w:r>
        <w:rPr>
          <w:noProof/>
        </w:rPr>
        <w:instrText xml:space="preserve"> PAGEREF _Toc242103295 \h </w:instrText>
      </w:r>
      <w:r>
        <w:rPr>
          <w:noProof/>
        </w:rPr>
      </w:r>
      <w:r>
        <w:rPr>
          <w:noProof/>
        </w:rPr>
        <w:fldChar w:fldCharType="separate"/>
      </w:r>
      <w:r>
        <w:rPr>
          <w:noProof/>
        </w:rPr>
        <w:t>115</w:t>
      </w:r>
      <w:r>
        <w:rPr>
          <w:noProof/>
        </w:rPr>
        <w:fldChar w:fldCharType="end"/>
      </w:r>
    </w:p>
    <w:p w14:paraId="2EBD38CE" w14:textId="21927747" w:rsidR="009650FE" w:rsidRDefault="009650FE" w:rsidP="009650FE">
      <w:pPr>
        <w:pStyle w:val="Inhopg3"/>
        <w:tabs>
          <w:tab w:val="right" w:leader="dot" w:pos="9062"/>
        </w:tabs>
        <w:divId w:val="863442105"/>
        <w:rPr>
          <w:rFonts w:asciiTheme="minorHAnsi" w:hAnsiTheme="minorHAnsi" w:cstheme="minorBidi"/>
          <w:noProof/>
          <w:kern w:val="2"/>
          <w:sz w:val="24"/>
          <w14:ligatures w14:val="standardContextual"/>
        </w:rPr>
      </w:pPr>
      <w:r w:rsidRPr="0040793E">
        <w:rPr>
          <w:rFonts w:eastAsia="Times New Roman"/>
          <w:noProof/>
          <w:lang w:val="en-GB"/>
        </w:rPr>
        <w:t>What this diagram does</w:t>
      </w:r>
      <w:r>
        <w:rPr>
          <w:noProof/>
        </w:rPr>
        <w:tab/>
      </w:r>
      <w:r>
        <w:rPr>
          <w:noProof/>
        </w:rPr>
        <w:fldChar w:fldCharType="begin"/>
      </w:r>
      <w:r>
        <w:rPr>
          <w:noProof/>
        </w:rPr>
        <w:instrText xml:space="preserve"> PAGEREF _Toc242103296 \h </w:instrText>
      </w:r>
      <w:r>
        <w:rPr>
          <w:noProof/>
        </w:rPr>
      </w:r>
      <w:r>
        <w:rPr>
          <w:noProof/>
        </w:rPr>
        <w:fldChar w:fldCharType="separate"/>
      </w:r>
      <w:r>
        <w:rPr>
          <w:noProof/>
        </w:rPr>
        <w:t>115</w:t>
      </w:r>
      <w:r>
        <w:rPr>
          <w:noProof/>
        </w:rPr>
        <w:fldChar w:fldCharType="end"/>
      </w:r>
    </w:p>
    <w:p w14:paraId="2C390B95" w14:textId="225E822A" w:rsidR="009650FE" w:rsidRDefault="009650FE" w:rsidP="009650FE">
      <w:pPr>
        <w:pStyle w:val="Inhopg3"/>
        <w:tabs>
          <w:tab w:val="right" w:leader="dot" w:pos="9062"/>
        </w:tabs>
        <w:divId w:val="863442105"/>
        <w:rPr>
          <w:rFonts w:asciiTheme="minorHAnsi" w:hAnsiTheme="minorHAnsi" w:cstheme="minorBidi"/>
          <w:noProof/>
          <w:kern w:val="2"/>
          <w:sz w:val="24"/>
          <w14:ligatures w14:val="standardContextual"/>
        </w:rPr>
      </w:pPr>
      <w:r w:rsidRPr="0040793E">
        <w:rPr>
          <w:rFonts w:eastAsia="Times New Roman"/>
          <w:noProof/>
          <w:lang w:val="en-GB"/>
        </w:rPr>
        <w:t>What isn’t in it</w:t>
      </w:r>
      <w:r>
        <w:rPr>
          <w:noProof/>
        </w:rPr>
        <w:tab/>
      </w:r>
      <w:r>
        <w:rPr>
          <w:noProof/>
        </w:rPr>
        <w:fldChar w:fldCharType="begin"/>
      </w:r>
      <w:r>
        <w:rPr>
          <w:noProof/>
        </w:rPr>
        <w:instrText xml:space="preserve"> PAGEREF _Toc242103297 \h </w:instrText>
      </w:r>
      <w:r>
        <w:rPr>
          <w:noProof/>
        </w:rPr>
      </w:r>
      <w:r>
        <w:rPr>
          <w:noProof/>
        </w:rPr>
        <w:fldChar w:fldCharType="separate"/>
      </w:r>
      <w:r>
        <w:rPr>
          <w:noProof/>
        </w:rPr>
        <w:t>116</w:t>
      </w:r>
      <w:r>
        <w:rPr>
          <w:noProof/>
        </w:rPr>
        <w:fldChar w:fldCharType="end"/>
      </w:r>
    </w:p>
    <w:p w14:paraId="53D9F0B2" w14:textId="237E1751" w:rsidR="009650FE" w:rsidRDefault="009650FE" w:rsidP="009650FE">
      <w:pPr>
        <w:pStyle w:val="marker"/>
        <w:divId w:val="863442105"/>
        <w:rPr>
          <w:lang w:val="en-GB"/>
        </w:rPr>
      </w:pPr>
      <w:r>
        <w:rPr>
          <w:lang w:val="en-GB"/>
        </w:rPr>
        <w:fldChar w:fldCharType="end"/>
      </w:r>
    </w:p>
    <w:p w14:paraId="5ACCB660" w14:textId="77777777" w:rsidR="009650FE" w:rsidRDefault="009650FE">
      <w:pPr>
        <w:pStyle w:val="marker"/>
        <w:ind w:left="800" w:right="800"/>
        <w:divId w:val="953290302"/>
        <w:rPr>
          <w:lang w:val="en-GB"/>
        </w:rPr>
      </w:pPr>
      <w:r>
        <w:br w:type="page"/>
      </w:r>
    </w:p>
    <w:p w14:paraId="2314BFE2" w14:textId="77777777" w:rsidR="009650FE" w:rsidRDefault="009650FE">
      <w:pPr>
        <w:pStyle w:val="Kop1"/>
        <w:divId w:val="953290302"/>
        <w:rPr>
          <w:rFonts w:eastAsia="Times New Roman"/>
          <w:lang w:val="en-GB"/>
        </w:rPr>
      </w:pPr>
      <w:bookmarkStart w:id="1" w:name="_Toc242103139"/>
      <w:r>
        <w:rPr>
          <w:rFonts w:eastAsia="Times New Roman"/>
          <w:lang w:val="en-GB"/>
        </w:rPr>
        <w:t>Introduction and reading guide</w:t>
      </w:r>
      <w:bookmarkEnd w:id="1"/>
    </w:p>
    <w:p w14:paraId="6E11F95F" w14:textId="77777777" w:rsidR="009650FE" w:rsidRDefault="009650FE">
      <w:pPr>
        <w:pStyle w:val="lead"/>
        <w:divId w:val="953290302"/>
        <w:rPr>
          <w:lang w:val="en-GB"/>
        </w:rPr>
      </w:pPr>
      <w:r>
        <w:rPr>
          <w:lang w:val="en-GB"/>
        </w:rPr>
        <w:t>Document C is the visual document for the System Audit project. It shows at a glance what is set out in various parts of the other documents: the structure of the network, the flow of information between organisations, and the mechanisms that cause failures.</w:t>
      </w:r>
    </w:p>
    <w:p w14:paraId="42989B29" w14:textId="77777777" w:rsidR="009650FE" w:rsidRDefault="009650FE">
      <w:pPr>
        <w:pStyle w:val="Kop2"/>
        <w:divId w:val="953290302"/>
        <w:rPr>
          <w:rFonts w:eastAsia="Times New Roman"/>
          <w:lang w:val="en-GB"/>
        </w:rPr>
      </w:pPr>
      <w:bookmarkStart w:id="2" w:name="_Toc242103140"/>
      <w:r>
        <w:rPr>
          <w:rFonts w:eastAsia="Times New Roman"/>
          <w:lang w:val="en-GB"/>
        </w:rPr>
        <w:t>What this document is</w:t>
      </w:r>
      <w:bookmarkEnd w:id="2"/>
    </w:p>
    <w:p w14:paraId="7385523A" w14:textId="77777777" w:rsidR="009650FE" w:rsidRDefault="009650FE">
      <w:pPr>
        <w:pStyle w:val="Normaalweb"/>
        <w:divId w:val="953290302"/>
        <w:rPr>
          <w:lang w:val="en-GB"/>
        </w:rPr>
      </w:pPr>
      <w:r>
        <w:rPr>
          <w:lang w:val="en-GB"/>
        </w:rPr>
        <w:t xml:space="preserve">Document C is not a repetition of the other documents in terms of presentation. It offers a distinct perspective that exists solely in diagrams. Whilst Document A tells the story, Document B organises the facts, and Document D draws the conclusions, Document C reveals the underlying </w:t>
      </w:r>
      <w:r>
        <w:rPr>
          <w:rStyle w:val="Zwaar"/>
          <w:lang w:val="en-GB"/>
        </w:rPr>
        <w:t>architecture</w:t>
      </w:r>
      <w:r>
        <w:rPr>
          <w:lang w:val="en-GB"/>
        </w:rPr>
        <w:t xml:space="preserve"> that underpins all those facts.</w:t>
      </w:r>
    </w:p>
    <w:p w14:paraId="5CB06F35" w14:textId="77777777" w:rsidR="009650FE" w:rsidRDefault="009650FE">
      <w:pPr>
        <w:pStyle w:val="Normaalweb"/>
        <w:divId w:val="953290302"/>
        <w:rPr>
          <w:lang w:val="en-GB"/>
        </w:rPr>
      </w:pPr>
      <w:r>
        <w:rPr>
          <w:lang w:val="en-GB"/>
        </w:rPr>
        <w:t>The document is structured as a series of chapters. Each chapter consists of a separate diagram accompanied by a short text. There is no continuous narrative, nor are there any lengthy analyses. Each diagram illustrates a single mechanism, a single pattern, or a single connection which can be found in the other documents, but never at a single glance.</w:t>
      </w:r>
    </w:p>
    <w:p w14:paraId="77A73312" w14:textId="77777777" w:rsidR="009650FE" w:rsidRDefault="009650FE">
      <w:pPr>
        <w:pStyle w:val="Kop2"/>
        <w:divId w:val="953290302"/>
        <w:rPr>
          <w:rFonts w:eastAsia="Times New Roman"/>
          <w:lang w:val="en-GB"/>
        </w:rPr>
      </w:pPr>
      <w:bookmarkStart w:id="3" w:name="_Toc242103141"/>
      <w:r>
        <w:rPr>
          <w:rFonts w:eastAsia="Times New Roman"/>
          <w:lang w:val="en-GB"/>
        </w:rPr>
        <w:t>The difference compared with the other documents</w:t>
      </w:r>
      <w:bookmarkEnd w:id="3"/>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45390A96" w14:textId="77777777">
        <w:trPr>
          <w:divId w:val="953290302"/>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645F2C2D" w14:textId="77777777" w:rsidR="009650FE" w:rsidRDefault="009650FE">
            <w:pPr>
              <w:pStyle w:val="Normaalweb"/>
              <w:spacing w:before="120"/>
              <w:jc w:val="center"/>
              <w:rPr>
                <w:sz w:val="21"/>
                <w:szCs w:val="21"/>
              </w:rPr>
            </w:pPr>
            <w:r>
              <w:rPr>
                <w:noProof/>
                <w:sz w:val="21"/>
                <w:szCs w:val="21"/>
              </w:rPr>
              <w:drawing>
                <wp:inline distT="0" distB="0" distL="0" distR="0" wp14:anchorId="06AC56B4" wp14:editId="2AE5BE1B">
                  <wp:extent cx="3810000" cy="1181100"/>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810000" cy="1181100"/>
                          </a:xfrm>
                          <a:prstGeom prst="rect">
                            <a:avLst/>
                          </a:prstGeom>
                          <a:noFill/>
                          <a:ln>
                            <a:noFill/>
                          </a:ln>
                        </pic:spPr>
                      </pic:pic>
                    </a:graphicData>
                  </a:graphic>
                </wp:inline>
              </w:drawing>
            </w:r>
          </w:p>
          <w:p w14:paraId="322EB741" w14:textId="77777777" w:rsidR="009650FE" w:rsidRDefault="009650FE">
            <w:pPr>
              <w:pStyle w:val="caption"/>
              <w:spacing w:after="120" w:afterAutospacing="0"/>
            </w:pPr>
            <w:r>
              <w:rPr>
                <w:rStyle w:val="Zwaar"/>
              </w:rPr>
              <w:t>Figure 0.1 — The five documents.</w:t>
            </w:r>
            <w:r>
              <w:t xml:space="preserve"> Each document has its own function. Document 0 is the introduction and reading guide, Document A is the narrative audit, Document B is the data matrix, Document C is the visual architecture, and Document D is the synthesis. Document C illustrates the architecture that underlies everything.</w:t>
            </w:r>
          </w:p>
        </w:tc>
      </w:tr>
    </w:tbl>
    <w:p w14:paraId="3857EB64" w14:textId="77777777" w:rsidR="009650FE" w:rsidRDefault="009650FE">
      <w:pPr>
        <w:pStyle w:val="Kop2"/>
        <w:divId w:val="953290302"/>
        <w:rPr>
          <w:rFonts w:eastAsia="Times New Roman"/>
          <w:lang w:val="en-GB"/>
        </w:rPr>
      </w:pPr>
      <w:bookmarkStart w:id="4" w:name="_Toc242103142"/>
      <w:r>
        <w:rPr>
          <w:rFonts w:eastAsia="Times New Roman"/>
          <w:lang w:val="en-GB"/>
        </w:rPr>
        <w:t>Fixed grammar</w:t>
      </w:r>
      <w:bookmarkEnd w:id="4"/>
    </w:p>
    <w:p w14:paraId="1FEE3F6F" w14:textId="77777777" w:rsidR="009650FE" w:rsidRDefault="009650FE">
      <w:pPr>
        <w:pStyle w:val="Normaalweb"/>
        <w:divId w:val="953290302"/>
        <w:rPr>
          <w:lang w:val="en-GB"/>
        </w:rPr>
      </w:pPr>
      <w:r>
        <w:rPr>
          <w:lang w:val="en-GB"/>
        </w:rPr>
        <w:t>Every chapter of Document C uses the same visual language. Once you are familiar with that language, you can read any diagram. Here is the vocabulary.</w:t>
      </w:r>
    </w:p>
    <w:p w14:paraId="12045294" w14:textId="77777777" w:rsidR="009650FE" w:rsidRDefault="009650FE">
      <w:pPr>
        <w:pStyle w:val="Kop3"/>
        <w:divId w:val="953290302"/>
        <w:rPr>
          <w:rFonts w:eastAsia="Times New Roman"/>
          <w:lang w:val="en-GB"/>
        </w:rPr>
      </w:pPr>
      <w:bookmarkStart w:id="5" w:name="_Toc242103143"/>
      <w:r>
        <w:rPr>
          <w:rFonts w:eastAsia="Times New Roman"/>
          <w:lang w:val="en-GB"/>
        </w:rPr>
        <w:t>The Two Worlds</w:t>
      </w:r>
      <w:bookmarkEnd w:id="5"/>
    </w:p>
    <w:p w14:paraId="4AE0B5A8" w14:textId="77777777" w:rsidR="009650FE" w:rsidRDefault="009650FE">
      <w:pPr>
        <w:pStyle w:val="Normaalweb"/>
        <w:divId w:val="953290302"/>
        <w:rPr>
          <w:lang w:val="en-GB"/>
        </w:rPr>
      </w:pPr>
      <w:r>
        <w:rPr>
          <w:lang w:val="en-GB"/>
        </w:rPr>
        <w:lastRenderedPageBreak/>
        <w:t xml:space="preserve">Belgium and the Netherlands are portrayed as two distinct </w:t>
      </w:r>
      <w:r>
        <w:rPr>
          <w:rStyle w:val="Zwaar"/>
          <w:lang w:val="en-GB"/>
        </w:rPr>
        <w:t>worlds</w:t>
      </w:r>
      <w:r>
        <w:rPr>
          <w:lang w:val="en-GB"/>
        </w:rPr>
        <w:t xml:space="preserve">: rigid, closed systems that do not adapt their rules to accommodate a citizen who lives in both countries at the same time. Both worlds are composed of </w:t>
      </w:r>
      <w:r>
        <w:rPr>
          <w:rStyle w:val="Zwaar"/>
          <w:lang w:val="en-GB"/>
        </w:rPr>
        <w:t>four concentric layers</w:t>
      </w:r>
      <w:r>
        <w:rPr>
          <w:lang w:val="en-GB"/>
        </w:rPr>
        <w:t>: implementation, oversight, politics and symbolism.</w:t>
      </w:r>
    </w:p>
    <w:p w14:paraId="29A5C938" w14:textId="77777777" w:rsidR="009650FE" w:rsidRDefault="009650FE">
      <w:pPr>
        <w:pStyle w:val="Kop3"/>
        <w:divId w:val="953290302"/>
        <w:rPr>
          <w:rFonts w:eastAsia="Times New Roman"/>
          <w:lang w:val="en-GB"/>
        </w:rPr>
      </w:pPr>
      <w:bookmarkStart w:id="6" w:name="_Toc242103144"/>
      <w:r>
        <w:rPr>
          <w:rFonts w:eastAsia="Times New Roman"/>
          <w:lang w:val="en-GB"/>
        </w:rPr>
        <w:t>The membrane</w:t>
      </w:r>
      <w:bookmarkEnd w:id="6"/>
    </w:p>
    <w:p w14:paraId="5825455B" w14:textId="77777777" w:rsidR="009650FE" w:rsidRDefault="009650FE">
      <w:pPr>
        <w:pStyle w:val="Normaalweb"/>
        <w:divId w:val="953290302"/>
        <w:rPr>
          <w:lang w:val="en-GB"/>
        </w:rPr>
      </w:pPr>
      <w:r>
        <w:rPr>
          <w:lang w:val="en-GB"/>
        </w:rPr>
        <w:t xml:space="preserve">The family lives between two worlds. The family is not a sphere but a </w:t>
      </w:r>
      <w:r>
        <w:rPr>
          <w:rStyle w:val="Zwaar"/>
          <w:lang w:val="en-GB"/>
        </w:rPr>
        <w:t>membrane</w:t>
      </w:r>
      <w:r>
        <w:rPr>
          <w:lang w:val="en-GB"/>
        </w:rPr>
        <w:t>: a flexible, transparent form that stretches and contracts according to the demands of the day. At the weekend, it is entirely in the Netherlands; on weekdays, it spans both worlds.</w:t>
      </w:r>
    </w:p>
    <w:p w14:paraId="28E28FFF" w14:textId="77777777" w:rsidR="009650FE" w:rsidRDefault="009650FE">
      <w:pPr>
        <w:pStyle w:val="Kop3"/>
        <w:divId w:val="953290302"/>
        <w:rPr>
          <w:rFonts w:eastAsia="Times New Roman"/>
          <w:lang w:val="en-GB"/>
        </w:rPr>
      </w:pPr>
      <w:bookmarkStart w:id="7" w:name="_Toc242103145"/>
      <w:r>
        <w:rPr>
          <w:rFonts w:eastAsia="Times New Roman"/>
          <w:lang w:val="en-GB"/>
        </w:rPr>
        <w:t>The three channels</w:t>
      </w:r>
      <w:bookmarkEnd w:id="7"/>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3A6076C5" w14:textId="77777777">
        <w:trPr>
          <w:divId w:val="953290302"/>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16BAFE9C" w14:textId="77777777" w:rsidR="009650FE" w:rsidRDefault="009650FE">
            <w:pPr>
              <w:pStyle w:val="Normaalweb"/>
              <w:spacing w:before="120"/>
              <w:jc w:val="center"/>
              <w:rPr>
                <w:sz w:val="21"/>
                <w:szCs w:val="21"/>
              </w:rPr>
            </w:pPr>
            <w:r>
              <w:rPr>
                <w:noProof/>
                <w:sz w:val="21"/>
                <w:szCs w:val="21"/>
              </w:rPr>
              <w:drawing>
                <wp:inline distT="0" distB="0" distL="0" distR="0" wp14:anchorId="0006CBA7" wp14:editId="437CEEE6">
                  <wp:extent cx="3810000" cy="1041400"/>
                  <wp:effectExtent l="0" t="0" r="0" b="635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810000" cy="1041400"/>
                          </a:xfrm>
                          <a:prstGeom prst="rect">
                            <a:avLst/>
                          </a:prstGeom>
                          <a:noFill/>
                          <a:ln>
                            <a:noFill/>
                          </a:ln>
                        </pic:spPr>
                      </pic:pic>
                    </a:graphicData>
                  </a:graphic>
                </wp:inline>
              </w:drawing>
            </w:r>
          </w:p>
          <w:p w14:paraId="1EC65967" w14:textId="77777777" w:rsidR="009650FE" w:rsidRDefault="009650FE">
            <w:pPr>
              <w:pStyle w:val="caption"/>
              <w:spacing w:after="120" w:afterAutospacing="0"/>
            </w:pPr>
            <w:r>
              <w:rPr>
                <w:rStyle w:val="Zwaar"/>
              </w:rPr>
              <w:t>Figure 0.2 — The three channels.</w:t>
            </w:r>
            <w:r>
              <w:t xml:space="preserve"> The nature of a channel determines whether data flows through, is held up or is completely blocked. Channel 1 is used for ex post checks and levies; it is not used to provide citizens with information in advance.</w:t>
            </w:r>
          </w:p>
        </w:tc>
      </w:tr>
    </w:tbl>
    <w:p w14:paraId="21B93FCE" w14:textId="77777777" w:rsidR="009650FE" w:rsidRDefault="009650FE">
      <w:pPr>
        <w:pStyle w:val="Kop3"/>
        <w:divId w:val="953290302"/>
        <w:rPr>
          <w:rFonts w:eastAsia="Times New Roman"/>
          <w:lang w:val="en-GB"/>
        </w:rPr>
      </w:pPr>
      <w:bookmarkStart w:id="8" w:name="_Toc242103146"/>
      <w:r>
        <w:rPr>
          <w:rFonts w:eastAsia="Times New Roman"/>
          <w:lang w:val="en-GB"/>
        </w:rPr>
        <w:t>The colours</w:t>
      </w:r>
      <w:bookmarkEnd w:id="8"/>
    </w:p>
    <w:p w14:paraId="5AD18C50" w14:textId="77777777" w:rsidR="009650FE" w:rsidRDefault="009650FE">
      <w:pPr>
        <w:pStyle w:val="Normaalweb"/>
        <w:divId w:val="953290302"/>
        <w:rPr>
          <w:lang w:val="en-GB"/>
        </w:rPr>
      </w:pPr>
      <w:r>
        <w:rPr>
          <w:lang w:val="en-GB"/>
        </w:rPr>
        <w:t>In the diagrams, connections are colour-coded according to what is happening:</w:t>
      </w:r>
    </w:p>
    <w:p w14:paraId="3400C808" w14:textId="77777777" w:rsidR="009650FE" w:rsidRDefault="009650FE">
      <w:pPr>
        <w:numPr>
          <w:ilvl w:val="0"/>
          <w:numId w:val="1"/>
        </w:numPr>
        <w:spacing w:before="100" w:beforeAutospacing="1" w:after="100" w:afterAutospacing="1"/>
        <w:divId w:val="953290302"/>
        <w:rPr>
          <w:rFonts w:eastAsia="Times New Roman"/>
          <w:lang w:val="en-GB"/>
        </w:rPr>
      </w:pPr>
      <w:r>
        <w:rPr>
          <w:rStyle w:val="Zwaar"/>
          <w:rFonts w:eastAsia="Times New Roman"/>
          <w:lang w:val="en-GB"/>
        </w:rPr>
        <w:t>Green</w:t>
      </w:r>
      <w:r>
        <w:rPr>
          <w:rFonts w:eastAsia="Times New Roman"/>
          <w:lang w:val="en-GB"/>
        </w:rPr>
        <w:t xml:space="preserve"> </w:t>
      </w:r>
      <w:r>
        <w:rPr>
          <w:rFonts w:eastAsia="Times New Roman"/>
          <w:lang w:val="en-GB"/>
        </w:rPr>
        <w:t>— the traffic is flowing. Automatically, without delay, without human intervention.</w:t>
      </w:r>
    </w:p>
    <w:p w14:paraId="1D06B51F" w14:textId="77777777" w:rsidR="009650FE" w:rsidRDefault="009650FE">
      <w:pPr>
        <w:numPr>
          <w:ilvl w:val="0"/>
          <w:numId w:val="1"/>
        </w:numPr>
        <w:spacing w:before="100" w:beforeAutospacing="1" w:after="100" w:afterAutospacing="1"/>
        <w:divId w:val="953290302"/>
        <w:rPr>
          <w:rFonts w:eastAsia="Times New Roman"/>
          <w:lang w:val="en-GB"/>
        </w:rPr>
      </w:pPr>
      <w:r>
        <w:rPr>
          <w:rStyle w:val="Zwaar"/>
          <w:rFonts w:eastAsia="Times New Roman"/>
          <w:lang w:val="en-GB"/>
        </w:rPr>
        <w:t>Orange</w:t>
      </w:r>
      <w:r>
        <w:rPr>
          <w:rFonts w:eastAsia="Times New Roman"/>
          <w:lang w:val="en-GB"/>
        </w:rPr>
        <w:t xml:space="preserve"> — it’s a bit of a struggle. There’s a channel, but it’s narrow, a one-off or delayed.</w:t>
      </w:r>
    </w:p>
    <w:p w14:paraId="255F346A" w14:textId="77777777" w:rsidR="009650FE" w:rsidRDefault="009650FE">
      <w:pPr>
        <w:numPr>
          <w:ilvl w:val="0"/>
          <w:numId w:val="1"/>
        </w:numPr>
        <w:spacing w:before="100" w:beforeAutospacing="1" w:after="100" w:afterAutospacing="1"/>
        <w:divId w:val="953290302"/>
        <w:rPr>
          <w:rFonts w:eastAsia="Times New Roman"/>
          <w:lang w:val="en-GB"/>
        </w:rPr>
      </w:pPr>
      <w:r>
        <w:rPr>
          <w:rStyle w:val="Zwaar"/>
          <w:rFonts w:eastAsia="Times New Roman"/>
          <w:lang w:val="en-GB"/>
        </w:rPr>
        <w:t>Red</w:t>
      </w:r>
      <w:r>
        <w:rPr>
          <w:rFonts w:eastAsia="Times New Roman"/>
          <w:lang w:val="en-GB"/>
        </w:rPr>
        <w:t xml:space="preserve"> — it is blocked. There is no channel, or the channel is closed.</w:t>
      </w:r>
    </w:p>
    <w:p w14:paraId="506A8B4B" w14:textId="77777777" w:rsidR="009650FE" w:rsidRDefault="009650FE">
      <w:pPr>
        <w:pStyle w:val="Kop2"/>
        <w:divId w:val="953290302"/>
        <w:rPr>
          <w:rFonts w:eastAsia="Times New Roman"/>
          <w:lang w:val="en-GB"/>
        </w:rPr>
      </w:pPr>
      <w:bookmarkStart w:id="9" w:name="_Toc242103147"/>
      <w:r>
        <w:rPr>
          <w:rFonts w:eastAsia="Times New Roman"/>
          <w:lang w:val="en-GB"/>
        </w:rPr>
        <w:t>The structure of this document</w:t>
      </w:r>
      <w:bookmarkEnd w:id="9"/>
    </w:p>
    <w:p w14:paraId="226E8C59" w14:textId="77777777" w:rsidR="009650FE" w:rsidRDefault="009650FE">
      <w:pPr>
        <w:pStyle w:val="Normaalweb"/>
        <w:divId w:val="953290302"/>
        <w:rPr>
          <w:lang w:val="en-GB"/>
        </w:rPr>
      </w:pPr>
      <w:r>
        <w:rPr>
          <w:lang w:val="en-GB"/>
        </w:rPr>
        <w:t>Document C follows the human sequence. It begins with humanity, then moves on to Belgium (because the author is Belgian), then to the Netherlands, then back and forth between the two countries, then to Europe, then to those looking at Europe, and finally to the world, which is supposed to see the whole picture.</w:t>
      </w:r>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76F89FAB" w14:textId="77777777">
        <w:trPr>
          <w:divId w:val="953290302"/>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060AEC7B" w14:textId="77777777" w:rsidR="009650FE" w:rsidRDefault="009650FE">
            <w:pPr>
              <w:pStyle w:val="Normaalweb"/>
              <w:spacing w:before="120"/>
              <w:jc w:val="center"/>
              <w:rPr>
                <w:sz w:val="21"/>
                <w:szCs w:val="21"/>
              </w:rPr>
            </w:pPr>
            <w:r>
              <w:rPr>
                <w:noProof/>
                <w:sz w:val="21"/>
                <w:szCs w:val="21"/>
              </w:rPr>
              <w:drawing>
                <wp:inline distT="0" distB="0" distL="0" distR="0" wp14:anchorId="0C7DF5D0" wp14:editId="452BFC5A">
                  <wp:extent cx="3810000" cy="1454150"/>
                  <wp:effectExtent l="0" t="0" r="0" b="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810000" cy="1454150"/>
                          </a:xfrm>
                          <a:prstGeom prst="rect">
                            <a:avLst/>
                          </a:prstGeom>
                          <a:noFill/>
                          <a:ln>
                            <a:noFill/>
                          </a:ln>
                        </pic:spPr>
                      </pic:pic>
                    </a:graphicData>
                  </a:graphic>
                </wp:inline>
              </w:drawing>
            </w:r>
          </w:p>
          <w:p w14:paraId="6C1EDC5C" w14:textId="77777777" w:rsidR="009650FE" w:rsidRDefault="009650FE">
            <w:pPr>
              <w:pStyle w:val="caption"/>
              <w:spacing w:after="120" w:afterAutospacing="0"/>
            </w:pPr>
            <w:r>
              <w:rPr>
                <w:rStyle w:val="Zwaar"/>
              </w:rPr>
              <w:t>Figure 0.3 — The path through this document.</w:t>
            </w:r>
            <w:r>
              <w:t xml:space="preserve"> Seven sections, in the order of human reality: from the body, through the two countries, to Europe, to the observer, and finally to the conclusion.</w:t>
            </w:r>
          </w:p>
        </w:tc>
      </w:tr>
    </w:tbl>
    <w:p w14:paraId="3B1252D7" w14:textId="77777777" w:rsidR="009650FE" w:rsidRDefault="009650FE">
      <w:pPr>
        <w:pStyle w:val="Kop2"/>
        <w:divId w:val="953290302"/>
        <w:rPr>
          <w:rFonts w:eastAsia="Times New Roman"/>
          <w:lang w:val="en-GB"/>
        </w:rPr>
      </w:pPr>
      <w:bookmarkStart w:id="10" w:name="_Toc242103148"/>
      <w:r>
        <w:rPr>
          <w:rFonts w:eastAsia="Times New Roman"/>
          <w:lang w:val="en-GB"/>
        </w:rPr>
        <w:t>How to read it</w:t>
      </w:r>
      <w:bookmarkEnd w:id="10"/>
    </w:p>
    <w:p w14:paraId="4900D55A" w14:textId="77777777" w:rsidR="009650FE" w:rsidRDefault="009650FE">
      <w:pPr>
        <w:pStyle w:val="Normaalweb"/>
        <w:divId w:val="953290302"/>
        <w:rPr>
          <w:lang w:val="en-GB"/>
        </w:rPr>
      </w:pPr>
      <w:r>
        <w:rPr>
          <w:lang w:val="en-GB"/>
        </w:rPr>
        <w:t>Document C is not intended to be read from start to finish in one go. Each chapter stands on its own. Readers can choose their own path.</w:t>
      </w:r>
    </w:p>
    <w:p w14:paraId="4005AFF8" w14:textId="77777777" w:rsidR="009650FE" w:rsidRDefault="009650FE">
      <w:pPr>
        <w:pStyle w:val="Normaalweb"/>
        <w:divId w:val="953290302"/>
        <w:rPr>
          <w:lang w:val="en-GB"/>
        </w:rPr>
      </w:pPr>
      <w:r>
        <w:rPr>
          <w:rStyle w:val="Zwaar"/>
          <w:lang w:val="en-GB"/>
        </w:rPr>
        <w:t>For those who wish to understand the whole picture:</w:t>
      </w:r>
      <w:r>
        <w:rPr>
          <w:lang w:val="en-GB"/>
        </w:rPr>
        <w:t xml:space="preserve"> start with Block I (Man), followed by the other blocks in order. In this way, the picture builds up step by step: from man, through the two countries, to Europe, to the observer, and finally to the conclusion.</w:t>
      </w:r>
    </w:p>
    <w:p w14:paraId="353C8181" w14:textId="77777777" w:rsidR="009650FE" w:rsidRDefault="009650FE">
      <w:pPr>
        <w:pStyle w:val="Normaalweb"/>
        <w:divId w:val="953290302"/>
        <w:rPr>
          <w:lang w:val="en-GB"/>
        </w:rPr>
      </w:pPr>
      <w:r>
        <w:rPr>
          <w:rStyle w:val="Zwaar"/>
          <w:lang w:val="en-GB"/>
        </w:rPr>
        <w:t>If you are specifically interested in a particular topic,</w:t>
      </w:r>
      <w:r>
        <w:rPr>
          <w:lang w:val="en-GB"/>
        </w:rPr>
        <w:t xml:space="preserve"> select the relevant chapter. Tied sales, the cascade, the UWV, CZ, the local authority, the Tax and Customs Administration, the European level — each has its own chapter.</w:t>
      </w:r>
    </w:p>
    <w:p w14:paraId="6D41057B" w14:textId="77777777" w:rsidR="009650FE" w:rsidRDefault="009650FE">
      <w:pPr>
        <w:pStyle w:val="Normaalweb"/>
        <w:divId w:val="953290302"/>
        <w:rPr>
          <w:lang w:val="en-GB"/>
        </w:rPr>
      </w:pPr>
      <w:r>
        <w:rPr>
          <w:rStyle w:val="Zwaar"/>
          <w:lang w:val="en-GB"/>
        </w:rPr>
        <w:t>If you want to see the full network,</w:t>
      </w:r>
      <w:r>
        <w:rPr>
          <w:lang w:val="en-GB"/>
        </w:rPr>
        <w:t xml:space="preserve"> read Section I (Humanity) first, then the conclusion. Taken together, these two sections provide an overview of the structure at a glance.</w:t>
      </w:r>
    </w:p>
    <w:p w14:paraId="727C34CB" w14:textId="77777777" w:rsidR="009650FE" w:rsidRDefault="009650FE">
      <w:pPr>
        <w:pStyle w:val="Kop2"/>
        <w:divId w:val="953290302"/>
        <w:rPr>
          <w:rFonts w:eastAsia="Times New Roman"/>
          <w:lang w:val="en-GB"/>
        </w:rPr>
      </w:pPr>
      <w:bookmarkStart w:id="11" w:name="_Toc242103149"/>
      <w:r>
        <w:rPr>
          <w:rFonts w:eastAsia="Times New Roman"/>
          <w:lang w:val="en-GB"/>
        </w:rPr>
        <w:t>What the reader can expect</w:t>
      </w:r>
      <w:bookmarkEnd w:id="11"/>
    </w:p>
    <w:p w14:paraId="22024C5B" w14:textId="77777777" w:rsidR="009650FE" w:rsidRDefault="009650FE">
      <w:pPr>
        <w:numPr>
          <w:ilvl w:val="0"/>
          <w:numId w:val="2"/>
        </w:numPr>
        <w:spacing w:before="100" w:beforeAutospacing="1" w:after="100" w:afterAutospacing="1"/>
        <w:divId w:val="953290302"/>
        <w:rPr>
          <w:rFonts w:eastAsia="Times New Roman"/>
          <w:lang w:val="en-GB"/>
        </w:rPr>
      </w:pPr>
      <w:r>
        <w:rPr>
          <w:rFonts w:eastAsia="Times New Roman"/>
          <w:lang w:val="en-GB"/>
        </w:rPr>
        <w:t>Each diagram has its own title and a brief explanation below the figure.</w:t>
      </w:r>
    </w:p>
    <w:p w14:paraId="4D37F53B" w14:textId="77777777" w:rsidR="009650FE" w:rsidRDefault="009650FE">
      <w:pPr>
        <w:numPr>
          <w:ilvl w:val="0"/>
          <w:numId w:val="2"/>
        </w:numPr>
        <w:spacing w:before="100" w:beforeAutospacing="1" w:after="100" w:afterAutospacing="1"/>
        <w:divId w:val="953290302"/>
        <w:rPr>
          <w:rFonts w:eastAsia="Times New Roman"/>
          <w:lang w:val="en-GB"/>
        </w:rPr>
      </w:pPr>
      <w:r>
        <w:rPr>
          <w:rFonts w:eastAsia="Times New Roman"/>
          <w:lang w:val="en-GB"/>
        </w:rPr>
        <w:t>Organisations are displayed as blocks or as numbered dots on a ring. Names are public and are listed.</w:t>
      </w:r>
    </w:p>
    <w:p w14:paraId="76C7BEC8" w14:textId="77777777" w:rsidR="009650FE" w:rsidRDefault="009650FE">
      <w:pPr>
        <w:numPr>
          <w:ilvl w:val="0"/>
          <w:numId w:val="2"/>
        </w:numPr>
        <w:spacing w:before="100" w:beforeAutospacing="1" w:after="100" w:afterAutospacing="1"/>
        <w:divId w:val="953290302"/>
        <w:rPr>
          <w:rFonts w:eastAsia="Times New Roman"/>
          <w:lang w:val="en-GB"/>
        </w:rPr>
      </w:pPr>
      <w:r>
        <w:rPr>
          <w:rFonts w:eastAsia="Times New Roman"/>
          <w:lang w:val="en-GB"/>
        </w:rPr>
        <w:t>Individuals are referred to by their role or their symbol. Never by their name.</w:t>
      </w:r>
    </w:p>
    <w:p w14:paraId="67EF0381" w14:textId="77777777" w:rsidR="009650FE" w:rsidRDefault="009650FE">
      <w:pPr>
        <w:numPr>
          <w:ilvl w:val="0"/>
          <w:numId w:val="2"/>
        </w:numPr>
        <w:spacing w:before="100" w:beforeAutospacing="1" w:after="100" w:afterAutospacing="1"/>
        <w:divId w:val="953290302"/>
        <w:rPr>
          <w:rFonts w:eastAsia="Times New Roman"/>
          <w:lang w:val="en-GB"/>
        </w:rPr>
      </w:pPr>
      <w:r>
        <w:rPr>
          <w:rFonts w:eastAsia="Times New Roman"/>
          <w:lang w:val="en-GB"/>
        </w:rPr>
        <w:t>Amounts, dates and reference numbers are taken from Document B. Where an amount or date is uncertain, this is explicitly stated.</w:t>
      </w:r>
    </w:p>
    <w:p w14:paraId="576647A6" w14:textId="77777777" w:rsidR="009650FE" w:rsidRDefault="009650FE">
      <w:pPr>
        <w:numPr>
          <w:ilvl w:val="0"/>
          <w:numId w:val="2"/>
        </w:numPr>
        <w:spacing w:before="100" w:beforeAutospacing="1" w:after="100" w:afterAutospacing="1"/>
        <w:divId w:val="953290302"/>
        <w:rPr>
          <w:rFonts w:eastAsia="Times New Roman"/>
          <w:lang w:val="en-GB"/>
        </w:rPr>
      </w:pPr>
      <w:r>
        <w:rPr>
          <w:rFonts w:eastAsia="Times New Roman"/>
          <w:lang w:val="en-GB"/>
        </w:rPr>
        <w:t>Where the diagram shows a pattern that is explained in more detail in Document D, a reference to the relevant chapter in D is provided.</w:t>
      </w:r>
    </w:p>
    <w:p w14:paraId="09D798B4" w14:textId="77777777" w:rsidR="009650FE" w:rsidRDefault="009650FE">
      <w:pPr>
        <w:pStyle w:val="Kop2"/>
        <w:divId w:val="953290302"/>
        <w:rPr>
          <w:rFonts w:eastAsia="Times New Roman"/>
          <w:lang w:val="en-GB"/>
        </w:rPr>
      </w:pPr>
      <w:bookmarkStart w:id="12" w:name="_Toc242103150"/>
      <w:r>
        <w:rPr>
          <w:rFonts w:eastAsia="Times New Roman"/>
          <w:lang w:val="en-GB"/>
        </w:rPr>
        <w:t>The position of Document C within the whole</w:t>
      </w:r>
      <w:bookmarkEnd w:id="12"/>
    </w:p>
    <w:p w14:paraId="2F09EC5C" w14:textId="77777777" w:rsidR="009650FE" w:rsidRDefault="009650FE">
      <w:pPr>
        <w:pStyle w:val="Normaalweb"/>
        <w:divId w:val="953290302"/>
        <w:rPr>
          <w:lang w:val="en-GB"/>
        </w:rPr>
      </w:pPr>
      <w:r>
        <w:rPr>
          <w:lang w:val="en-GB"/>
        </w:rPr>
        <w:t>Document C is situated between Document B and Document D. Whilst B sets out the facts and D draws the conclusions, C reveals the architecture that makes the failure possible. If you want the facts: B. If you want the conclusions: D. If you want to understand why the facts lead to these conclusions: C.</w:t>
      </w:r>
    </w:p>
    <w:p w14:paraId="2ABD5D64" w14:textId="77777777" w:rsidR="009650FE" w:rsidRDefault="009650FE">
      <w:pPr>
        <w:pStyle w:val="Normaalweb"/>
        <w:divId w:val="953290302"/>
        <w:rPr>
          <w:lang w:val="en-GB"/>
        </w:rPr>
      </w:pPr>
      <w:r>
        <w:rPr>
          <w:lang w:val="en-GB"/>
        </w:rPr>
        <w:t>What this document illustrates is the essence of the power vacuum at a glance: one body, two worlds, three channels. And a citizen who has to hold their own in the gap between the two worlds.</w:t>
      </w:r>
    </w:p>
    <w:p w14:paraId="3DB4823F" w14:textId="77777777" w:rsidR="009650FE" w:rsidRDefault="009650FE">
      <w:pPr>
        <w:pStyle w:val="noot"/>
        <w:spacing w:after="120" w:afterAutospacing="0"/>
        <w:divId w:val="953290302"/>
        <w:rPr>
          <w:lang w:val="en-GB"/>
        </w:rPr>
      </w:pPr>
      <w:r>
        <w:rPr>
          <w:lang w:val="en-GB"/>
        </w:rPr>
        <w:t>This is Document C — The visual architecture. All organisations referred to in this document are legal entities. Natural persons are referred to by their role or their symbol. The facts are based on Document B. The conclusions are set out in Document D. This document does not constitute legal advice.</w:t>
      </w:r>
    </w:p>
    <w:p w14:paraId="3AD6790F" w14:textId="77777777" w:rsidR="009650FE" w:rsidRDefault="009650FE">
      <w:pPr>
        <w:pStyle w:val="marker"/>
        <w:ind w:left="800" w:right="800"/>
        <w:divId w:val="953290302"/>
        <w:rPr>
          <w:lang w:val="en-GB"/>
        </w:rPr>
      </w:pPr>
      <w:r>
        <w:br w:type="page"/>
      </w:r>
    </w:p>
    <w:p w14:paraId="74119AD6" w14:textId="77777777" w:rsidR="009650FE" w:rsidRDefault="009650FE">
      <w:pPr>
        <w:pStyle w:val="Kop1"/>
        <w:divId w:val="953290302"/>
        <w:rPr>
          <w:rFonts w:eastAsia="Times New Roman"/>
          <w:lang w:val="en-GB"/>
        </w:rPr>
      </w:pPr>
      <w:bookmarkStart w:id="13" w:name="_Toc242103151"/>
      <w:r>
        <w:rPr>
          <w:rFonts w:eastAsia="Times New Roman"/>
          <w:lang w:val="en-GB"/>
        </w:rPr>
        <w:t>I. Human beings</w:t>
      </w:r>
      <w:bookmarkEnd w:id="13"/>
    </w:p>
    <w:p w14:paraId="626E012C" w14:textId="77777777" w:rsidR="009650FE" w:rsidRDefault="009650FE">
      <w:pPr>
        <w:pStyle w:val="Kop2"/>
        <w:divId w:val="953290302"/>
        <w:rPr>
          <w:rFonts w:eastAsia="Times New Roman"/>
          <w:lang w:val="en-GB"/>
        </w:rPr>
      </w:pPr>
      <w:bookmarkStart w:id="14" w:name="_Toc242103152"/>
      <w:r>
        <w:rPr>
          <w:rFonts w:eastAsia="Times New Roman"/>
          <w:lang w:val="en-GB"/>
        </w:rPr>
        <w:t>The presentation</w:t>
      </w:r>
      <w:bookmarkEnd w:id="14"/>
    </w:p>
    <w:p w14:paraId="312FD186" w14:textId="77777777" w:rsidR="009650FE" w:rsidRDefault="009650FE">
      <w:pPr>
        <w:pStyle w:val="lead"/>
        <w:divId w:val="953290302"/>
        <w:rPr>
          <w:lang w:val="en-GB"/>
        </w:rPr>
      </w:pPr>
      <w:r>
        <w:rPr>
          <w:lang w:val="en-GB"/>
        </w:rPr>
        <w:t>Two rigid worlds. One membrane that stretches and contracts. Three channels, each with its own character. And within each world, four institutional rings that citizens must navigate in order to get anything done. This chapter sets out the playing field: who is where, how the layers are structured, and which actors operate within each layer.</w:t>
      </w:r>
    </w:p>
    <w:p w14:paraId="1285C1AC" w14:textId="77777777" w:rsidR="009650FE" w:rsidRDefault="009650FE">
      <w:pPr>
        <w:pStyle w:val="Kop3"/>
        <w:divId w:val="953290302"/>
        <w:rPr>
          <w:rFonts w:eastAsia="Times New Roman"/>
          <w:lang w:val="en-GB"/>
        </w:rPr>
      </w:pPr>
      <w:bookmarkStart w:id="15" w:name="_Toc242103153"/>
      <w:r>
        <w:rPr>
          <w:rFonts w:eastAsia="Times New Roman"/>
          <w:lang w:val="en-GB"/>
        </w:rPr>
        <w:t>Part I-A — The structure</w:t>
      </w:r>
      <w:bookmarkEnd w:id="15"/>
    </w:p>
    <w:p w14:paraId="30639B9B" w14:textId="77777777" w:rsidR="009650FE" w:rsidRDefault="009650FE">
      <w:pPr>
        <w:pStyle w:val="Kop4"/>
        <w:divId w:val="953290302"/>
        <w:rPr>
          <w:rFonts w:eastAsia="Times New Roman"/>
          <w:lang w:val="en-GB"/>
        </w:rPr>
      </w:pPr>
      <w:r>
        <w:rPr>
          <w:rFonts w:eastAsia="Times New Roman"/>
          <w:lang w:val="en-GB"/>
        </w:rPr>
        <w:t>The Two Worlds</w:t>
      </w:r>
    </w:p>
    <w:p w14:paraId="78556505" w14:textId="77777777" w:rsidR="009650FE" w:rsidRDefault="009650FE">
      <w:pPr>
        <w:pStyle w:val="Normaalweb"/>
        <w:divId w:val="953290302"/>
        <w:rPr>
          <w:lang w:val="en-GB"/>
        </w:rPr>
      </w:pPr>
      <w:r>
        <w:rPr>
          <w:lang w:val="en-GB"/>
        </w:rPr>
        <w:t xml:space="preserve">In this dossier, Belgium and the Netherlands are referred to as two </w:t>
      </w:r>
      <w:r>
        <w:rPr>
          <w:rStyle w:val="Zwaar"/>
          <w:lang w:val="en-GB"/>
        </w:rPr>
        <w:t>worlds</w:t>
      </w:r>
      <w:r>
        <w:rPr>
          <w:lang w:val="en-GB"/>
        </w:rPr>
        <w:t xml:space="preserve">: </w:t>
      </w:r>
      <w:r>
        <w:rPr>
          <w:rStyle w:val="badge-be1"/>
          <w:lang w:val="en-GB"/>
        </w:rPr>
        <w:t>the World of Belgium</w:t>
      </w:r>
      <w:r>
        <w:rPr>
          <w:lang w:val="en-GB"/>
        </w:rPr>
        <w:t xml:space="preserve"> and </w:t>
      </w:r>
      <w:r>
        <w:rPr>
          <w:rStyle w:val="badge-nl1"/>
          <w:lang w:val="en-GB"/>
        </w:rPr>
        <w:t>the World of the Netherlands</w:t>
      </w:r>
      <w:r>
        <w:rPr>
          <w:lang w:val="en-GB"/>
        </w:rPr>
        <w:t>. Each world constitutes a self-contained, sovereign legal and administrative system. For a citizen who spends their entire life within a single world, the internal links generally fit together seamlessly.</w:t>
      </w:r>
    </w:p>
    <w:p w14:paraId="7F11573D" w14:textId="77777777" w:rsidR="009650FE" w:rsidRDefault="009650FE">
      <w:pPr>
        <w:pStyle w:val="Normaalweb"/>
        <w:divId w:val="953290302"/>
        <w:rPr>
          <w:lang w:val="en-GB"/>
        </w:rPr>
      </w:pPr>
      <w:r>
        <w:rPr>
          <w:lang w:val="en-GB"/>
        </w:rPr>
        <w:t xml:space="preserve">However, both worlds are </w:t>
      </w:r>
      <w:r>
        <w:rPr>
          <w:rStyle w:val="Zwaar"/>
          <w:lang w:val="en-GB"/>
        </w:rPr>
        <w:t>rigid</w:t>
      </w:r>
      <w:r>
        <w:rPr>
          <w:lang w:val="en-GB"/>
        </w:rPr>
        <w:t>. They lack flexibility. They do not adapt their administrative boundaries when a citizen exercises their right to free movement. Each system assesses applications solely on the basis of national definitions, national medical criteria and territorial conditions — the ‘country of residence’ principle versus the ‘country of employment’ principle. The two systems physically adjoin one another at the national border and rub shoulders, but do not merge at all at the operational level.</w:t>
      </w:r>
    </w:p>
    <w:p w14:paraId="574CCB0D" w14:textId="77777777" w:rsidR="009650FE" w:rsidRDefault="009650FE">
      <w:pPr>
        <w:pStyle w:val="Kop4"/>
        <w:divId w:val="953290302"/>
        <w:rPr>
          <w:rFonts w:eastAsia="Times New Roman"/>
          <w:lang w:val="en-GB"/>
        </w:rPr>
      </w:pPr>
      <w:r>
        <w:rPr>
          <w:rFonts w:eastAsia="Times New Roman"/>
          <w:lang w:val="en-GB"/>
        </w:rPr>
        <w:t>The membrane</w:t>
      </w:r>
    </w:p>
    <w:p w14:paraId="3816905C" w14:textId="77777777" w:rsidR="009650FE" w:rsidRDefault="009650FE">
      <w:pPr>
        <w:pStyle w:val="Normaalweb"/>
        <w:divId w:val="953290302"/>
        <w:rPr>
          <w:lang w:val="en-GB"/>
        </w:rPr>
      </w:pPr>
      <w:r>
        <w:rPr>
          <w:lang w:val="en-GB"/>
        </w:rPr>
        <w:t xml:space="preserve">Between these two rigid worlds lies </w:t>
      </w:r>
      <w:r>
        <w:rPr>
          <w:rStyle w:val="badge-mem1"/>
          <w:lang w:val="en-GB"/>
        </w:rPr>
        <w:t>the membrane</w:t>
      </w:r>
      <w:r>
        <w:rPr>
          <w:lang w:val="en-GB"/>
        </w:rPr>
        <w:t>: the family. Unlike the two national systems, the family has no fixed geometric shape. It is a transparent, irregular form that must stretch and contract to accommodate the incompatibility between the two systems. Whilst the institutions remain rigid, citizens are required to be completely flexible.</w:t>
      </w:r>
    </w:p>
    <w:p w14:paraId="54ACDCB5" w14:textId="77777777" w:rsidR="009650FE" w:rsidRDefault="009650FE">
      <w:pPr>
        <w:pStyle w:val="Normaalweb"/>
        <w:divId w:val="953290302"/>
        <w:rPr>
          <w:lang w:val="en-GB"/>
        </w:rPr>
      </w:pPr>
      <w:r>
        <w:rPr>
          <w:lang w:val="en-GB"/>
        </w:rPr>
        <w:t>The diaphragm moves in a cyclical motion with two positions:</w:t>
      </w:r>
    </w:p>
    <w:p w14:paraId="069BE9F1" w14:textId="77777777" w:rsidR="009650FE" w:rsidRDefault="009650FE">
      <w:pPr>
        <w:numPr>
          <w:ilvl w:val="0"/>
          <w:numId w:val="3"/>
        </w:numPr>
        <w:spacing w:before="100" w:beforeAutospacing="1" w:after="100" w:afterAutospacing="1"/>
        <w:divId w:val="953290302"/>
        <w:rPr>
          <w:rFonts w:eastAsia="Times New Roman"/>
          <w:lang w:val="en-GB"/>
        </w:rPr>
      </w:pPr>
      <w:r>
        <w:rPr>
          <w:rStyle w:val="Zwaar"/>
          <w:rFonts w:eastAsia="Times New Roman"/>
          <w:lang w:val="en-GB"/>
        </w:rPr>
        <w:t>Weekday status</w:t>
      </w:r>
      <w:r>
        <w:rPr>
          <w:rFonts w:eastAsia="Times New Roman"/>
          <w:lang w:val="en-GB"/>
        </w:rPr>
        <w:t xml:space="preserve"> (solid outline): the family straddles both worlds. They live in the Netherlands but cross the border every day for school, medical treatment and ongoing procedures on the Belgian side.</w:t>
      </w:r>
    </w:p>
    <w:p w14:paraId="266A8264" w14:textId="77777777" w:rsidR="009650FE" w:rsidRDefault="009650FE">
      <w:pPr>
        <w:numPr>
          <w:ilvl w:val="0"/>
          <w:numId w:val="3"/>
        </w:numPr>
        <w:spacing w:before="100" w:beforeAutospacing="1" w:after="100" w:afterAutospacing="1"/>
        <w:divId w:val="953290302"/>
        <w:rPr>
          <w:rFonts w:eastAsia="Times New Roman"/>
          <w:lang w:val="en-GB"/>
        </w:rPr>
      </w:pPr>
      <w:r>
        <w:rPr>
          <w:rStyle w:val="Zwaar"/>
          <w:rFonts w:eastAsia="Times New Roman"/>
          <w:lang w:val="en-GB"/>
        </w:rPr>
        <w:t>Weekend status</w:t>
      </w:r>
      <w:r>
        <w:rPr>
          <w:rFonts w:eastAsia="Times New Roman"/>
          <w:lang w:val="en-GB"/>
        </w:rPr>
        <w:t xml:space="preserve"> (dotted outline): the membrane retreats within the Dutch sphere. Its physical presence is then entirely within the Netherlands, whilst its legal and financial dependence on Belgium continues unabated.</w:t>
      </w:r>
    </w:p>
    <w:p w14:paraId="5F1906E0" w14:textId="77777777" w:rsidR="009650FE" w:rsidRDefault="009650FE">
      <w:pPr>
        <w:pStyle w:val="Normaalweb"/>
        <w:divId w:val="953290302"/>
        <w:rPr>
          <w:lang w:val="en-GB"/>
        </w:rPr>
      </w:pPr>
      <w:r>
        <w:rPr>
          <w:lang w:val="en-GB"/>
        </w:rPr>
        <w:t>Inside the membrane there are three people, represented by symbols:</w:t>
      </w:r>
    </w:p>
    <w:p w14:paraId="5E29A354" w14:textId="77777777" w:rsidR="009650FE" w:rsidRDefault="009650FE">
      <w:pPr>
        <w:numPr>
          <w:ilvl w:val="0"/>
          <w:numId w:val="4"/>
        </w:numPr>
        <w:spacing w:before="100" w:beforeAutospacing="1" w:after="100" w:afterAutospacing="1"/>
        <w:divId w:val="953290302"/>
        <w:rPr>
          <w:rFonts w:eastAsia="Times New Roman"/>
          <w:lang w:val="en-GB"/>
        </w:rPr>
      </w:pPr>
      <w:r>
        <w:rPr>
          <w:rStyle w:val="Zwaar"/>
          <w:rFonts w:eastAsia="Times New Roman"/>
          <w:lang w:val="en-GB"/>
        </w:rPr>
        <w:t>The father (</w:t>
      </w:r>
      <w:r>
        <w:rPr>
          <w:rStyle w:val="Zwaar"/>
          <w:rFonts w:ascii="Segoe UI Symbol" w:eastAsia="Times New Roman" w:hAnsi="Segoe UI Symbol" w:cs="Segoe UI Symbol"/>
          <w:lang w:val="en-GB"/>
        </w:rPr>
        <w:t>♂</w:t>
      </w:r>
      <w:r>
        <w:rPr>
          <w:rStyle w:val="Zwaar"/>
          <w:rFonts w:eastAsia="Times New Roman"/>
          <w:lang w:val="en-GB"/>
        </w:rPr>
        <w:t>)</w:t>
      </w:r>
      <w:r>
        <w:rPr>
          <w:rFonts w:eastAsia="Times New Roman"/>
          <w:lang w:val="en-GB"/>
        </w:rPr>
        <w:t xml:space="preserve"> </w:t>
      </w:r>
      <w:r>
        <w:rPr>
          <w:rFonts w:eastAsia="Times New Roman"/>
          <w:lang w:val="en-GB"/>
        </w:rPr>
        <w:t>— a Belgian of Franco-Italian origin, born in Belgium, living in the Netherlands. His employment and medical history are in Belgium; his place of residence and part of his healthcare and benefits arrangements are in the Netherlands.</w:t>
      </w:r>
    </w:p>
    <w:p w14:paraId="7E6BB331" w14:textId="77777777" w:rsidR="009650FE" w:rsidRDefault="009650FE">
      <w:pPr>
        <w:numPr>
          <w:ilvl w:val="0"/>
          <w:numId w:val="4"/>
        </w:numPr>
        <w:spacing w:before="100" w:beforeAutospacing="1" w:after="100" w:afterAutospacing="1"/>
        <w:divId w:val="953290302"/>
        <w:rPr>
          <w:rFonts w:eastAsia="Times New Roman"/>
          <w:lang w:val="en-GB"/>
        </w:rPr>
      </w:pPr>
      <w:r>
        <w:rPr>
          <w:rStyle w:val="Zwaar"/>
          <w:rFonts w:eastAsia="Times New Roman"/>
          <w:lang w:val="en-GB"/>
        </w:rPr>
        <w:t>The mother (</w:t>
      </w:r>
      <w:r>
        <w:rPr>
          <w:rStyle w:val="Zwaar"/>
          <w:rFonts w:ascii="Segoe UI Symbol" w:eastAsia="Times New Roman" w:hAnsi="Segoe UI Symbol" w:cs="Segoe UI Symbol"/>
          <w:lang w:val="en-GB"/>
        </w:rPr>
        <w:t>♀</w:t>
      </w:r>
      <w:r>
        <w:rPr>
          <w:rStyle w:val="Zwaar"/>
          <w:rFonts w:eastAsia="Times New Roman"/>
          <w:lang w:val="en-GB"/>
        </w:rPr>
        <w:t>)</w:t>
      </w:r>
      <w:r>
        <w:rPr>
          <w:rFonts w:eastAsia="Times New Roman"/>
          <w:lang w:val="en-GB"/>
        </w:rPr>
        <w:t xml:space="preserve"> — Belgian, living in the Netherlands. She works in Belgium and acts as the day-to-day logistical and administrative hub between their home in the Netherlands and the Belgian authorities.</w:t>
      </w:r>
    </w:p>
    <w:p w14:paraId="04C64B4D" w14:textId="77777777" w:rsidR="009650FE" w:rsidRDefault="009650FE">
      <w:pPr>
        <w:numPr>
          <w:ilvl w:val="0"/>
          <w:numId w:val="4"/>
        </w:numPr>
        <w:spacing w:before="100" w:beforeAutospacing="1" w:after="100" w:afterAutospacing="1"/>
        <w:divId w:val="953290302"/>
        <w:rPr>
          <w:rFonts w:eastAsia="Times New Roman"/>
          <w:lang w:val="en-GB"/>
        </w:rPr>
      </w:pPr>
      <w:r>
        <w:rPr>
          <w:rStyle w:val="Zwaar"/>
          <w:rFonts w:eastAsia="Times New Roman"/>
          <w:lang w:val="en-GB"/>
        </w:rPr>
        <w:t>The son (young boy)</w:t>
      </w:r>
      <w:r>
        <w:rPr>
          <w:rFonts w:eastAsia="Times New Roman"/>
          <w:lang w:val="en-GB"/>
        </w:rPr>
        <w:t xml:space="preserve"> — lives in the Netherlands and attends school in Flanders. Every day, he crosses the border between the Netherlands, where he lives, and the Flemish education and child benefit systems.</w:t>
      </w:r>
    </w:p>
    <w:p w14:paraId="46437D0C" w14:textId="77777777" w:rsidR="009650FE" w:rsidRDefault="009650FE">
      <w:pPr>
        <w:pStyle w:val="Kop4"/>
        <w:divId w:val="953290302"/>
        <w:rPr>
          <w:rFonts w:eastAsia="Times New Roman"/>
          <w:lang w:val="en-GB"/>
        </w:rPr>
      </w:pPr>
      <w:r>
        <w:rPr>
          <w:rFonts w:eastAsia="Times New Roman"/>
          <w:lang w:val="en-GB"/>
        </w:rPr>
        <w:t>The four institutional layers</w:t>
      </w:r>
    </w:p>
    <w:p w14:paraId="2621186B" w14:textId="77777777" w:rsidR="009650FE" w:rsidRDefault="009650FE">
      <w:pPr>
        <w:pStyle w:val="Normaalweb"/>
        <w:divId w:val="953290302"/>
        <w:rPr>
          <w:lang w:val="en-GB"/>
        </w:rPr>
      </w:pPr>
      <w:r>
        <w:rPr>
          <w:lang w:val="en-GB"/>
        </w:rPr>
        <w:t>Each world is structured from the outside in, consisting of four concentric rings. Anyone who becomes stuck in the outermost layer and seeks protection further up moves from the outside in through these four layers:</w:t>
      </w:r>
    </w:p>
    <w:p w14:paraId="5EB2794A" w14:textId="77777777" w:rsidR="009650FE" w:rsidRDefault="009650FE">
      <w:pPr>
        <w:numPr>
          <w:ilvl w:val="0"/>
          <w:numId w:val="5"/>
        </w:numPr>
        <w:spacing w:before="100" w:beforeAutospacing="1" w:after="100" w:afterAutospacing="1"/>
        <w:divId w:val="953290302"/>
        <w:rPr>
          <w:rFonts w:eastAsia="Times New Roman"/>
          <w:lang w:val="en-GB"/>
        </w:rPr>
      </w:pPr>
      <w:r>
        <w:rPr>
          <w:rStyle w:val="Zwaar"/>
          <w:rFonts w:eastAsia="Times New Roman"/>
          <w:lang w:val="en-GB"/>
        </w:rPr>
        <w:t>Implementation</w:t>
      </w:r>
      <w:r>
        <w:rPr>
          <w:rFonts w:eastAsia="Times New Roman"/>
          <w:lang w:val="en-GB"/>
        </w:rPr>
        <w:t xml:space="preserve"> — the service points with which members of the public come into direct contact: health insurance funds, healthcare insurers, hospitals, tax authorities, benefits agencies, local authorities and utility companies. This is where decisions are made and payments are processed or blocked.</w:t>
      </w:r>
    </w:p>
    <w:p w14:paraId="7FE40377" w14:textId="77777777" w:rsidR="009650FE" w:rsidRDefault="009650FE">
      <w:pPr>
        <w:numPr>
          <w:ilvl w:val="0"/>
          <w:numId w:val="5"/>
        </w:numPr>
        <w:spacing w:before="100" w:beforeAutospacing="1" w:after="100" w:afterAutospacing="1"/>
        <w:divId w:val="953290302"/>
        <w:rPr>
          <w:rFonts w:eastAsia="Times New Roman"/>
          <w:lang w:val="en-GB"/>
        </w:rPr>
      </w:pPr>
      <w:r>
        <w:rPr>
          <w:rStyle w:val="Zwaar"/>
          <w:rFonts w:eastAsia="Times New Roman"/>
          <w:lang w:val="en-GB"/>
        </w:rPr>
        <w:t>Supervision</w:t>
      </w:r>
      <w:r>
        <w:rPr>
          <w:rFonts w:eastAsia="Times New Roman"/>
          <w:lang w:val="en-GB"/>
        </w:rPr>
        <w:t xml:space="preserve"> — the supervisory authorities and ombudsman services. They monitor the system, but do not take binding action at the operational level in individual cross-border cases.</w:t>
      </w:r>
    </w:p>
    <w:p w14:paraId="6965E889" w14:textId="77777777" w:rsidR="009650FE" w:rsidRDefault="009650FE">
      <w:pPr>
        <w:numPr>
          <w:ilvl w:val="0"/>
          <w:numId w:val="5"/>
        </w:numPr>
        <w:spacing w:before="100" w:beforeAutospacing="1" w:after="100" w:afterAutospacing="1"/>
        <w:divId w:val="953290302"/>
        <w:rPr>
          <w:rFonts w:eastAsia="Times New Roman"/>
          <w:lang w:val="en-GB"/>
        </w:rPr>
      </w:pPr>
      <w:r>
        <w:rPr>
          <w:rStyle w:val="Zwaar"/>
          <w:rFonts w:eastAsia="Times New Roman"/>
          <w:lang w:val="en-GB"/>
        </w:rPr>
        <w:t>Politics</w:t>
      </w:r>
      <w:r>
        <w:rPr>
          <w:rFonts w:eastAsia="Times New Roman"/>
          <w:lang w:val="en-GB"/>
        </w:rPr>
        <w:t xml:space="preserve"> — national parliaments, parliamentary committees and political parties. They have the formal power to amend the law, but leave individual systemic blockages unaddressed.</w:t>
      </w:r>
    </w:p>
    <w:p w14:paraId="0596B6CD" w14:textId="77777777" w:rsidR="009650FE" w:rsidRDefault="009650FE">
      <w:pPr>
        <w:numPr>
          <w:ilvl w:val="0"/>
          <w:numId w:val="5"/>
        </w:numPr>
        <w:spacing w:before="100" w:beforeAutospacing="1" w:after="100" w:afterAutospacing="1"/>
        <w:divId w:val="953290302"/>
        <w:rPr>
          <w:rFonts w:eastAsia="Times New Roman"/>
          <w:lang w:val="en-GB"/>
        </w:rPr>
      </w:pPr>
      <w:r>
        <w:rPr>
          <w:rStyle w:val="Zwaar"/>
          <w:rFonts w:eastAsia="Times New Roman"/>
          <w:lang w:val="en-GB"/>
        </w:rPr>
        <w:t>Symbolism</w:t>
      </w:r>
      <w:r>
        <w:rPr>
          <w:rFonts w:eastAsia="Times New Roman"/>
          <w:lang w:val="en-GB"/>
        </w:rPr>
        <w:t xml:space="preserve"> — the highest representative body of the state: the Royal Palace in Belgium, the Royal House in the Netherlands. This body has no executive or legislative powers and refers petitions back to the political or executive level.</w:t>
      </w:r>
    </w:p>
    <w:p w14:paraId="01EF8096" w14:textId="77777777" w:rsidR="009650FE" w:rsidRDefault="009650FE">
      <w:pPr>
        <w:pStyle w:val="Kop4"/>
        <w:divId w:val="953290302"/>
        <w:rPr>
          <w:rFonts w:eastAsia="Times New Roman"/>
          <w:lang w:val="en-GB"/>
        </w:rPr>
      </w:pPr>
      <w:r>
        <w:rPr>
          <w:rFonts w:eastAsia="Times New Roman"/>
          <w:lang w:val="en-GB"/>
        </w:rPr>
        <w:t>The three channels between the worlds</w:t>
      </w:r>
    </w:p>
    <w:p w14:paraId="5C24B11D" w14:textId="77777777" w:rsidR="009650FE" w:rsidRDefault="009650FE">
      <w:pPr>
        <w:pStyle w:val="Normaalweb"/>
        <w:divId w:val="953290302"/>
        <w:rPr>
          <w:lang w:val="en-GB"/>
        </w:rPr>
      </w:pPr>
      <w:r>
        <w:rPr>
          <w:lang w:val="en-GB"/>
        </w:rPr>
        <w:t>Although the two worlds do not merge, there are three structural axes of connection between Belgium and the Netherlands. They reveal a fundamental asymmetry between what the state knows about its citizens and what the state provides for them.</w:t>
      </w:r>
    </w:p>
    <w:p w14:paraId="06AB8F57" w14:textId="77777777" w:rsidR="009650FE" w:rsidRDefault="009650FE">
      <w:pPr>
        <w:numPr>
          <w:ilvl w:val="0"/>
          <w:numId w:val="6"/>
        </w:numPr>
        <w:spacing w:before="100" w:beforeAutospacing="1" w:after="100" w:afterAutospacing="1"/>
        <w:divId w:val="953290302"/>
        <w:rPr>
          <w:rFonts w:eastAsia="Times New Roman"/>
          <w:lang w:val="en-GB"/>
        </w:rPr>
      </w:pPr>
      <w:r>
        <w:rPr>
          <w:rStyle w:val="Zwaar"/>
          <w:rFonts w:eastAsia="Times New Roman"/>
          <w:lang w:val="en-GB"/>
        </w:rPr>
        <w:t>Channel 1 — thick green, automated.</w:t>
      </w:r>
      <w:r>
        <w:rPr>
          <w:rFonts w:eastAsia="Times New Roman"/>
          <w:lang w:val="en-GB"/>
        </w:rPr>
        <w:t xml:space="preserve"> The EU’s tax and administrative data infrastructure: the Directive on Administrative Cooperation and the global exchange of income data. Tax data flows automatically between the Belgian FPS Finance and the Dutch Tax and Customs Administration. When it comes to auditing and taxation, the government knows everything.</w:t>
      </w:r>
    </w:p>
    <w:p w14:paraId="7EA6B300" w14:textId="77777777" w:rsidR="009650FE" w:rsidRDefault="009650FE">
      <w:pPr>
        <w:numPr>
          <w:ilvl w:val="0"/>
          <w:numId w:val="6"/>
        </w:numPr>
        <w:spacing w:before="100" w:beforeAutospacing="1" w:after="100" w:afterAutospacing="1"/>
        <w:divId w:val="953290302"/>
        <w:rPr>
          <w:rFonts w:eastAsia="Times New Roman"/>
          <w:lang w:val="en-GB"/>
        </w:rPr>
      </w:pPr>
      <w:r>
        <w:rPr>
          <w:rStyle w:val="Zwaar"/>
          <w:rFonts w:eastAsia="Times New Roman"/>
          <w:lang w:val="en-GB"/>
        </w:rPr>
        <w:t>Channel 2 — narrow orange, one-off.</w:t>
      </w:r>
      <w:r>
        <w:rPr>
          <w:rFonts w:eastAsia="Times New Roman"/>
          <w:lang w:val="en-GB"/>
        </w:rPr>
        <w:t xml:space="preserve"> The agreement between the Belgian health insurance fund and the Dutch health insurer (S072) and the CAK. A narrow, one-off administrative channel that covers standard reimbursements and immediately runs into difficulties as soon as care or status falls outside the scope of the standard form.</w:t>
      </w:r>
    </w:p>
    <w:p w14:paraId="5C2E0241" w14:textId="77777777" w:rsidR="009650FE" w:rsidRDefault="009650FE">
      <w:pPr>
        <w:numPr>
          <w:ilvl w:val="0"/>
          <w:numId w:val="6"/>
        </w:numPr>
        <w:spacing w:before="100" w:beforeAutospacing="1" w:after="100" w:afterAutospacing="1"/>
        <w:divId w:val="953290302"/>
        <w:rPr>
          <w:rFonts w:eastAsia="Times New Roman"/>
          <w:lang w:val="en-GB"/>
        </w:rPr>
      </w:pPr>
      <w:r>
        <w:rPr>
          <w:rStyle w:val="Zwaar"/>
          <w:rFonts w:eastAsia="Times New Roman"/>
          <w:lang w:val="en-GB"/>
        </w:rPr>
        <w:t>Channel 3 — red, interrupted, manual.</w:t>
      </w:r>
      <w:r>
        <w:rPr>
          <w:rFonts w:eastAsia="Times New Roman"/>
          <w:lang w:val="en-GB"/>
        </w:rPr>
        <w:t xml:space="preserve"> The medical and social sphere. There is no automated channel between Belgian and Dutch hospitals, GPs, medical examiners and social services. The line is broken and marked with a </w:t>
      </w:r>
      <w:r>
        <w:rPr>
          <w:rFonts w:ascii="Segoe UI Symbol" w:eastAsia="Times New Roman" w:hAnsi="Segoe UI Symbol" w:cs="Segoe UI Symbol"/>
          <w:lang w:val="en-GB"/>
        </w:rPr>
        <w:t>✕</w:t>
      </w:r>
      <w:r>
        <w:rPr>
          <w:rFonts w:eastAsia="Times New Roman"/>
          <w:lang w:val="en-GB"/>
        </w:rPr>
        <w:t>: families must physically carry files, medical imaging and certificates from one country to the other themselves.</w:t>
      </w:r>
    </w:p>
    <w:p w14:paraId="6C19702C" w14:textId="77777777" w:rsidR="009650FE" w:rsidRDefault="009650FE">
      <w:pPr>
        <w:pStyle w:val="Kop4"/>
        <w:divId w:val="953290302"/>
        <w:rPr>
          <w:rFonts w:eastAsia="Times New Roman"/>
          <w:lang w:val="en-GB"/>
        </w:rPr>
      </w:pPr>
      <w:r>
        <w:rPr>
          <w:rFonts w:eastAsia="Times New Roman"/>
          <w:lang w:val="en-GB"/>
        </w:rPr>
        <w:t>The EU’s outer layer</w:t>
      </w:r>
    </w:p>
    <w:p w14:paraId="26F12BCA" w14:textId="77777777" w:rsidR="009650FE" w:rsidRDefault="009650FE">
      <w:pPr>
        <w:pStyle w:val="Normaalweb"/>
        <w:divId w:val="953290302"/>
        <w:rPr>
          <w:lang w:val="en-GB"/>
        </w:rPr>
      </w:pPr>
      <w:r>
        <w:rPr>
          <w:lang w:val="en-GB"/>
        </w:rPr>
        <w:t xml:space="preserve">Surrounding both these national spheres lies </w:t>
      </w:r>
      <w:r>
        <w:rPr>
          <w:rStyle w:val="badge-eu1"/>
          <w:lang w:val="en-GB"/>
        </w:rPr>
        <w:t>the EU’s outer layer</w:t>
      </w:r>
      <w:r>
        <w:rPr>
          <w:lang w:val="en-GB"/>
        </w:rPr>
        <w:t>. This layer comprises three clusters: official European and treaty-based institutions, cross-border mediation bodies, and the societal resonance layer (academia, strategic litigation, the media and UN human rights). The dotted line illustrates the fundamental problem with European social law: the EU proclaims the free movement of persons and coordinates this on paper (Regulation 883/2004), but has no dedicated enforcement body capable of breaking through a deadlocked national chain.</w:t>
      </w:r>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76DE67B0" w14:textId="77777777">
        <w:trPr>
          <w:divId w:val="953290302"/>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0D29BC21" w14:textId="77777777" w:rsidR="009650FE" w:rsidRDefault="009650FE">
            <w:pPr>
              <w:pStyle w:val="Normaalweb"/>
              <w:spacing w:before="120"/>
              <w:jc w:val="center"/>
              <w:rPr>
                <w:sz w:val="21"/>
                <w:szCs w:val="21"/>
              </w:rPr>
            </w:pPr>
            <w:r>
              <w:rPr>
                <w:noProof/>
                <w:sz w:val="21"/>
                <w:szCs w:val="21"/>
              </w:rPr>
              <w:drawing>
                <wp:inline distT="0" distB="0" distL="0" distR="0" wp14:anchorId="14D331D3" wp14:editId="219DFE28">
                  <wp:extent cx="3810000" cy="3003550"/>
                  <wp:effectExtent l="0" t="0" r="0" b="6350"/>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810000" cy="3003550"/>
                          </a:xfrm>
                          <a:prstGeom prst="rect">
                            <a:avLst/>
                          </a:prstGeom>
                          <a:noFill/>
                          <a:ln>
                            <a:noFill/>
                          </a:ln>
                        </pic:spPr>
                      </pic:pic>
                    </a:graphicData>
                  </a:graphic>
                </wp:inline>
              </w:drawing>
            </w:r>
          </w:p>
          <w:p w14:paraId="1522E601" w14:textId="77777777" w:rsidR="009650FE" w:rsidRDefault="009650FE">
            <w:pPr>
              <w:pStyle w:val="caption"/>
              <w:spacing w:after="120" w:afterAutospacing="0"/>
            </w:pPr>
            <w:r>
              <w:rPr>
                <w:rStyle w:val="Zwaar"/>
              </w:rPr>
              <w:t>Figure I.1 — The game board.</w:t>
            </w:r>
            <w:r>
              <w:t xml:space="preserve"> Two rigid worlds (Belgium, the Netherlands), each with four concentric layers (Implementation, Oversight, Politics, Symbolism). All actors are numbered — the legend below this figure gives the name and role for each number. In the centre, the membrane bridges the gap in two positions (extended on weekdays, retracted at weekends). The three channels illustrate the structural tension: thick green (automated), narrow orange (one-off), red dotted (manual).</w:t>
            </w:r>
          </w:p>
        </w:tc>
      </w:tr>
    </w:tbl>
    <w:p w14:paraId="4D3CB509" w14:textId="77777777" w:rsidR="009650FE" w:rsidRDefault="009650FE">
      <w:pPr>
        <w:pStyle w:val="Kop3"/>
        <w:divId w:val="953290302"/>
        <w:rPr>
          <w:rFonts w:eastAsia="Times New Roman"/>
          <w:lang w:val="en-GB"/>
        </w:rPr>
      </w:pPr>
      <w:bookmarkStart w:id="16" w:name="_Toc242103154"/>
      <w:r>
        <w:rPr>
          <w:rFonts w:eastAsia="Times New Roman"/>
          <w:lang w:val="en-GB"/>
        </w:rPr>
        <w:t>Part I-B — The key players</w:t>
      </w:r>
      <w:bookmarkEnd w:id="16"/>
    </w:p>
    <w:p w14:paraId="2CF9FBE7" w14:textId="77777777" w:rsidR="009650FE" w:rsidRDefault="009650FE">
      <w:pPr>
        <w:pStyle w:val="Normaalweb"/>
        <w:divId w:val="953290302"/>
        <w:rPr>
          <w:lang w:val="en-GB"/>
        </w:rPr>
      </w:pPr>
      <w:r>
        <w:rPr>
          <w:lang w:val="en-GB"/>
        </w:rPr>
        <w:t>For readers unfamiliar with Belgium and the Netherlands: listed below are all the organisations featured on the game board, organised by world and by layer. First, their public or private-law function, then their specific role in this case.</w:t>
      </w:r>
    </w:p>
    <w:tbl>
      <w:tblPr>
        <w:tblW w:w="5000" w:type="pct"/>
        <w:tblCellMar>
          <w:top w:w="15" w:type="dxa"/>
          <w:left w:w="15" w:type="dxa"/>
          <w:bottom w:w="15" w:type="dxa"/>
          <w:right w:w="15" w:type="dxa"/>
        </w:tblCellMar>
        <w:tblLook w:val="04A0" w:firstRow="1" w:lastRow="0" w:firstColumn="1" w:lastColumn="0" w:noHBand="0" w:noVBand="1"/>
      </w:tblPr>
      <w:tblGrid>
        <w:gridCol w:w="9019"/>
      </w:tblGrid>
      <w:tr w:rsidR="00000000" w14:paraId="28CCE77D" w14:textId="77777777">
        <w:trPr>
          <w:divId w:val="953290302"/>
        </w:trPr>
        <w:tc>
          <w:tcPr>
            <w:tcW w:w="0" w:type="auto"/>
            <w:tcBorders>
              <w:top w:val="single" w:sz="6" w:space="0" w:color="D5D0C5"/>
              <w:left w:val="single" w:sz="36" w:space="0" w:color="8B1E1E"/>
              <w:bottom w:val="single" w:sz="6" w:space="0" w:color="D5D0C5"/>
              <w:right w:val="single" w:sz="6" w:space="0" w:color="D5D0C5"/>
            </w:tcBorders>
            <w:shd w:val="clear" w:color="auto" w:fill="F7EDED"/>
            <w:tcMar>
              <w:top w:w="160" w:type="dxa"/>
              <w:left w:w="240" w:type="dxa"/>
              <w:bottom w:w="160" w:type="dxa"/>
              <w:right w:w="240" w:type="dxa"/>
            </w:tcMar>
            <w:hideMark/>
          </w:tcPr>
          <w:p w14:paraId="0D419A66" w14:textId="77777777" w:rsidR="009650FE" w:rsidRDefault="009650FE">
            <w:pPr>
              <w:spacing w:before="240" w:after="240"/>
              <w:rPr>
                <w:rFonts w:eastAsia="Times New Roman"/>
                <w:sz w:val="21"/>
                <w:szCs w:val="21"/>
              </w:rPr>
            </w:pPr>
            <w:r>
              <w:rPr>
                <w:rStyle w:val="Zwaar"/>
                <w:rFonts w:eastAsia="Times New Roman"/>
                <w:sz w:val="21"/>
                <w:szCs w:val="21"/>
              </w:rPr>
              <w:t>WORLD BELGIUM</w:t>
            </w:r>
          </w:p>
        </w:tc>
      </w:tr>
    </w:tbl>
    <w:p w14:paraId="57D9753C" w14:textId="77777777" w:rsidR="009650FE" w:rsidRDefault="009650FE">
      <w:pPr>
        <w:pStyle w:val="Kop4"/>
        <w:divId w:val="953290302"/>
        <w:rPr>
          <w:rFonts w:eastAsia="Times New Roman"/>
          <w:lang w:val="en-GB"/>
        </w:rPr>
      </w:pPr>
      <w:r>
        <w:rPr>
          <w:rFonts w:eastAsia="Times New Roman"/>
          <w:lang w:val="en-GB"/>
        </w:rPr>
        <w:t>Implementation</w:t>
      </w:r>
    </w:p>
    <w:p w14:paraId="4C735BEF" w14:textId="77777777" w:rsidR="009650FE" w:rsidRDefault="009650FE">
      <w:pPr>
        <w:divId w:val="465633380"/>
        <w:rPr>
          <w:rFonts w:eastAsia="Times New Roman"/>
          <w:lang w:val="en-GB"/>
        </w:rPr>
      </w:pPr>
      <w:r>
        <w:rPr>
          <w:rFonts w:eastAsia="Times New Roman"/>
          <w:b/>
          <w:bCs/>
          <w:color w:val="FFFFFF"/>
          <w:sz w:val="20"/>
          <w:szCs w:val="20"/>
          <w:shd w:val="clear" w:color="auto" w:fill="8B1E1E"/>
          <w:lang w:val="en-GB"/>
        </w:rPr>
        <w:t> 1 </w:t>
      </w:r>
      <w:r>
        <w:rPr>
          <w:rFonts w:eastAsia="Times New Roman"/>
          <w:lang w:val="en-GB"/>
        </w:rPr>
        <w:t xml:space="preserve"> </w:t>
      </w:r>
      <w:r>
        <w:rPr>
          <w:rStyle w:val="actor-naam1"/>
          <w:rFonts w:eastAsia="Times New Roman"/>
          <w:lang w:val="en-GB"/>
        </w:rPr>
        <w:t>Christian Health Insurance Fund (CM)</w:t>
      </w:r>
      <w:r>
        <w:rPr>
          <w:rFonts w:eastAsia="Times New Roman"/>
          <w:lang w:val="en-GB"/>
        </w:rPr>
        <w:br/>
      </w:r>
      <w:r>
        <w:rPr>
          <w:rFonts w:eastAsia="Times New Roman"/>
          <w:lang w:val="en-GB"/>
        </w:rPr>
        <w:t>Belgium’s largest health insurance fund; a private-law association with a statutory public mandate to administer compulsory sickness and disability insurance and to pay out income replacement benefits.</w:t>
      </w:r>
      <w:r>
        <w:rPr>
          <w:rFonts w:eastAsia="Times New Roman"/>
          <w:lang w:val="en-GB"/>
        </w:rPr>
        <w:br/>
      </w:r>
      <w:r>
        <w:rPr>
          <w:rStyle w:val="actor-rol1"/>
          <w:rFonts w:eastAsia="Times New Roman"/>
          <w:lang w:val="en-GB"/>
        </w:rPr>
        <w:t>Role in this case:</w:t>
      </w:r>
      <w:r>
        <w:rPr>
          <w:rFonts w:eastAsia="Times New Roman"/>
          <w:lang w:val="en-GB"/>
        </w:rPr>
        <w:t xml:space="preserve"> Primary gatekeeper for sickness benefits, medical expenses and the S072 agreement form. Blocks or delays the processing of claims as soon as the insured person resides in the Netherlands. </w:t>
      </w:r>
    </w:p>
    <w:p w14:paraId="009AB133" w14:textId="77777777" w:rsidR="009650FE" w:rsidRDefault="009650FE">
      <w:pPr>
        <w:divId w:val="1947345948"/>
        <w:rPr>
          <w:rFonts w:eastAsia="Times New Roman"/>
          <w:lang w:val="en-GB"/>
        </w:rPr>
      </w:pPr>
      <w:r>
        <w:rPr>
          <w:rFonts w:eastAsia="Times New Roman"/>
          <w:b/>
          <w:bCs/>
          <w:color w:val="FFFFFF"/>
          <w:sz w:val="20"/>
          <w:szCs w:val="20"/>
          <w:shd w:val="clear" w:color="auto" w:fill="8B1E1E"/>
          <w:lang w:val="en-GB"/>
        </w:rPr>
        <w:t> 2 </w:t>
      </w:r>
      <w:r>
        <w:rPr>
          <w:rFonts w:eastAsia="Times New Roman"/>
          <w:lang w:val="en-GB"/>
        </w:rPr>
        <w:t xml:space="preserve"> </w:t>
      </w:r>
      <w:r>
        <w:rPr>
          <w:rStyle w:val="actor-naam1"/>
          <w:rFonts w:eastAsia="Times New Roman"/>
          <w:lang w:val="en-GB"/>
        </w:rPr>
        <w:t>Vitaz</w:t>
      </w:r>
      <w:r>
        <w:rPr>
          <w:rFonts w:eastAsia="Times New Roman"/>
          <w:lang w:val="en-GB"/>
        </w:rPr>
        <w:br/>
      </w:r>
      <w:r>
        <w:rPr>
          <w:rFonts w:eastAsia="Times New Roman"/>
          <w:b/>
          <w:bCs/>
          <w:color w:val="FFFFFF"/>
          <w:sz w:val="20"/>
          <w:szCs w:val="20"/>
          <w:shd w:val="clear" w:color="auto" w:fill="8B1E1E"/>
          <w:lang w:val="en-GB"/>
        </w:rPr>
        <w:t> : </w:t>
      </w:r>
      <w:r>
        <w:rPr>
          <w:rFonts w:eastAsia="Times New Roman"/>
          <w:lang w:val="en-GB"/>
        </w:rPr>
        <w:t xml:space="preserve"> A general secondary care hospital in the Waasland region, close to the Dutch-Belgian border.</w:t>
      </w:r>
      <w:r>
        <w:rPr>
          <w:rFonts w:eastAsia="Times New Roman"/>
          <w:lang w:val="en-GB"/>
        </w:rPr>
        <w:br/>
      </w:r>
      <w:r>
        <w:rPr>
          <w:rStyle w:val="actor-rol1"/>
          <w:rFonts w:eastAsia="Times New Roman"/>
          <w:lang w:val="en-GB"/>
        </w:rPr>
        <w:t>Role in this case:</w:t>
      </w:r>
      <w:r>
        <w:rPr>
          <w:rFonts w:eastAsia="Times New Roman"/>
          <w:lang w:val="en-GB"/>
        </w:rPr>
        <w:t xml:space="preserve"> The first medical point of contact in the case. Provides acute care but does not produce administrative documentation. Clinical data remains locked within its own system. </w:t>
      </w:r>
    </w:p>
    <w:p w14:paraId="498CAF0B" w14:textId="77777777" w:rsidR="009650FE" w:rsidRDefault="009650FE">
      <w:pPr>
        <w:divId w:val="1542016430"/>
        <w:rPr>
          <w:rFonts w:eastAsia="Times New Roman"/>
          <w:lang w:val="en-GB"/>
        </w:rPr>
      </w:pPr>
      <w:r>
        <w:rPr>
          <w:rFonts w:eastAsia="Times New Roman"/>
          <w:b/>
          <w:bCs/>
          <w:color w:val="FFFFFF"/>
          <w:sz w:val="20"/>
          <w:szCs w:val="20"/>
          <w:shd w:val="clear" w:color="auto" w:fill="8B1E1E"/>
          <w:lang w:val="en-GB"/>
        </w:rPr>
        <w:t> 3 </w:t>
      </w:r>
      <w:r>
        <w:rPr>
          <w:rFonts w:eastAsia="Times New Roman"/>
          <w:lang w:val="en-GB"/>
        </w:rPr>
        <w:t xml:space="preserve"> </w:t>
      </w:r>
      <w:r>
        <w:rPr>
          <w:rStyle w:val="actor-naam1"/>
          <w:rFonts w:eastAsia="Times New Roman"/>
          <w:lang w:val="en-GB"/>
        </w:rPr>
        <w:t>Ghent University Hospital (UZ Gent)</w:t>
      </w:r>
      <w:r>
        <w:rPr>
          <w:rFonts w:eastAsia="Times New Roman"/>
          <w:lang w:val="en-GB"/>
        </w:rPr>
        <w:br/>
        <w:t>An academic tertiary care hospital specialising in highly specialised and complex diagnostics and treatment.</w:t>
      </w:r>
      <w:r>
        <w:rPr>
          <w:rFonts w:eastAsia="Times New Roman"/>
          <w:lang w:val="en-GB"/>
        </w:rPr>
        <w:br/>
      </w:r>
      <w:r>
        <w:rPr>
          <w:rStyle w:val="actor-rol1"/>
          <w:rFonts w:eastAsia="Times New Roman"/>
          <w:lang w:val="en-GB"/>
        </w:rPr>
        <w:t>Role in this case:</w:t>
      </w:r>
      <w:r>
        <w:rPr>
          <w:rFonts w:eastAsia="Times New Roman"/>
          <w:lang w:val="en-GB"/>
        </w:rPr>
        <w:t xml:space="preserve"> Academic coordination. It does, however, provide the administrative translation that primary care providers refuse to provide, and publishes via the eHealth network. </w:t>
      </w:r>
    </w:p>
    <w:p w14:paraId="352417B5" w14:textId="77777777" w:rsidR="009650FE" w:rsidRDefault="009650FE">
      <w:pPr>
        <w:divId w:val="917861516"/>
        <w:rPr>
          <w:rFonts w:eastAsia="Times New Roman"/>
          <w:lang w:val="en-GB"/>
        </w:rPr>
      </w:pPr>
      <w:r>
        <w:rPr>
          <w:rFonts w:eastAsia="Times New Roman"/>
          <w:b/>
          <w:bCs/>
          <w:color w:val="FFFFFF"/>
          <w:sz w:val="20"/>
          <w:szCs w:val="20"/>
          <w:shd w:val="clear" w:color="auto" w:fill="8B1E1E"/>
          <w:lang w:val="en-GB"/>
        </w:rPr>
        <w:t> 4 </w:t>
      </w:r>
      <w:r>
        <w:rPr>
          <w:rFonts w:eastAsia="Times New Roman"/>
          <w:lang w:val="en-GB"/>
        </w:rPr>
        <w:t xml:space="preserve"> </w:t>
      </w:r>
      <w:r>
        <w:rPr>
          <w:rStyle w:val="actor-naam1"/>
          <w:rFonts w:eastAsia="Times New Roman"/>
          <w:lang w:val="en-GB"/>
        </w:rPr>
        <w:t>Ophthalmologists in Sint-Niklaas</w:t>
      </w:r>
      <w:r>
        <w:rPr>
          <w:rFonts w:eastAsia="Times New Roman"/>
          <w:lang w:val="en-GB"/>
        </w:rPr>
        <w:br/>
        <w:t>: A specialist private ophthalmology practice in Sint-Niklaas.</w:t>
      </w:r>
      <w:r>
        <w:rPr>
          <w:rFonts w:eastAsia="Times New Roman"/>
          <w:lang w:val="en-GB"/>
        </w:rPr>
        <w:br/>
      </w:r>
      <w:r>
        <w:rPr>
          <w:rStyle w:val="actor-rol1"/>
          <w:rFonts w:eastAsia="Times New Roman"/>
          <w:lang w:val="en-GB"/>
        </w:rPr>
        <w:t>Role in this case:</w:t>
      </w:r>
      <w:r>
        <w:rPr>
          <w:rFonts w:eastAsia="Times New Roman"/>
          <w:lang w:val="en-GB"/>
        </w:rPr>
        <w:t xml:space="preserve"> Carries out invasive treatments but records the forced discontinuation as patient refusal. No link to any eHealth platform. </w:t>
      </w:r>
    </w:p>
    <w:p w14:paraId="44AE5079" w14:textId="77777777" w:rsidR="009650FE" w:rsidRDefault="009650FE">
      <w:pPr>
        <w:divId w:val="1312099023"/>
        <w:rPr>
          <w:rFonts w:eastAsia="Times New Roman"/>
          <w:lang w:val="en-GB"/>
        </w:rPr>
      </w:pPr>
      <w:r>
        <w:rPr>
          <w:rFonts w:eastAsia="Times New Roman"/>
          <w:b/>
          <w:bCs/>
          <w:color w:val="FFFFFF"/>
          <w:sz w:val="20"/>
          <w:szCs w:val="20"/>
          <w:shd w:val="clear" w:color="auto" w:fill="8B1E1E"/>
          <w:lang w:val="en-GB"/>
        </w:rPr>
        <w:t> 5 </w:t>
      </w:r>
      <w:r>
        <w:rPr>
          <w:rFonts w:eastAsia="Times New Roman"/>
          <w:lang w:val="en-GB"/>
        </w:rPr>
        <w:t xml:space="preserve"> </w:t>
      </w:r>
      <w:r>
        <w:rPr>
          <w:rStyle w:val="actor-naam1"/>
          <w:rFonts w:eastAsia="Times New Roman"/>
          <w:lang w:val="en-GB"/>
        </w:rPr>
        <w:t>Ter Vierschaar</w:t>
      </w:r>
      <w:r>
        <w:rPr>
          <w:rFonts w:eastAsia="Times New Roman"/>
          <w:lang w:val="en-GB"/>
        </w:rPr>
        <w:br/>
      </w:r>
      <w:r>
        <w:rPr>
          <w:rStyle w:val="actor-naam1"/>
          <w:rFonts w:eastAsia="Times New Roman"/>
          <w:lang w:val="en-GB"/>
        </w:rPr>
        <w:t>GP Practice</w:t>
      </w:r>
      <w:r>
        <w:rPr>
          <w:rFonts w:eastAsia="Times New Roman"/>
          <w:lang w:val="en-GB"/>
        </w:rPr>
        <w:t xml:space="preserve"> : Primary care GP practice on the Belgian side.</w:t>
      </w:r>
      <w:r>
        <w:rPr>
          <w:rFonts w:eastAsia="Times New Roman"/>
          <w:lang w:val="en-GB"/>
        </w:rPr>
        <w:br/>
      </w:r>
      <w:r>
        <w:rPr>
          <w:rStyle w:val="actor-rol1"/>
          <w:rFonts w:eastAsia="Times New Roman"/>
          <w:lang w:val="en-GB"/>
        </w:rPr>
        <w:t>Role in this project:</w:t>
      </w:r>
      <w:r>
        <w:rPr>
          <w:rFonts w:eastAsia="Times New Roman"/>
          <w:lang w:val="en-GB"/>
        </w:rPr>
        <w:t xml:space="preserve"> Overall medical coordinator, involved from the outset. Handles the translation into the administrative systems of both countries. Operates via Vitalink and SumEHR. </w:t>
      </w:r>
    </w:p>
    <w:p w14:paraId="6E520400" w14:textId="77777777" w:rsidR="009650FE" w:rsidRDefault="009650FE">
      <w:pPr>
        <w:divId w:val="1123841220"/>
        <w:rPr>
          <w:rFonts w:eastAsia="Times New Roman"/>
          <w:lang w:val="en-GB"/>
        </w:rPr>
      </w:pPr>
      <w:r>
        <w:rPr>
          <w:rFonts w:eastAsia="Times New Roman"/>
          <w:b/>
          <w:bCs/>
          <w:color w:val="FFFFFF"/>
          <w:sz w:val="20"/>
          <w:szCs w:val="20"/>
          <w:shd w:val="clear" w:color="auto" w:fill="8B1E1E"/>
          <w:lang w:val="en-GB"/>
        </w:rPr>
        <w:t> 6 </w:t>
      </w:r>
      <w:r>
        <w:rPr>
          <w:rFonts w:eastAsia="Times New Roman"/>
          <w:lang w:val="en-GB"/>
        </w:rPr>
        <w:t xml:space="preserve"> </w:t>
      </w:r>
      <w:r>
        <w:rPr>
          <w:rStyle w:val="actor-naam1"/>
          <w:rFonts w:eastAsia="Times New Roman"/>
          <w:lang w:val="en-GB"/>
        </w:rPr>
        <w:t>Independent Experts BE</w:t>
      </w:r>
      <w:r>
        <w:rPr>
          <w:rFonts w:eastAsia="Times New Roman"/>
          <w:lang w:val="en-GB"/>
        </w:rPr>
        <w:br/>
      </w:r>
      <w:r>
        <w:rPr>
          <w:rStyle w:val="actor-naam1"/>
          <w:rFonts w:eastAsia="Times New Roman"/>
          <w:lang w:val="en-GB"/>
        </w:rPr>
        <w:t>:</w:t>
      </w:r>
      <w:r>
        <w:rPr>
          <w:rFonts w:eastAsia="Times New Roman"/>
          <w:lang w:val="en-GB"/>
        </w:rPr>
        <w:t xml:space="preserve"> Self-employed medical experts who assess medical injuries and degrees of disability on commission.</w:t>
      </w:r>
      <w:r>
        <w:rPr>
          <w:rFonts w:eastAsia="Times New Roman"/>
          <w:lang w:val="en-GB"/>
        </w:rPr>
        <w:br/>
      </w:r>
      <w:r>
        <w:rPr>
          <w:rStyle w:val="actor-rol1"/>
          <w:rFonts w:eastAsia="Times New Roman"/>
          <w:lang w:val="en-GB"/>
        </w:rPr>
        <w:t>Role in this case:</w:t>
      </w:r>
      <w:r>
        <w:rPr>
          <w:rFonts w:eastAsia="Times New Roman"/>
          <w:lang w:val="en-GB"/>
        </w:rPr>
        <w:t xml:space="preserve"> Complete silence. Not a single expert contacted has responded to requests for an independent assessment. </w:t>
      </w:r>
    </w:p>
    <w:p w14:paraId="5B70703B" w14:textId="77777777" w:rsidR="009650FE" w:rsidRDefault="009650FE">
      <w:pPr>
        <w:divId w:val="818621337"/>
        <w:rPr>
          <w:rFonts w:eastAsia="Times New Roman"/>
          <w:lang w:val="en-GB"/>
        </w:rPr>
      </w:pPr>
      <w:r>
        <w:rPr>
          <w:rFonts w:eastAsia="Times New Roman"/>
          <w:b/>
          <w:bCs/>
          <w:color w:val="FFFFFF"/>
          <w:sz w:val="20"/>
          <w:szCs w:val="20"/>
          <w:shd w:val="clear" w:color="auto" w:fill="8B1E1E"/>
          <w:lang w:val="en-GB"/>
        </w:rPr>
        <w:t> 7 </w:t>
      </w:r>
      <w:r>
        <w:rPr>
          <w:rFonts w:eastAsia="Times New Roman"/>
          <w:lang w:val="en-GB"/>
        </w:rPr>
        <w:t xml:space="preserve"> </w:t>
      </w:r>
      <w:r>
        <w:rPr>
          <w:rStyle w:val="actor-naam1"/>
          <w:rFonts w:eastAsia="Times New Roman"/>
          <w:lang w:val="en-GB"/>
        </w:rPr>
        <w:t>Vertico Business Solutions</w:t>
      </w:r>
      <w:r>
        <w:rPr>
          <w:rFonts w:eastAsia="Times New Roman"/>
          <w:lang w:val="en-GB"/>
        </w:rPr>
        <w:br/>
        <w:t>: a Belgian private-sector employer.</w:t>
      </w:r>
      <w:r>
        <w:rPr>
          <w:rFonts w:eastAsia="Times New Roman"/>
          <w:lang w:val="en-GB"/>
        </w:rPr>
        <w:br/>
      </w:r>
      <w:r>
        <w:rPr>
          <w:rStyle w:val="actor-rol1"/>
          <w:rFonts w:eastAsia="Times New Roman"/>
          <w:lang w:val="en-GB"/>
        </w:rPr>
        <w:t>Role in this case:</w:t>
      </w:r>
      <w:r>
        <w:rPr>
          <w:rFonts w:eastAsia="Times New Roman"/>
          <w:lang w:val="en-GB"/>
        </w:rPr>
        <w:t xml:space="preserve"> correctly implements the statutory continued payment of wages. Submits employment certificates on time. The friction only begins when the case is handed over to the public authorities. </w:t>
      </w:r>
    </w:p>
    <w:p w14:paraId="038E6792" w14:textId="77777777" w:rsidR="009650FE" w:rsidRDefault="009650FE">
      <w:pPr>
        <w:divId w:val="689721260"/>
        <w:rPr>
          <w:rFonts w:eastAsia="Times New Roman"/>
          <w:lang w:val="en-GB"/>
        </w:rPr>
      </w:pPr>
      <w:r>
        <w:rPr>
          <w:rFonts w:eastAsia="Times New Roman"/>
          <w:b/>
          <w:bCs/>
          <w:color w:val="FFFFFF"/>
          <w:sz w:val="20"/>
          <w:szCs w:val="20"/>
          <w:shd w:val="clear" w:color="auto" w:fill="8B1E1E"/>
          <w:lang w:val="en-GB"/>
        </w:rPr>
        <w:t> 8 </w:t>
      </w:r>
      <w:r>
        <w:rPr>
          <w:rFonts w:eastAsia="Times New Roman"/>
          <w:lang w:val="en-GB"/>
        </w:rPr>
        <w:t xml:space="preserve"> </w:t>
      </w:r>
      <w:r>
        <w:rPr>
          <w:rStyle w:val="actor-naam1"/>
          <w:rFonts w:eastAsia="Times New Roman"/>
          <w:lang w:val="en-GB"/>
        </w:rPr>
        <w:t>FPS Social Security — DG for People with Disabilities (DG HAN)</w:t>
      </w:r>
      <w:r>
        <w:rPr>
          <w:rFonts w:eastAsia="Times New Roman"/>
          <w:lang w:val="en-GB"/>
        </w:rPr>
        <w:br/>
        <w:t>The Belgian federal ministry responsible for medically assessing the severity of a disability and issuing official certificates of recognition.</w:t>
      </w:r>
      <w:r>
        <w:rPr>
          <w:rFonts w:eastAsia="Times New Roman"/>
          <w:lang w:val="en-GB"/>
        </w:rPr>
        <w:br/>
      </w:r>
      <w:r>
        <w:rPr>
          <w:rStyle w:val="actor-rol1"/>
          <w:rFonts w:eastAsia="Times New Roman"/>
          <w:lang w:val="en-GB"/>
        </w:rPr>
        <w:t>Role in this case:</w:t>
      </w:r>
      <w:r>
        <w:rPr>
          <w:rFonts w:eastAsia="Times New Roman"/>
          <w:lang w:val="en-GB"/>
        </w:rPr>
        <w:t xml:space="preserve"> Formally recognises the medical limitations, but makes recognition conditional upon residence within Belgium. It even refuses to grant purely medical recognition for tax purposes if the citizen resides in the Netherlands. </w:t>
      </w:r>
    </w:p>
    <w:p w14:paraId="0928013E" w14:textId="77777777" w:rsidR="009650FE" w:rsidRDefault="009650FE">
      <w:pPr>
        <w:divId w:val="335961221"/>
        <w:rPr>
          <w:rFonts w:eastAsia="Times New Roman"/>
          <w:lang w:val="en-GB"/>
        </w:rPr>
      </w:pPr>
      <w:r>
        <w:rPr>
          <w:rFonts w:eastAsia="Times New Roman"/>
          <w:b/>
          <w:bCs/>
          <w:color w:val="FFFFFF"/>
          <w:sz w:val="20"/>
          <w:szCs w:val="20"/>
          <w:shd w:val="clear" w:color="auto" w:fill="8B1E1E"/>
          <w:lang w:val="en-GB"/>
        </w:rPr>
        <w:t> 9 </w:t>
      </w:r>
      <w:r>
        <w:rPr>
          <w:rFonts w:eastAsia="Times New Roman"/>
          <w:lang w:val="en-GB"/>
        </w:rPr>
        <w:t xml:space="preserve"> </w:t>
      </w:r>
      <w:r>
        <w:rPr>
          <w:rStyle w:val="actor-naam1"/>
          <w:rFonts w:eastAsia="Times New Roman"/>
          <w:lang w:val="en-GB"/>
        </w:rPr>
        <w:t>FPS Finance</w:t>
      </w:r>
      <w:r>
        <w:rPr>
          <w:rFonts w:eastAsia="Times New Roman"/>
          <w:lang w:val="en-GB"/>
        </w:rPr>
        <w:br/>
        <w:t>: The Belgian national tax administration.</w:t>
      </w:r>
      <w:r>
        <w:rPr>
          <w:rFonts w:eastAsia="Times New Roman"/>
          <w:lang w:val="en-GB"/>
        </w:rPr>
        <w:br/>
      </w:r>
      <w:r>
        <w:rPr>
          <w:rStyle w:val="actor-rol1"/>
          <w:rFonts w:eastAsia="Times New Roman"/>
          <w:lang w:val="en-GB"/>
        </w:rPr>
        <w:t>Role in this case:</w:t>
      </w:r>
      <w:r>
        <w:rPr>
          <w:rFonts w:eastAsia="Times New Roman"/>
          <w:lang w:val="en-GB"/>
        </w:rPr>
        <w:t xml:space="preserve"> Automatically exchanges income data with the Netherlands via the EU Green Channel, but decides independently on tax exemptions and requires a certificate from DG HAN, which this body does not provide in this case. It then raises the threshold (9 points) above the level granted by DG HAN (8 points). </w:t>
      </w:r>
    </w:p>
    <w:p w14:paraId="5EC459A6" w14:textId="77777777" w:rsidR="009650FE" w:rsidRDefault="009650FE">
      <w:pPr>
        <w:divId w:val="172646134"/>
        <w:rPr>
          <w:rFonts w:eastAsia="Times New Roman"/>
          <w:lang w:val="en-GB"/>
        </w:rPr>
      </w:pPr>
      <w:r>
        <w:rPr>
          <w:rFonts w:eastAsia="Times New Roman"/>
          <w:b/>
          <w:bCs/>
          <w:color w:val="FFFFFF"/>
          <w:sz w:val="20"/>
          <w:szCs w:val="20"/>
          <w:shd w:val="clear" w:color="auto" w:fill="8B1E1E"/>
          <w:lang w:val="en-GB"/>
        </w:rPr>
        <w:t> 10 </w:t>
      </w:r>
      <w:r>
        <w:rPr>
          <w:rFonts w:eastAsia="Times New Roman"/>
          <w:lang w:val="en-GB"/>
        </w:rPr>
        <w:t xml:space="preserve"> </w:t>
      </w:r>
      <w:r>
        <w:rPr>
          <w:rStyle w:val="actor-naam1"/>
          <w:rFonts w:eastAsia="Times New Roman"/>
          <w:lang w:val="en-GB"/>
        </w:rPr>
        <w:t>NEO</w:t>
      </w:r>
      <w:r>
        <w:rPr>
          <w:rFonts w:eastAsia="Times New Roman"/>
          <w:lang w:val="en-GB"/>
        </w:rPr>
        <w:br/>
        <w:t>The Belgian federal body that regulates unemployment insurance and issues European career certificates (PD U1).</w:t>
      </w:r>
      <w:r>
        <w:rPr>
          <w:rFonts w:eastAsia="Times New Roman"/>
          <w:lang w:val="en-GB"/>
        </w:rPr>
        <w:br/>
      </w:r>
      <w:r>
        <w:rPr>
          <w:rStyle w:val="actor-rol1"/>
          <w:rFonts w:eastAsia="Times New Roman"/>
          <w:lang w:val="en-GB"/>
        </w:rPr>
        <w:t>Role in this case:</w:t>
      </w:r>
      <w:r>
        <w:rPr>
          <w:rFonts w:eastAsia="Times New Roman"/>
          <w:lang w:val="en-GB"/>
        </w:rPr>
        <w:t xml:space="preserve"> Refuses to integrate foreign employment records into its own system. For teaching careers, it requires a C4 form which does not legally exist under that status. </w:t>
      </w:r>
    </w:p>
    <w:p w14:paraId="2DB02300" w14:textId="77777777" w:rsidR="009650FE" w:rsidRDefault="009650FE">
      <w:pPr>
        <w:divId w:val="710374339"/>
        <w:rPr>
          <w:rFonts w:eastAsia="Times New Roman"/>
          <w:lang w:val="en-GB"/>
        </w:rPr>
      </w:pPr>
      <w:r>
        <w:rPr>
          <w:rFonts w:eastAsia="Times New Roman"/>
          <w:b/>
          <w:bCs/>
          <w:color w:val="FFFFFF"/>
          <w:sz w:val="20"/>
          <w:szCs w:val="20"/>
          <w:shd w:val="clear" w:color="auto" w:fill="8B1E1E"/>
          <w:lang w:val="en-GB"/>
        </w:rPr>
        <w:t> 11 </w:t>
      </w:r>
      <w:r>
        <w:rPr>
          <w:rFonts w:eastAsia="Times New Roman"/>
          <w:lang w:val="en-GB"/>
        </w:rPr>
        <w:t xml:space="preserve"> </w:t>
      </w:r>
      <w:r>
        <w:rPr>
          <w:rStyle w:val="actor-naam1"/>
          <w:rFonts w:eastAsia="Times New Roman"/>
          <w:lang w:val="en-GB"/>
        </w:rPr>
        <w:t>Parentia</w:t>
      </w:r>
      <w:r>
        <w:rPr>
          <w:rFonts w:eastAsia="Times New Roman"/>
          <w:lang w:val="en-GB"/>
        </w:rPr>
        <w:br/>
      </w:r>
      <w:r>
        <w:rPr>
          <w:rStyle w:val="actor-naam1"/>
          <w:rFonts w:eastAsia="Times New Roman"/>
          <w:lang w:val="en-GB"/>
        </w:rPr>
        <w:t>:</w:t>
      </w:r>
      <w:r>
        <w:rPr>
          <w:rFonts w:eastAsia="Times New Roman"/>
          <w:lang w:val="en-GB"/>
        </w:rPr>
        <w:t xml:space="preserve"> An accredited Belgian paying agency for family allowances and the Flemish Growth Package.</w:t>
      </w:r>
      <w:r>
        <w:rPr>
          <w:rFonts w:eastAsia="Times New Roman"/>
          <w:lang w:val="en-GB"/>
        </w:rPr>
        <w:br/>
      </w:r>
      <w:r>
        <w:rPr>
          <w:rStyle w:val="actor-rol1"/>
          <w:rFonts w:eastAsia="Times New Roman"/>
          <w:lang w:val="en-GB"/>
        </w:rPr>
        <w:t>Role in this case:</w:t>
      </w:r>
      <w:r>
        <w:rPr>
          <w:rFonts w:eastAsia="Times New Roman"/>
          <w:lang w:val="en-GB"/>
        </w:rPr>
        <w:t xml:space="preserve"> Retrieves income data via the Crossroads Bank (KSZ) and is therefore entirely dependent on the information provided by the health insurance fund (CM). If the CM fails to record sickness status, the social allowance is suspended. </w:t>
      </w:r>
    </w:p>
    <w:p w14:paraId="593B8DD7" w14:textId="77777777" w:rsidR="009650FE" w:rsidRDefault="009650FE">
      <w:pPr>
        <w:divId w:val="876165644"/>
        <w:rPr>
          <w:rFonts w:eastAsia="Times New Roman"/>
          <w:lang w:val="en-GB"/>
        </w:rPr>
      </w:pPr>
      <w:r>
        <w:rPr>
          <w:rFonts w:eastAsia="Times New Roman"/>
          <w:b/>
          <w:bCs/>
          <w:color w:val="FFFFFF"/>
          <w:sz w:val="20"/>
          <w:szCs w:val="20"/>
          <w:shd w:val="clear" w:color="auto" w:fill="8B1E1E"/>
          <w:lang w:val="en-GB"/>
        </w:rPr>
        <w:t> 12 </w:t>
      </w:r>
      <w:r>
        <w:rPr>
          <w:rFonts w:eastAsia="Times New Roman"/>
          <w:lang w:val="en-GB"/>
        </w:rPr>
        <w:t xml:space="preserve"> </w:t>
      </w:r>
      <w:r>
        <w:rPr>
          <w:rStyle w:val="actor-naam1"/>
          <w:rFonts w:eastAsia="Times New Roman"/>
          <w:lang w:val="en-GB"/>
        </w:rPr>
        <w:t>Agency for Educational Services (AGODI)</w:t>
      </w:r>
      <w:r>
        <w:rPr>
          <w:rFonts w:eastAsia="Times New Roman"/>
          <w:lang w:val="en-GB"/>
        </w:rPr>
        <w:br/>
        <w:t>An executive agency of the Flemish Ministry of Education responsible for the payroll administration of teaching staff.</w:t>
      </w:r>
      <w:r>
        <w:rPr>
          <w:rFonts w:eastAsia="Times New Roman"/>
          <w:lang w:val="en-GB"/>
        </w:rPr>
        <w:br/>
      </w:r>
      <w:r>
        <w:rPr>
          <w:rStyle w:val="actor-rol1"/>
          <w:rFonts w:eastAsia="Times New Roman"/>
          <w:lang w:val="en-GB"/>
        </w:rPr>
        <w:t>Role in this case:</w:t>
      </w:r>
      <w:r>
        <w:rPr>
          <w:rFonts w:eastAsia="Times New Roman"/>
          <w:lang w:val="en-GB"/>
        </w:rPr>
        <w:t xml:space="preserve"> Withholds income tax at source for the mother, but refuses to make retroactive tax adjustments on the basis of a federal disability certificate. Hides behind the school secretariat and the federal tax authorities. </w:t>
      </w:r>
    </w:p>
    <w:p w14:paraId="5CBD5EF3" w14:textId="77777777" w:rsidR="009650FE" w:rsidRDefault="009650FE">
      <w:pPr>
        <w:divId w:val="1706254856"/>
        <w:rPr>
          <w:rFonts w:eastAsia="Times New Roman"/>
          <w:lang w:val="en-GB"/>
        </w:rPr>
      </w:pPr>
      <w:r>
        <w:rPr>
          <w:rFonts w:eastAsia="Times New Roman"/>
          <w:b/>
          <w:bCs/>
          <w:color w:val="FFFFFF"/>
          <w:sz w:val="20"/>
          <w:szCs w:val="20"/>
          <w:shd w:val="clear" w:color="auto" w:fill="8B1E1E"/>
          <w:lang w:val="en-GB"/>
        </w:rPr>
        <w:t> 13 </w:t>
      </w:r>
      <w:r>
        <w:rPr>
          <w:rFonts w:eastAsia="Times New Roman"/>
          <w:lang w:val="en-GB"/>
        </w:rPr>
        <w:t xml:space="preserve"> </w:t>
      </w:r>
      <w:r>
        <w:rPr>
          <w:rStyle w:val="actor-naam1"/>
          <w:rFonts w:eastAsia="Times New Roman"/>
          <w:lang w:val="en-GB"/>
        </w:rPr>
        <w:t>General Christian Trade Union (ACV)</w:t>
      </w:r>
      <w:r>
        <w:rPr>
          <w:rFonts w:eastAsia="Times New Roman"/>
          <w:lang w:val="en-GB"/>
        </w:rPr>
        <w:br/>
        <w:t>Belgium’s largest trade union, which also acts as a paying agency and provider of social assistance.</w:t>
      </w:r>
      <w:r>
        <w:rPr>
          <w:rFonts w:eastAsia="Times New Roman"/>
          <w:lang w:val="en-GB"/>
        </w:rPr>
        <w:br/>
      </w:r>
      <w:r>
        <w:rPr>
          <w:rStyle w:val="actor-rol1"/>
          <w:rFonts w:eastAsia="Times New Roman"/>
          <w:lang w:val="en-GB"/>
        </w:rPr>
        <w:t>Role in this case:</w:t>
      </w:r>
      <w:r>
        <w:rPr>
          <w:rFonts w:eastAsia="Times New Roman"/>
          <w:lang w:val="en-GB"/>
        </w:rPr>
        <w:t xml:space="preserve"> Fully acknowledges the systemic error but refuses to take legal action against the CM if the patient does not hold a membership number. Solidarity stops at the individual membership threshold. </w:t>
      </w:r>
    </w:p>
    <w:p w14:paraId="67F0750E" w14:textId="77777777" w:rsidR="009650FE" w:rsidRDefault="009650FE">
      <w:pPr>
        <w:pStyle w:val="Kop4"/>
        <w:divId w:val="953290302"/>
        <w:rPr>
          <w:rFonts w:eastAsia="Times New Roman"/>
          <w:lang w:val="en-GB"/>
        </w:rPr>
      </w:pPr>
      <w:r>
        <w:rPr>
          <w:rFonts w:eastAsia="Times New Roman"/>
          <w:lang w:val="en-GB"/>
        </w:rPr>
        <w:t>Supervision</w:t>
      </w:r>
    </w:p>
    <w:p w14:paraId="0EC77FB1" w14:textId="77777777" w:rsidR="009650FE" w:rsidRDefault="009650FE">
      <w:pPr>
        <w:divId w:val="2128816504"/>
        <w:rPr>
          <w:rFonts w:eastAsia="Times New Roman"/>
          <w:lang w:val="en-GB"/>
        </w:rPr>
      </w:pPr>
      <w:r>
        <w:rPr>
          <w:rFonts w:eastAsia="Times New Roman"/>
          <w:b/>
          <w:bCs/>
          <w:color w:val="FFFFFF"/>
          <w:sz w:val="20"/>
          <w:szCs w:val="20"/>
          <w:shd w:val="clear" w:color="auto" w:fill="8B1E1E"/>
          <w:lang w:val="en-GB"/>
        </w:rPr>
        <w:t> 14 </w:t>
      </w:r>
      <w:r>
        <w:rPr>
          <w:rFonts w:eastAsia="Times New Roman"/>
          <w:lang w:val="en-GB"/>
        </w:rPr>
        <w:t xml:space="preserve"> </w:t>
      </w:r>
      <w:r>
        <w:rPr>
          <w:rStyle w:val="actor-naam1"/>
          <w:rFonts w:eastAsia="Times New Roman"/>
          <w:lang w:val="en-GB"/>
        </w:rPr>
        <w:t>NIHDI</w:t>
      </w:r>
      <w:r>
        <w:rPr>
          <w:rFonts w:eastAsia="Times New Roman"/>
          <w:lang w:val="en-GB"/>
        </w:rPr>
        <w:t xml:space="preserve"> </w:t>
      </w:r>
      <w:r>
        <w:rPr>
          <w:rFonts w:eastAsia="Times New Roman"/>
          <w:lang w:val="en-GB"/>
        </w:rPr>
        <w:br/>
        <w:t>The central federal body that administers and funds compulsory health and disability insurance.</w:t>
      </w:r>
      <w:r>
        <w:rPr>
          <w:rFonts w:eastAsia="Times New Roman"/>
          <w:lang w:val="en-GB"/>
        </w:rPr>
        <w:br/>
      </w:r>
      <w:r>
        <w:rPr>
          <w:rStyle w:val="actor-rol1"/>
          <w:rFonts w:eastAsia="Times New Roman"/>
          <w:lang w:val="en-GB"/>
        </w:rPr>
        <w:t>Role in this case:</w:t>
      </w:r>
      <w:r>
        <w:rPr>
          <w:rFonts w:eastAsia="Times New Roman"/>
          <w:lang w:val="en-GB"/>
        </w:rPr>
        <w:t xml:space="preserve"> Confirms in writing that medical recognition is separate from the right to financial benefits, but refuses to intervene in individual cases to overturn decisions made by the health insurance fund. </w:t>
      </w:r>
    </w:p>
    <w:p w14:paraId="167A6878" w14:textId="77777777" w:rsidR="009650FE" w:rsidRDefault="009650FE">
      <w:pPr>
        <w:divId w:val="1648431852"/>
        <w:rPr>
          <w:rFonts w:eastAsia="Times New Roman"/>
          <w:lang w:val="en-GB"/>
        </w:rPr>
      </w:pPr>
      <w:r>
        <w:rPr>
          <w:rFonts w:eastAsia="Times New Roman"/>
          <w:b/>
          <w:bCs/>
          <w:color w:val="FFFFFF"/>
          <w:sz w:val="20"/>
          <w:szCs w:val="20"/>
          <w:shd w:val="clear" w:color="auto" w:fill="8B1E1E"/>
          <w:lang w:val="en-GB"/>
        </w:rPr>
        <w:t> 15 </w:t>
      </w:r>
      <w:r>
        <w:rPr>
          <w:rFonts w:eastAsia="Times New Roman"/>
          <w:lang w:val="en-GB"/>
        </w:rPr>
        <w:t xml:space="preserve"> </w:t>
      </w:r>
      <w:r>
        <w:rPr>
          <w:rStyle w:val="actor-naam1"/>
          <w:rFonts w:eastAsia="Times New Roman"/>
          <w:lang w:val="en-GB"/>
        </w:rPr>
        <w:t>Health Insurance Funds Supervisory Authority (CDZ)</w:t>
      </w:r>
      <w:r>
        <w:rPr>
          <w:rFonts w:eastAsia="Times New Roman"/>
          <w:lang w:val="en-GB"/>
        </w:rPr>
        <w:br/>
        <w:t>Federal supervisory authority for health insurance funds.</w:t>
      </w:r>
      <w:r>
        <w:rPr>
          <w:rFonts w:eastAsia="Times New Roman"/>
          <w:lang w:val="en-GB"/>
        </w:rPr>
        <w:br/>
      </w:r>
      <w:r>
        <w:rPr>
          <w:rStyle w:val="actor-rol1"/>
          <w:rFonts w:eastAsia="Times New Roman"/>
          <w:lang w:val="en-GB"/>
        </w:rPr>
        <w:t>Role in this case:</w:t>
      </w:r>
      <w:r>
        <w:rPr>
          <w:rFonts w:eastAsia="Times New Roman"/>
          <w:lang w:val="en-GB"/>
        </w:rPr>
        <w:t xml:space="preserve"> Declares that it has no jurisdiction over individual cases. Classifies a structural breach of EU law as an individual medical dispute and closes the case. </w:t>
      </w:r>
    </w:p>
    <w:p w14:paraId="71067BCA" w14:textId="77777777" w:rsidR="009650FE" w:rsidRDefault="009650FE">
      <w:pPr>
        <w:divId w:val="131100182"/>
        <w:rPr>
          <w:rFonts w:eastAsia="Times New Roman"/>
          <w:lang w:val="en-GB"/>
        </w:rPr>
      </w:pPr>
      <w:r>
        <w:rPr>
          <w:rFonts w:eastAsia="Times New Roman"/>
          <w:b/>
          <w:bCs/>
          <w:color w:val="FFFFFF"/>
          <w:sz w:val="20"/>
          <w:szCs w:val="20"/>
          <w:shd w:val="clear" w:color="auto" w:fill="8B1E1E"/>
          <w:lang w:val="en-GB"/>
        </w:rPr>
        <w:t> 16 </w:t>
      </w:r>
      <w:r>
        <w:rPr>
          <w:rFonts w:eastAsia="Times New Roman"/>
          <w:lang w:val="en-GB"/>
        </w:rPr>
        <w:t xml:space="preserve"> </w:t>
      </w:r>
      <w:r>
        <w:rPr>
          <w:rStyle w:val="actor-naam1"/>
          <w:rFonts w:eastAsia="Times New Roman"/>
          <w:lang w:val="en-GB"/>
        </w:rPr>
        <w:t>Federal Ombudsman</w:t>
      </w:r>
      <w:r>
        <w:rPr>
          <w:rFonts w:eastAsia="Times New Roman"/>
          <w:lang w:val="en-GB"/>
        </w:rPr>
        <w:br/>
        <w:t>: Independent complaints handler for the Belgian federal government.</w:t>
      </w:r>
      <w:r>
        <w:rPr>
          <w:rFonts w:eastAsia="Times New Roman"/>
          <w:lang w:val="en-GB"/>
        </w:rPr>
        <w:br/>
      </w:r>
      <w:r>
        <w:rPr>
          <w:rStyle w:val="actor-rol1"/>
          <w:rFonts w:eastAsia="Times New Roman"/>
          <w:lang w:val="en-GB"/>
        </w:rPr>
        <w:t>Role in this case:</w:t>
      </w:r>
      <w:r>
        <w:rPr>
          <w:rFonts w:eastAsia="Times New Roman"/>
          <w:lang w:val="en-GB"/>
        </w:rPr>
        <w:t xml:space="preserve"> Achieved a procedural breakthrough at DG HAN, but capitulated in the face of the CM’s administrative defence. Closed the case definitively without resolving the underlying impasse. </w:t>
      </w:r>
    </w:p>
    <w:p w14:paraId="20C7D711" w14:textId="77777777" w:rsidR="009650FE" w:rsidRDefault="009650FE">
      <w:pPr>
        <w:divId w:val="2028090829"/>
        <w:rPr>
          <w:rFonts w:eastAsia="Times New Roman"/>
          <w:lang w:val="en-GB"/>
        </w:rPr>
      </w:pPr>
      <w:r>
        <w:rPr>
          <w:rFonts w:eastAsia="Times New Roman"/>
          <w:b/>
          <w:bCs/>
          <w:color w:val="FFFFFF"/>
          <w:sz w:val="20"/>
          <w:szCs w:val="20"/>
          <w:shd w:val="clear" w:color="auto" w:fill="8B1E1E"/>
          <w:lang w:val="en-GB"/>
        </w:rPr>
        <w:t> 17 </w:t>
      </w:r>
      <w:r>
        <w:rPr>
          <w:rFonts w:eastAsia="Times New Roman"/>
          <w:lang w:val="en-GB"/>
        </w:rPr>
        <w:t xml:space="preserve"> </w:t>
      </w:r>
      <w:r>
        <w:rPr>
          <w:rStyle w:val="actor-naam1"/>
          <w:rFonts w:eastAsia="Times New Roman"/>
          <w:lang w:val="en-GB"/>
        </w:rPr>
        <w:t>Ghent</w:t>
      </w:r>
      <w:r>
        <w:rPr>
          <w:rFonts w:eastAsia="Times New Roman"/>
          <w:lang w:val="en-GB"/>
        </w:rPr>
        <w:br/>
      </w:r>
      <w:r>
        <w:rPr>
          <w:rStyle w:val="actor-naam1"/>
          <w:rFonts w:eastAsia="Times New Roman"/>
          <w:lang w:val="en-GB"/>
        </w:rPr>
        <w:t>Labour Prosecutor’s Office</w:t>
      </w:r>
      <w:r>
        <w:rPr>
          <w:rFonts w:eastAsia="Times New Roman"/>
          <w:lang w:val="en-GB"/>
        </w:rPr>
        <w:t xml:space="preserve"> : The specialised public prosecution service attached to the labour courts, with jurisdiction over social security legislation.</w:t>
      </w:r>
      <w:r>
        <w:rPr>
          <w:rFonts w:eastAsia="Times New Roman"/>
          <w:lang w:val="en-GB"/>
        </w:rPr>
        <w:br/>
      </w:r>
      <w:r>
        <w:rPr>
          <w:rStyle w:val="actor-rol1"/>
          <w:rFonts w:eastAsia="Times New Roman"/>
          <w:lang w:val="en-GB"/>
        </w:rPr>
        <w:t>Role in this case:</w:t>
      </w:r>
      <w:r>
        <w:rPr>
          <w:rFonts w:eastAsia="Times New Roman"/>
          <w:lang w:val="en-GB"/>
        </w:rPr>
        <w:t xml:space="preserve"> Declares that it has no jurisdiction to supervise health insurance funds. Classifies the administrative deadlock as a civil dispute and refers the matter to the Labour Court. </w:t>
      </w:r>
    </w:p>
    <w:p w14:paraId="2D926332" w14:textId="77777777" w:rsidR="009650FE" w:rsidRDefault="009650FE">
      <w:pPr>
        <w:divId w:val="534584216"/>
        <w:rPr>
          <w:rFonts w:eastAsia="Times New Roman"/>
          <w:lang w:val="en-GB"/>
        </w:rPr>
      </w:pPr>
      <w:r>
        <w:rPr>
          <w:rFonts w:eastAsia="Times New Roman"/>
          <w:b/>
          <w:bCs/>
          <w:color w:val="FFFFFF"/>
          <w:sz w:val="20"/>
          <w:szCs w:val="20"/>
          <w:shd w:val="clear" w:color="auto" w:fill="8B1E1E"/>
          <w:lang w:val="en-GB"/>
        </w:rPr>
        <w:t> 18 </w:t>
      </w:r>
      <w:r>
        <w:rPr>
          <w:rFonts w:eastAsia="Times New Roman"/>
          <w:lang w:val="en-GB"/>
        </w:rPr>
        <w:t xml:space="preserve"> </w:t>
      </w:r>
      <w:r>
        <w:rPr>
          <w:rStyle w:val="actor-naam1"/>
          <w:rFonts w:eastAsia="Times New Roman"/>
          <w:lang w:val="en-GB"/>
        </w:rPr>
        <w:t>UNIA (Interfederal Centre for Equal Opportunities)</w:t>
      </w:r>
      <w:r>
        <w:rPr>
          <w:rFonts w:eastAsia="Times New Roman"/>
          <w:lang w:val="en-GB"/>
        </w:rPr>
        <w:br/>
        <w:t>An independent body that combats discrimination.</w:t>
      </w:r>
      <w:r>
        <w:rPr>
          <w:rFonts w:eastAsia="Times New Roman"/>
          <w:lang w:val="en-GB"/>
        </w:rPr>
        <w:br/>
      </w:r>
      <w:r>
        <w:rPr>
          <w:rStyle w:val="actor-rol1"/>
          <w:rFonts w:eastAsia="Times New Roman"/>
          <w:lang w:val="en-GB"/>
        </w:rPr>
        <w:t>Role in this case:</w:t>
      </w:r>
      <w:r>
        <w:rPr>
          <w:rFonts w:eastAsia="Times New Roman"/>
          <w:lang w:val="en-GB"/>
        </w:rPr>
        <w:t xml:space="preserve"> Declares itself to have no jurisdiction because place of residence is not a protected ground under anti-discrimination legislation. Exclusion resulting directly from a law or decree falls outside its remit. </w:t>
      </w:r>
    </w:p>
    <w:p w14:paraId="63F43B98" w14:textId="77777777" w:rsidR="009650FE" w:rsidRDefault="009650FE">
      <w:pPr>
        <w:divId w:val="918058304"/>
        <w:rPr>
          <w:rFonts w:eastAsia="Times New Roman"/>
          <w:lang w:val="en-GB"/>
        </w:rPr>
      </w:pPr>
      <w:r>
        <w:rPr>
          <w:rFonts w:eastAsia="Times New Roman"/>
          <w:b/>
          <w:bCs/>
          <w:color w:val="FFFFFF"/>
          <w:sz w:val="20"/>
          <w:szCs w:val="20"/>
          <w:shd w:val="clear" w:color="auto" w:fill="8B1E1E"/>
          <w:lang w:val="en-GB"/>
        </w:rPr>
        <w:t> 19 </w:t>
      </w:r>
      <w:r>
        <w:rPr>
          <w:rFonts w:eastAsia="Times New Roman"/>
          <w:lang w:val="en-GB"/>
        </w:rPr>
        <w:t xml:space="preserve"> </w:t>
      </w:r>
      <w:r>
        <w:rPr>
          <w:rStyle w:val="actor-naam1"/>
          <w:rFonts w:eastAsia="Times New Roman"/>
          <w:lang w:val="en-GB"/>
        </w:rPr>
        <w:t>Medical</w:t>
      </w:r>
      <w:r>
        <w:rPr>
          <w:rFonts w:eastAsia="Times New Roman"/>
          <w:lang w:val="en-GB"/>
        </w:rPr>
        <w:br/>
      </w:r>
      <w:r>
        <w:rPr>
          <w:rStyle w:val="actor-naam1"/>
          <w:rFonts w:eastAsia="Times New Roman"/>
          <w:lang w:val="en-GB"/>
        </w:rPr>
        <w:t>Council:</w:t>
      </w:r>
      <w:r>
        <w:rPr>
          <w:rFonts w:eastAsia="Times New Roman"/>
          <w:lang w:val="en-GB"/>
        </w:rPr>
        <w:t xml:space="preserve"> A professional body governed by public law that oversees medical ethics and exercises disciplinary authority.</w:t>
      </w:r>
      <w:r>
        <w:rPr>
          <w:rFonts w:eastAsia="Times New Roman"/>
          <w:lang w:val="en-GB"/>
        </w:rPr>
        <w:br/>
      </w:r>
      <w:r>
        <w:rPr>
          <w:rStyle w:val="actor-rol1"/>
          <w:rFonts w:eastAsia="Times New Roman"/>
          <w:lang w:val="en-GB"/>
        </w:rPr>
        <w:t>Role in this case:</w:t>
      </w:r>
      <w:r>
        <w:rPr>
          <w:rFonts w:eastAsia="Times New Roman"/>
          <w:lang w:val="en-GB"/>
        </w:rPr>
        <w:t xml:space="preserve"> It handles complaints concerning medical examiners and expert doctors within a closed disciplinary procedure. The patient is not a party to the proceedings, and the mandate is limited to the doctor’s individual conduct. </w:t>
      </w:r>
    </w:p>
    <w:p w14:paraId="2B9F2C88" w14:textId="77777777" w:rsidR="009650FE" w:rsidRDefault="009650FE">
      <w:pPr>
        <w:pStyle w:val="Kop4"/>
        <w:divId w:val="953290302"/>
        <w:rPr>
          <w:rFonts w:eastAsia="Times New Roman"/>
          <w:lang w:val="en-GB"/>
        </w:rPr>
      </w:pPr>
      <w:r>
        <w:rPr>
          <w:rFonts w:eastAsia="Times New Roman"/>
          <w:lang w:val="en-GB"/>
        </w:rPr>
        <w:t>Politics</w:t>
      </w:r>
    </w:p>
    <w:p w14:paraId="147C2FFB" w14:textId="77777777" w:rsidR="009650FE" w:rsidRDefault="009650FE">
      <w:pPr>
        <w:divId w:val="1014305924"/>
        <w:rPr>
          <w:rFonts w:eastAsia="Times New Roman"/>
          <w:lang w:val="en-GB"/>
        </w:rPr>
      </w:pPr>
      <w:r>
        <w:rPr>
          <w:rFonts w:eastAsia="Times New Roman"/>
          <w:b/>
          <w:bCs/>
          <w:color w:val="FFFFFF"/>
          <w:sz w:val="20"/>
          <w:szCs w:val="20"/>
          <w:shd w:val="clear" w:color="auto" w:fill="8B1E1E"/>
          <w:lang w:val="en-GB"/>
        </w:rPr>
        <w:t> 20 </w:t>
      </w:r>
      <w:r>
        <w:rPr>
          <w:rFonts w:eastAsia="Times New Roman"/>
          <w:lang w:val="en-GB"/>
        </w:rPr>
        <w:t xml:space="preserve"> </w:t>
      </w:r>
      <w:r>
        <w:rPr>
          <w:rStyle w:val="actor-naam1"/>
          <w:rFonts w:eastAsia="Times New Roman"/>
          <w:lang w:val="en-GB"/>
        </w:rPr>
        <w:t>Chamber of Representatives — Committee on Social Affairs, Employment and Pensions</w:t>
      </w:r>
      <w:r>
        <w:rPr>
          <w:rFonts w:eastAsia="Times New Roman"/>
          <w:lang w:val="en-GB"/>
        </w:rPr>
        <w:br/>
        <w:t>The standing parliamentary committee responsible for drafting federal social security legislation and scrutinising the relevant ministers.</w:t>
      </w:r>
      <w:r>
        <w:rPr>
          <w:rFonts w:eastAsia="Times New Roman"/>
          <w:lang w:val="en-GB"/>
        </w:rPr>
        <w:br/>
      </w:r>
      <w:r>
        <w:rPr>
          <w:rStyle w:val="actor-rol1"/>
          <w:rFonts w:eastAsia="Times New Roman"/>
          <w:lang w:val="en-GB"/>
        </w:rPr>
        <w:t>Role in this matter:</w:t>
      </w:r>
      <w:r>
        <w:rPr>
          <w:rFonts w:eastAsia="Times New Roman"/>
          <w:lang w:val="en-GB"/>
        </w:rPr>
        <w:t xml:space="preserve"> Receives a documented report of a system failure, but does not initiate any parliamentary action. No question, no interpellation, no hearing. </w:t>
      </w:r>
    </w:p>
    <w:p w14:paraId="7B496A1A" w14:textId="77777777" w:rsidR="009650FE" w:rsidRDefault="009650FE">
      <w:pPr>
        <w:divId w:val="150676459"/>
        <w:rPr>
          <w:rFonts w:eastAsia="Times New Roman"/>
          <w:lang w:val="en-GB"/>
        </w:rPr>
      </w:pPr>
      <w:r>
        <w:rPr>
          <w:rFonts w:eastAsia="Times New Roman"/>
          <w:b/>
          <w:bCs/>
          <w:color w:val="FFFFFF"/>
          <w:sz w:val="20"/>
          <w:szCs w:val="20"/>
          <w:shd w:val="clear" w:color="auto" w:fill="8B1E1E"/>
          <w:lang w:val="en-GB"/>
        </w:rPr>
        <w:t> 21 </w:t>
      </w:r>
      <w:r>
        <w:rPr>
          <w:rFonts w:eastAsia="Times New Roman"/>
          <w:lang w:val="en-GB"/>
        </w:rPr>
        <w:t xml:space="preserve"> </w:t>
      </w:r>
      <w:r>
        <w:rPr>
          <w:rStyle w:val="actor-naam1"/>
          <w:rFonts w:eastAsia="Times New Roman"/>
          <w:lang w:val="en-GB"/>
        </w:rPr>
        <w:t>Chamber of Representatives — Committee on Petitions</w:t>
      </w:r>
      <w:r>
        <w:rPr>
          <w:rFonts w:eastAsia="Times New Roman"/>
          <w:lang w:val="en-GB"/>
        </w:rPr>
        <w:br/>
        <w:t>The parliamentary committee responsible for dealing with the constitutional right to petition.</w:t>
      </w:r>
      <w:r>
        <w:rPr>
          <w:rFonts w:eastAsia="Times New Roman"/>
          <w:lang w:val="en-GB"/>
        </w:rPr>
        <w:br/>
      </w:r>
      <w:r>
        <w:rPr>
          <w:rStyle w:val="actor-rol1"/>
          <w:rFonts w:eastAsia="Times New Roman"/>
          <w:lang w:val="en-GB"/>
        </w:rPr>
        <w:t>Role in this case:</w:t>
      </w:r>
      <w:r>
        <w:rPr>
          <w:rFonts w:eastAsia="Times New Roman"/>
          <w:lang w:val="en-GB"/>
        </w:rPr>
        <w:t xml:space="preserve"> Declares the petition admissible and forwards it to the relevant specialist committee and the minister. This concludes the committee’s involvement. A procedural formality without any substantive action. </w:t>
      </w:r>
    </w:p>
    <w:p w14:paraId="4A7850F2" w14:textId="77777777" w:rsidR="009650FE" w:rsidRDefault="009650FE">
      <w:pPr>
        <w:divId w:val="2030174891"/>
        <w:rPr>
          <w:rFonts w:eastAsia="Times New Roman"/>
          <w:lang w:val="en-GB"/>
        </w:rPr>
      </w:pPr>
      <w:r>
        <w:rPr>
          <w:rFonts w:eastAsia="Times New Roman"/>
          <w:b/>
          <w:bCs/>
          <w:color w:val="FFFFFF"/>
          <w:sz w:val="20"/>
          <w:szCs w:val="20"/>
          <w:shd w:val="clear" w:color="auto" w:fill="8B1E1E"/>
          <w:lang w:val="en-GB"/>
        </w:rPr>
        <w:t> 22 </w:t>
      </w:r>
      <w:r>
        <w:rPr>
          <w:rFonts w:eastAsia="Times New Roman"/>
          <w:lang w:val="en-GB"/>
        </w:rPr>
        <w:t xml:space="preserve"> </w:t>
      </w:r>
      <w:r>
        <w:rPr>
          <w:rStyle w:val="actor-naam1"/>
          <w:rFonts w:eastAsia="Times New Roman"/>
          <w:lang w:val="en-GB"/>
        </w:rPr>
        <w:t>Belgian Political Parties</w:t>
      </w:r>
      <w:r>
        <w:rPr>
          <w:rFonts w:eastAsia="Times New Roman"/>
          <w:lang w:val="en-GB"/>
        </w:rPr>
        <w:br/>
        <w:t>: The parties that constitute the legislative and executive branches.</w:t>
      </w:r>
      <w:r>
        <w:rPr>
          <w:rFonts w:eastAsia="Times New Roman"/>
          <w:lang w:val="en-GB"/>
        </w:rPr>
        <w:br/>
      </w:r>
      <w:r>
        <w:rPr>
          <w:rStyle w:val="actor-rol1"/>
          <w:rFonts w:eastAsia="Times New Roman"/>
          <w:lang w:val="en-GB"/>
        </w:rPr>
        <w:t>Role in this matter:</w:t>
      </w:r>
      <w:r>
        <w:rPr>
          <w:rFonts w:eastAsia="Times New Roman"/>
          <w:lang w:val="en-GB"/>
        </w:rPr>
        <w:t xml:space="preserve"> Nine parties were contacted. Five did not respond. The other four referred the matter to their research departments or stated that they were not competent to respond. None of the parties invoked any parliamentary procedure. </w:t>
      </w:r>
    </w:p>
    <w:p w14:paraId="04C6242B" w14:textId="77777777" w:rsidR="009650FE" w:rsidRDefault="009650FE">
      <w:pPr>
        <w:pStyle w:val="Kop4"/>
        <w:divId w:val="953290302"/>
        <w:rPr>
          <w:rFonts w:eastAsia="Times New Roman"/>
          <w:lang w:val="en-GB"/>
        </w:rPr>
      </w:pPr>
      <w:r>
        <w:rPr>
          <w:rFonts w:eastAsia="Times New Roman"/>
          <w:lang w:val="en-GB"/>
        </w:rPr>
        <w:t>Symbolism</w:t>
      </w:r>
    </w:p>
    <w:p w14:paraId="40662757" w14:textId="77777777" w:rsidR="009650FE" w:rsidRDefault="009650FE">
      <w:pPr>
        <w:divId w:val="1589582011"/>
        <w:rPr>
          <w:rFonts w:eastAsia="Times New Roman"/>
          <w:lang w:val="en-GB"/>
        </w:rPr>
      </w:pPr>
      <w:r>
        <w:rPr>
          <w:rFonts w:eastAsia="Times New Roman"/>
          <w:b/>
          <w:bCs/>
          <w:color w:val="FFFFFF"/>
          <w:sz w:val="20"/>
          <w:szCs w:val="20"/>
          <w:shd w:val="clear" w:color="auto" w:fill="8B1E1E"/>
          <w:lang w:val="en-GB"/>
        </w:rPr>
        <w:t> 23 </w:t>
      </w:r>
      <w:r>
        <w:rPr>
          <w:rFonts w:eastAsia="Times New Roman"/>
          <w:lang w:val="en-GB"/>
        </w:rPr>
        <w:t xml:space="preserve"> </w:t>
      </w:r>
      <w:r>
        <w:rPr>
          <w:rStyle w:val="actor-naam1"/>
          <w:rFonts w:eastAsia="Times New Roman"/>
          <w:lang w:val="en-GB"/>
        </w:rPr>
        <w:t>Royal Palace of Belgium</w:t>
      </w:r>
      <w:r>
        <w:rPr>
          <w:rFonts w:eastAsia="Times New Roman"/>
          <w:lang w:val="en-GB"/>
        </w:rPr>
        <w:br/>
        <w:t>The King’s Office, which handles petitions from citizens.</w:t>
      </w:r>
      <w:r>
        <w:rPr>
          <w:rFonts w:eastAsia="Times New Roman"/>
          <w:lang w:val="en-GB"/>
        </w:rPr>
        <w:br/>
      </w:r>
      <w:r>
        <w:rPr>
          <w:rStyle w:val="actor-rol1"/>
          <w:rFonts w:eastAsia="Times New Roman"/>
          <w:lang w:val="en-GB"/>
        </w:rPr>
        <w:t>Role in this process:</w:t>
      </w:r>
      <w:r>
        <w:rPr>
          <w:rFonts w:eastAsia="Times New Roman"/>
          <w:lang w:val="en-GB"/>
        </w:rPr>
        <w:t xml:space="preserve"> </w:t>
      </w:r>
      <w:r>
        <w:rPr>
          <w:rFonts w:eastAsia="Times New Roman"/>
          <w:lang w:val="en-GB"/>
        </w:rPr>
        <w:t xml:space="preserve">Symbolic final stop. Confirms receipt and forwards the petition to the relevant minister — thereby returning the citizen to the operational level. The Palace’s email server is technically inaccessible. </w:t>
      </w:r>
    </w:p>
    <w:tbl>
      <w:tblPr>
        <w:tblW w:w="5000" w:type="pct"/>
        <w:tblCellMar>
          <w:top w:w="15" w:type="dxa"/>
          <w:left w:w="15" w:type="dxa"/>
          <w:bottom w:w="15" w:type="dxa"/>
          <w:right w:w="15" w:type="dxa"/>
        </w:tblCellMar>
        <w:tblLook w:val="04A0" w:firstRow="1" w:lastRow="0" w:firstColumn="1" w:lastColumn="0" w:noHBand="0" w:noVBand="1"/>
      </w:tblPr>
      <w:tblGrid>
        <w:gridCol w:w="9019"/>
      </w:tblGrid>
      <w:tr w:rsidR="00000000" w14:paraId="5DB5CE6A" w14:textId="77777777">
        <w:trPr>
          <w:divId w:val="953290302"/>
        </w:trPr>
        <w:tc>
          <w:tcPr>
            <w:tcW w:w="0" w:type="auto"/>
            <w:tcBorders>
              <w:top w:val="single" w:sz="6" w:space="0" w:color="D5D0C5"/>
              <w:left w:val="single" w:sz="36" w:space="0" w:color="1A3C6E"/>
              <w:bottom w:val="single" w:sz="6" w:space="0" w:color="D5D0C5"/>
              <w:right w:val="single" w:sz="6" w:space="0" w:color="D5D0C5"/>
            </w:tcBorders>
            <w:shd w:val="clear" w:color="auto" w:fill="EDF2F8"/>
            <w:tcMar>
              <w:top w:w="160" w:type="dxa"/>
              <w:left w:w="240" w:type="dxa"/>
              <w:bottom w:w="160" w:type="dxa"/>
              <w:right w:w="240" w:type="dxa"/>
            </w:tcMar>
            <w:hideMark/>
          </w:tcPr>
          <w:p w14:paraId="2A000468" w14:textId="77777777" w:rsidR="009650FE" w:rsidRDefault="009650FE">
            <w:pPr>
              <w:spacing w:before="240" w:after="240"/>
              <w:rPr>
                <w:rFonts w:eastAsia="Times New Roman"/>
                <w:sz w:val="21"/>
                <w:szCs w:val="21"/>
              </w:rPr>
            </w:pPr>
            <w:r>
              <w:rPr>
                <w:rStyle w:val="Zwaar"/>
                <w:rFonts w:eastAsia="Times New Roman"/>
                <w:sz w:val="21"/>
                <w:szCs w:val="21"/>
              </w:rPr>
              <w:t>WORLD NETHERLANDS</w:t>
            </w:r>
          </w:p>
        </w:tc>
      </w:tr>
    </w:tbl>
    <w:p w14:paraId="22BCA109" w14:textId="77777777" w:rsidR="009650FE" w:rsidRDefault="009650FE">
      <w:pPr>
        <w:pStyle w:val="Kop4"/>
        <w:divId w:val="953290302"/>
        <w:rPr>
          <w:rFonts w:eastAsia="Times New Roman"/>
          <w:lang w:val="en-GB"/>
        </w:rPr>
      </w:pPr>
      <w:r>
        <w:rPr>
          <w:rFonts w:eastAsia="Times New Roman"/>
          <w:lang w:val="en-GB"/>
        </w:rPr>
        <w:t>Implementation</w:t>
      </w:r>
    </w:p>
    <w:p w14:paraId="397A98A8" w14:textId="77777777" w:rsidR="009650FE" w:rsidRDefault="009650FE">
      <w:pPr>
        <w:divId w:val="283582472"/>
        <w:rPr>
          <w:rFonts w:eastAsia="Times New Roman"/>
          <w:lang w:val="en-GB"/>
        </w:rPr>
      </w:pPr>
      <w:r>
        <w:rPr>
          <w:rFonts w:eastAsia="Times New Roman"/>
          <w:b/>
          <w:bCs/>
          <w:color w:val="FFFFFF"/>
          <w:sz w:val="20"/>
          <w:szCs w:val="20"/>
          <w:shd w:val="clear" w:color="auto" w:fill="1A3C6E"/>
          <w:lang w:val="en-GB"/>
        </w:rPr>
        <w:t> 24 </w:t>
      </w:r>
      <w:r>
        <w:rPr>
          <w:rFonts w:eastAsia="Times New Roman"/>
          <w:lang w:val="en-GB"/>
        </w:rPr>
        <w:t xml:space="preserve"> </w:t>
      </w:r>
      <w:r>
        <w:rPr>
          <w:rStyle w:val="actor-naam1"/>
          <w:rFonts w:eastAsia="Times New Roman"/>
          <w:lang w:val="en-GB"/>
        </w:rPr>
        <w:t>CZ (Centrale Zorgverzekeraar)</w:t>
      </w:r>
      <w:r>
        <w:rPr>
          <w:rFonts w:eastAsia="Times New Roman"/>
          <w:lang w:val="en-GB"/>
        </w:rPr>
        <w:br/>
        <w:t>A major Dutch health insurer that provides compulsory basic cover and administers the treaty policy on the Dutch side.</w:t>
      </w:r>
      <w:r>
        <w:rPr>
          <w:rFonts w:eastAsia="Times New Roman"/>
          <w:lang w:val="en-GB"/>
        </w:rPr>
        <w:br/>
      </w:r>
      <w:r>
        <w:rPr>
          <w:rStyle w:val="actor-rol1"/>
          <w:rFonts w:eastAsia="Times New Roman"/>
          <w:lang w:val="en-GB"/>
        </w:rPr>
        <w:t>Role in this case:</w:t>
      </w:r>
      <w:r>
        <w:rPr>
          <w:rFonts w:eastAsia="Times New Roman"/>
          <w:lang w:val="en-GB"/>
        </w:rPr>
        <w:t xml:space="preserve"> Reimburses medical bills, but refuses to cover patient transport on the basis of a perimetry requirement which is not routinely measured in Belgium. Fails to register the treaty policy in the RIV register. </w:t>
      </w:r>
    </w:p>
    <w:p w14:paraId="2F3F3C53" w14:textId="77777777" w:rsidR="009650FE" w:rsidRDefault="009650FE">
      <w:pPr>
        <w:divId w:val="1789929347"/>
        <w:rPr>
          <w:rFonts w:eastAsia="Times New Roman"/>
          <w:lang w:val="en-GB"/>
        </w:rPr>
      </w:pPr>
      <w:r>
        <w:rPr>
          <w:rFonts w:eastAsia="Times New Roman"/>
          <w:b/>
          <w:bCs/>
          <w:color w:val="FFFFFF"/>
          <w:sz w:val="20"/>
          <w:szCs w:val="20"/>
          <w:shd w:val="clear" w:color="auto" w:fill="1A3C6E"/>
          <w:lang w:val="en-GB"/>
        </w:rPr>
        <w:t> 25 </w:t>
      </w:r>
      <w:r>
        <w:rPr>
          <w:rFonts w:eastAsia="Times New Roman"/>
          <w:lang w:val="en-GB"/>
        </w:rPr>
        <w:t xml:space="preserve"> </w:t>
      </w:r>
      <w:r>
        <w:rPr>
          <w:rStyle w:val="actor-naam1"/>
          <w:rFonts w:eastAsia="Times New Roman"/>
          <w:lang w:val="en-GB"/>
        </w:rPr>
        <w:t>ZorgSaam</w:t>
      </w:r>
      <w:r>
        <w:rPr>
          <w:rFonts w:eastAsia="Times New Roman"/>
          <w:lang w:val="en-GB"/>
        </w:rPr>
        <w:br/>
        <w:t>: Regional healthcare provider in Zeeuws-Vlaanderen.</w:t>
      </w:r>
      <w:r>
        <w:rPr>
          <w:rFonts w:eastAsia="Times New Roman"/>
          <w:lang w:val="en-GB"/>
        </w:rPr>
        <w:br/>
      </w:r>
      <w:r>
        <w:rPr>
          <w:rStyle w:val="actor-rol1"/>
          <w:rFonts w:eastAsia="Times New Roman"/>
          <w:lang w:val="en-GB"/>
        </w:rPr>
        <w:t>Role in this case:</w:t>
      </w:r>
      <w:r>
        <w:rPr>
          <w:rFonts w:eastAsia="Times New Roman"/>
          <w:lang w:val="en-GB"/>
        </w:rPr>
        <w:t xml:space="preserve"> Provides complex wound care at home for several months and documents 126 clinical entries. This report is not automatically visible to the UWV, CZ or the Belgian social security authorities. External Belgian documents are passively archived under a multimedia tab. </w:t>
      </w:r>
    </w:p>
    <w:p w14:paraId="27FA0715" w14:textId="77777777" w:rsidR="009650FE" w:rsidRDefault="009650FE">
      <w:pPr>
        <w:divId w:val="1808088485"/>
        <w:rPr>
          <w:rFonts w:eastAsia="Times New Roman"/>
          <w:lang w:val="en-GB"/>
        </w:rPr>
      </w:pPr>
      <w:r>
        <w:rPr>
          <w:rFonts w:eastAsia="Times New Roman"/>
          <w:b/>
          <w:bCs/>
          <w:color w:val="FFFFFF"/>
          <w:sz w:val="20"/>
          <w:szCs w:val="20"/>
          <w:shd w:val="clear" w:color="auto" w:fill="1A3C6E"/>
          <w:lang w:val="en-GB"/>
        </w:rPr>
        <w:t> 26 </w:t>
      </w:r>
      <w:r>
        <w:rPr>
          <w:rFonts w:eastAsia="Times New Roman"/>
          <w:lang w:val="en-GB"/>
        </w:rPr>
        <w:t xml:space="preserve"> </w:t>
      </w:r>
      <w:r>
        <w:rPr>
          <w:rStyle w:val="actor-naam1"/>
          <w:rFonts w:eastAsia="Times New Roman"/>
          <w:lang w:val="en-GB"/>
        </w:rPr>
        <w:t>CAK (Central Administration Office)</w:t>
      </w:r>
      <w:r>
        <w:rPr>
          <w:rFonts w:eastAsia="Times New Roman"/>
          <w:lang w:val="en-GB"/>
        </w:rPr>
        <w:br/>
        <w:t>An independent administrative body that manages the national insurance register (RIV) and implements the provisions of the agreement.</w:t>
      </w:r>
      <w:r>
        <w:rPr>
          <w:rFonts w:eastAsia="Times New Roman"/>
          <w:lang w:val="en-GB"/>
        </w:rPr>
        <w:br/>
      </w:r>
      <w:r>
        <w:rPr>
          <w:rStyle w:val="actor-rol1"/>
          <w:rFonts w:eastAsia="Times New Roman"/>
          <w:lang w:val="en-GB"/>
        </w:rPr>
        <w:t>Role in this case:</w:t>
      </w:r>
      <w:r>
        <w:rPr>
          <w:rFonts w:eastAsia="Times New Roman"/>
          <w:lang w:val="en-GB"/>
        </w:rPr>
        <w:t xml:space="preserve"> Refuses to register the treaty policy on procedural grounds: the system only recognises the ‘standard’ cross-border worker (working in the Netherlands, living abroad), not the reverse situation (living in the Netherlands, working in Belgium). The computer does not recognise this field. </w:t>
      </w:r>
    </w:p>
    <w:p w14:paraId="3DEE7CAE" w14:textId="77777777" w:rsidR="009650FE" w:rsidRDefault="009650FE">
      <w:pPr>
        <w:divId w:val="2078436203"/>
        <w:rPr>
          <w:rFonts w:eastAsia="Times New Roman"/>
          <w:lang w:val="en-GB"/>
        </w:rPr>
      </w:pPr>
      <w:r>
        <w:rPr>
          <w:rFonts w:eastAsia="Times New Roman"/>
          <w:b/>
          <w:bCs/>
          <w:color w:val="FFFFFF"/>
          <w:sz w:val="20"/>
          <w:szCs w:val="20"/>
          <w:shd w:val="clear" w:color="auto" w:fill="1A3C6E"/>
          <w:lang w:val="en-GB"/>
        </w:rPr>
        <w:t> 27 </w:t>
      </w:r>
      <w:r>
        <w:rPr>
          <w:rFonts w:eastAsia="Times New Roman"/>
          <w:lang w:val="en-GB"/>
        </w:rPr>
        <w:t xml:space="preserve"> </w:t>
      </w:r>
      <w:r>
        <w:rPr>
          <w:rStyle w:val="actor-naam1"/>
          <w:rFonts w:eastAsia="Times New Roman"/>
          <w:lang w:val="en-GB"/>
        </w:rPr>
        <w:t>Dutch Healthcare Institute (ZIN) —</w:t>
      </w:r>
      <w:r>
        <w:rPr>
          <w:rFonts w:eastAsia="Times New Roman"/>
          <w:lang w:val="en-GB"/>
        </w:rPr>
        <w:t xml:space="preserve"> an independent </w:t>
      </w:r>
      <w:r>
        <w:rPr>
          <w:rStyle w:val="actor-naam1"/>
          <w:rFonts w:eastAsia="Times New Roman"/>
          <w:lang w:val="en-GB"/>
        </w:rPr>
        <w:t>administrative</w:t>
      </w:r>
      <w:r>
        <w:rPr>
          <w:rFonts w:eastAsia="Times New Roman"/>
          <w:lang w:val="en-GB"/>
        </w:rPr>
        <w:br/>
        <w:t>body under the Ministry of Health, Welfare and Sport.</w:t>
      </w:r>
      <w:r>
        <w:rPr>
          <w:rFonts w:eastAsia="Times New Roman"/>
          <w:lang w:val="en-GB"/>
        </w:rPr>
        <w:br/>
      </w:r>
      <w:r>
        <w:rPr>
          <w:rStyle w:val="actor-rol1"/>
          <w:rFonts w:eastAsia="Times New Roman"/>
          <w:lang w:val="en-GB"/>
        </w:rPr>
        <w:t>Role in this matter:</w:t>
      </w:r>
      <w:r>
        <w:rPr>
          <w:rFonts w:eastAsia="Times New Roman"/>
          <w:lang w:val="en-GB"/>
        </w:rPr>
        <w:t xml:space="preserve"> Manages and supervises the RIV register at system level, but refuses to grant access to individual personal data. Refers enquiries back to CZ and the CAK. </w:t>
      </w:r>
    </w:p>
    <w:p w14:paraId="01320711" w14:textId="77777777" w:rsidR="009650FE" w:rsidRDefault="009650FE">
      <w:pPr>
        <w:divId w:val="450589349"/>
        <w:rPr>
          <w:rFonts w:eastAsia="Times New Roman"/>
          <w:lang w:val="en-GB"/>
        </w:rPr>
      </w:pPr>
      <w:r>
        <w:rPr>
          <w:rFonts w:eastAsia="Times New Roman"/>
          <w:b/>
          <w:bCs/>
          <w:color w:val="FFFFFF"/>
          <w:sz w:val="20"/>
          <w:szCs w:val="20"/>
          <w:shd w:val="clear" w:color="auto" w:fill="1A3C6E"/>
          <w:lang w:val="en-GB"/>
        </w:rPr>
        <w:t> 28 </w:t>
      </w:r>
      <w:r>
        <w:rPr>
          <w:rFonts w:eastAsia="Times New Roman"/>
          <w:lang w:val="en-GB"/>
        </w:rPr>
        <w:t xml:space="preserve"> </w:t>
      </w:r>
      <w:r>
        <w:rPr>
          <w:rStyle w:val="actor-naam1"/>
          <w:rFonts w:eastAsia="Times New Roman"/>
          <w:lang w:val="en-GB"/>
        </w:rPr>
        <w:t>Pallion GP Practice</w:t>
      </w:r>
      <w:r>
        <w:rPr>
          <w:rFonts w:eastAsia="Times New Roman"/>
          <w:lang w:val="en-GB"/>
        </w:rPr>
        <w:br/>
        <w:t>: Primary care GP practice in Hulst.</w:t>
      </w:r>
      <w:r>
        <w:rPr>
          <w:rFonts w:eastAsia="Times New Roman"/>
          <w:lang w:val="en-GB"/>
        </w:rPr>
        <w:br/>
      </w:r>
      <w:r>
        <w:rPr>
          <w:rStyle w:val="actor-rol1"/>
          <w:rFonts w:eastAsia="Times New Roman"/>
          <w:lang w:val="en-GB"/>
        </w:rPr>
        <w:t>Role in this case:</w:t>
      </w:r>
      <w:r>
        <w:rPr>
          <w:rFonts w:eastAsia="Times New Roman"/>
          <w:lang w:val="en-GB"/>
        </w:rPr>
        <w:t xml:space="preserve"> Refuses to register the patient for information purposes. Dutch law prohibits dual registration across borders. The patient does not have a local GP in his country of residence who is familiar with his Belgian medical records. </w:t>
      </w:r>
    </w:p>
    <w:p w14:paraId="7745C135" w14:textId="77777777" w:rsidR="009650FE" w:rsidRDefault="009650FE">
      <w:pPr>
        <w:divId w:val="1081561969"/>
        <w:rPr>
          <w:rFonts w:eastAsia="Times New Roman"/>
          <w:lang w:val="en-GB"/>
        </w:rPr>
      </w:pPr>
      <w:r>
        <w:rPr>
          <w:rFonts w:eastAsia="Times New Roman"/>
          <w:b/>
          <w:bCs/>
          <w:color w:val="FFFFFF"/>
          <w:sz w:val="20"/>
          <w:szCs w:val="20"/>
          <w:shd w:val="clear" w:color="auto" w:fill="1A3C6E"/>
          <w:lang w:val="en-GB"/>
        </w:rPr>
        <w:t> 29 </w:t>
      </w:r>
      <w:r>
        <w:rPr>
          <w:rFonts w:eastAsia="Times New Roman"/>
          <w:lang w:val="en-GB"/>
        </w:rPr>
        <w:t xml:space="preserve"> </w:t>
      </w:r>
      <w:r>
        <w:rPr>
          <w:rStyle w:val="actor-naam1"/>
          <w:rFonts w:eastAsia="Times New Roman"/>
          <w:lang w:val="en-GB"/>
        </w:rPr>
        <w:t>Independent Experts NL</w:t>
      </w:r>
      <w:r>
        <w:rPr>
          <w:rFonts w:eastAsia="Times New Roman"/>
          <w:lang w:val="en-GB"/>
        </w:rPr>
        <w:br/>
        <w:t>Public and private medical examiners and medical assessors.</w:t>
      </w:r>
      <w:r>
        <w:rPr>
          <w:rFonts w:eastAsia="Times New Roman"/>
          <w:lang w:val="en-GB"/>
        </w:rPr>
        <w:br/>
      </w:r>
      <w:r>
        <w:rPr>
          <w:rStyle w:val="actor-rol1"/>
          <w:rFonts w:eastAsia="Times New Roman"/>
          <w:lang w:val="en-GB"/>
        </w:rPr>
        <w:t>Role in this case:</w:t>
      </w:r>
      <w:r>
        <w:rPr>
          <w:rFonts w:eastAsia="Times New Roman"/>
          <w:lang w:val="en-GB"/>
        </w:rPr>
        <w:t xml:space="preserve"> </w:t>
      </w:r>
      <w:r>
        <w:rPr>
          <w:rFonts w:eastAsia="Times New Roman"/>
          <w:lang w:val="en-GB"/>
        </w:rPr>
        <w:t xml:space="preserve">The GGD refuses to deal with private individuals. GPs refuse to see non-patients. Commercial agencies charge exorbitant fees for a remote medical examination. The system requires a Dutch initial medical assessment but does not provide an accessible way of obtaining one. </w:t>
      </w:r>
    </w:p>
    <w:p w14:paraId="4A120AA3" w14:textId="77777777" w:rsidR="009650FE" w:rsidRDefault="009650FE">
      <w:pPr>
        <w:divId w:val="795678464"/>
        <w:rPr>
          <w:rFonts w:eastAsia="Times New Roman"/>
          <w:lang w:val="en-GB"/>
        </w:rPr>
      </w:pPr>
      <w:r>
        <w:rPr>
          <w:rFonts w:eastAsia="Times New Roman"/>
          <w:b/>
          <w:bCs/>
          <w:color w:val="FFFFFF"/>
          <w:sz w:val="20"/>
          <w:szCs w:val="20"/>
          <w:shd w:val="clear" w:color="auto" w:fill="1A3C6E"/>
          <w:lang w:val="en-GB"/>
        </w:rPr>
        <w:t> 30 </w:t>
      </w:r>
      <w:r>
        <w:rPr>
          <w:rFonts w:eastAsia="Times New Roman"/>
          <w:lang w:val="en-GB"/>
        </w:rPr>
        <w:t xml:space="preserve"> </w:t>
      </w:r>
      <w:r>
        <w:rPr>
          <w:rStyle w:val="actor-naam1"/>
          <w:rFonts w:eastAsia="Times New Roman"/>
          <w:lang w:val="en-GB"/>
        </w:rPr>
        <w:t>Employee Insurance Agency (UWV)</w:t>
      </w:r>
      <w:r>
        <w:rPr>
          <w:rFonts w:eastAsia="Times New Roman"/>
          <w:lang w:val="en-GB"/>
        </w:rPr>
        <w:br/>
        <w:t>An independent administrative body that administers employee insurance schemes (WIA, WW, Sickness Benefits Act) and carries out socio-medical assessments.</w:t>
      </w:r>
      <w:r>
        <w:rPr>
          <w:rFonts w:eastAsia="Times New Roman"/>
          <w:lang w:val="en-GB"/>
        </w:rPr>
        <w:br/>
      </w:r>
      <w:r>
        <w:rPr>
          <w:rStyle w:val="actor-rol1"/>
          <w:rFonts w:eastAsia="Times New Roman"/>
          <w:lang w:val="en-GB"/>
        </w:rPr>
        <w:t>Role in this case:</w:t>
      </w:r>
      <w:r>
        <w:rPr>
          <w:rFonts w:eastAsia="Times New Roman"/>
          <w:lang w:val="en-GB"/>
        </w:rPr>
        <w:t xml:space="preserve"> Does not apply the Vester judgement. Uses an incorrect reference date (11 May instead of 11 April 2025) and refuses to assess the substance of the medical situation. Issues a flawed PD U1 form in which 21 years of Belgian employment history are omitted. </w:t>
      </w:r>
    </w:p>
    <w:p w14:paraId="312EE250" w14:textId="77777777" w:rsidR="009650FE" w:rsidRDefault="009650FE">
      <w:pPr>
        <w:divId w:val="1542402756"/>
        <w:rPr>
          <w:rFonts w:eastAsia="Times New Roman"/>
          <w:lang w:val="en-GB"/>
        </w:rPr>
      </w:pPr>
      <w:r>
        <w:rPr>
          <w:rFonts w:eastAsia="Times New Roman"/>
          <w:b/>
          <w:bCs/>
          <w:color w:val="FFFFFF"/>
          <w:sz w:val="20"/>
          <w:szCs w:val="20"/>
          <w:shd w:val="clear" w:color="auto" w:fill="1A3C6E"/>
          <w:lang w:val="en-GB"/>
        </w:rPr>
        <w:t> 31 </w:t>
      </w:r>
      <w:r>
        <w:rPr>
          <w:rFonts w:eastAsia="Times New Roman"/>
          <w:lang w:val="en-GB"/>
        </w:rPr>
        <w:t xml:space="preserve"> </w:t>
      </w:r>
      <w:r>
        <w:rPr>
          <w:rStyle w:val="actor-naam1"/>
          <w:rFonts w:eastAsia="Times New Roman"/>
          <w:lang w:val="en-GB"/>
        </w:rPr>
        <w:t>Social Insurance Bank (SVB) with the Office for Belgian Affairs (BBZ)</w:t>
      </w:r>
      <w:r>
        <w:rPr>
          <w:rFonts w:eastAsia="Times New Roman"/>
          <w:lang w:val="en-GB"/>
        </w:rPr>
        <w:br/>
        <w:t>The administrator of the Dutch statutory social insurance schemes, with a specialised helpdesk for cross-border workers.</w:t>
      </w:r>
      <w:r>
        <w:rPr>
          <w:rFonts w:eastAsia="Times New Roman"/>
          <w:lang w:val="en-GB"/>
        </w:rPr>
        <w:br/>
      </w:r>
      <w:r>
        <w:rPr>
          <w:rStyle w:val="actor-rol1"/>
          <w:rFonts w:eastAsia="Times New Roman"/>
          <w:lang w:val="en-GB"/>
        </w:rPr>
        <w:t>Role in this case:</w:t>
      </w:r>
      <w:r>
        <w:rPr>
          <w:rFonts w:eastAsia="Times New Roman"/>
          <w:lang w:val="en-GB"/>
        </w:rPr>
        <w:t xml:space="preserve"> Awards child benefit to the father because the mother works in Belgium, thereby activating the child-related budget. The BBZ mediates between NIHDI and UWV, but cannot enforce any decisions. The mediation process is terminated without result. </w:t>
      </w:r>
    </w:p>
    <w:p w14:paraId="6EACDB65" w14:textId="77777777" w:rsidR="009650FE" w:rsidRDefault="009650FE">
      <w:pPr>
        <w:divId w:val="594023017"/>
        <w:rPr>
          <w:rFonts w:eastAsia="Times New Roman"/>
          <w:lang w:val="en-GB"/>
        </w:rPr>
      </w:pPr>
      <w:r>
        <w:rPr>
          <w:rFonts w:eastAsia="Times New Roman"/>
          <w:b/>
          <w:bCs/>
          <w:color w:val="FFFFFF"/>
          <w:sz w:val="20"/>
          <w:szCs w:val="20"/>
          <w:shd w:val="clear" w:color="auto" w:fill="1A3C6E"/>
          <w:lang w:val="en-GB"/>
        </w:rPr>
        <w:t> 32 </w:t>
      </w:r>
      <w:r>
        <w:rPr>
          <w:rFonts w:eastAsia="Times New Roman"/>
          <w:lang w:val="en-GB"/>
        </w:rPr>
        <w:t xml:space="preserve"> </w:t>
      </w:r>
      <w:r>
        <w:rPr>
          <w:rStyle w:val="actor-naam1"/>
          <w:rFonts w:eastAsia="Times New Roman"/>
          <w:lang w:val="en-GB"/>
        </w:rPr>
        <w:t>Tax and Customs Administration (including the Benefits Service)</w:t>
      </w:r>
      <w:r>
        <w:rPr>
          <w:rFonts w:eastAsia="Times New Roman"/>
          <w:lang w:val="en-GB"/>
        </w:rPr>
        <w:br/>
        <w:t>The Dutch national tax authority responsible for levying income tax and social security contributions, and for paying out income-related benefits.</w:t>
      </w:r>
      <w:r>
        <w:rPr>
          <w:rFonts w:eastAsia="Times New Roman"/>
          <w:lang w:val="en-GB"/>
        </w:rPr>
        <w:br/>
      </w:r>
      <w:r>
        <w:rPr>
          <w:rStyle w:val="actor-rol1"/>
          <w:rFonts w:eastAsia="Times New Roman"/>
          <w:lang w:val="en-GB"/>
        </w:rPr>
        <w:t>Role in this case:</w:t>
      </w:r>
      <w:r>
        <w:rPr>
          <w:rFonts w:eastAsia="Times New Roman"/>
          <w:lang w:val="en-GB"/>
        </w:rPr>
        <w:t xml:space="preserve"> The online tax return portal has been designed for households with Dutch taxable income. A cross-border worker’s household with foreign income results in a zero balance. The healthcare allowance remains at zero due to the RIV block; housing benefit and the child-related budget are</w:t>
      </w:r>
      <w:r>
        <w:rPr>
          <w:rFonts w:eastAsia="Times New Roman"/>
          <w:lang w:val="en-GB"/>
        </w:rPr>
        <w:t xml:space="preserve"> granted in part. </w:t>
      </w:r>
    </w:p>
    <w:p w14:paraId="7869A4B4" w14:textId="77777777" w:rsidR="009650FE" w:rsidRDefault="009650FE">
      <w:pPr>
        <w:divId w:val="1542594027"/>
        <w:rPr>
          <w:rFonts w:eastAsia="Times New Roman"/>
          <w:lang w:val="en-GB"/>
        </w:rPr>
      </w:pPr>
      <w:r>
        <w:rPr>
          <w:rFonts w:eastAsia="Times New Roman"/>
          <w:b/>
          <w:bCs/>
          <w:color w:val="FFFFFF"/>
          <w:sz w:val="20"/>
          <w:szCs w:val="20"/>
          <w:shd w:val="clear" w:color="auto" w:fill="1A3C6E"/>
          <w:lang w:val="en-GB"/>
        </w:rPr>
        <w:t> 33 </w:t>
      </w:r>
      <w:r>
        <w:rPr>
          <w:rFonts w:eastAsia="Times New Roman"/>
          <w:lang w:val="en-GB"/>
        </w:rPr>
        <w:t xml:space="preserve"> </w:t>
      </w:r>
      <w:r>
        <w:rPr>
          <w:rStyle w:val="actor-naam1"/>
          <w:rFonts w:eastAsia="Times New Roman"/>
          <w:lang w:val="en-GB"/>
        </w:rPr>
        <w:t>ING Netherlands</w:t>
      </w:r>
      <w:r>
        <w:rPr>
          <w:rFonts w:eastAsia="Times New Roman"/>
          <w:lang w:val="en-GB"/>
        </w:rPr>
        <w:br/>
        <w:t>: Main commercial bank.</w:t>
      </w:r>
      <w:r>
        <w:rPr>
          <w:rFonts w:eastAsia="Times New Roman"/>
          <w:lang w:val="en-GB"/>
        </w:rPr>
        <w:br/>
      </w:r>
      <w:r>
        <w:rPr>
          <w:rStyle w:val="actor-rol1"/>
          <w:rFonts w:eastAsia="Times New Roman"/>
          <w:lang w:val="en-GB"/>
        </w:rPr>
        <w:t>Role in this case:</w:t>
      </w:r>
      <w:r>
        <w:rPr>
          <w:rFonts w:eastAsia="Times New Roman"/>
          <w:lang w:val="en-GB"/>
        </w:rPr>
        <w:t xml:space="preserve"> Offers a repayment plan for the accumulated overdraft and credit card debt (approx. €6,709 in total), subject to strict banking restrictions. The bank effectively becomes a creditor of the failing welfare state. </w:t>
      </w:r>
    </w:p>
    <w:p w14:paraId="07E086B4" w14:textId="77777777" w:rsidR="009650FE" w:rsidRDefault="009650FE">
      <w:pPr>
        <w:divId w:val="1255826255"/>
        <w:rPr>
          <w:rFonts w:eastAsia="Times New Roman"/>
          <w:lang w:val="en-GB"/>
        </w:rPr>
      </w:pPr>
      <w:r>
        <w:rPr>
          <w:rFonts w:eastAsia="Times New Roman"/>
          <w:b/>
          <w:bCs/>
          <w:color w:val="FFFFFF"/>
          <w:sz w:val="20"/>
          <w:szCs w:val="20"/>
          <w:shd w:val="clear" w:color="auto" w:fill="1A3C6E"/>
          <w:lang w:val="en-GB"/>
        </w:rPr>
        <w:t> 34 </w:t>
      </w:r>
      <w:r>
        <w:rPr>
          <w:rFonts w:eastAsia="Times New Roman"/>
          <w:lang w:val="en-GB"/>
        </w:rPr>
        <w:t xml:space="preserve"> </w:t>
      </w:r>
      <w:r>
        <w:rPr>
          <w:rStyle w:val="actor-naam1"/>
          <w:rFonts w:eastAsia="Times New Roman"/>
          <w:lang w:val="en-GB"/>
        </w:rPr>
        <w:t>Vattenfall</w:t>
      </w:r>
      <w:r>
        <w:rPr>
          <w:rFonts w:eastAsia="Times New Roman"/>
          <w:lang w:val="en-GB"/>
        </w:rPr>
        <w:br/>
        <w:t>Commercial energy supplier.</w:t>
      </w:r>
      <w:r>
        <w:rPr>
          <w:rFonts w:eastAsia="Times New Roman"/>
          <w:lang w:val="en-GB"/>
        </w:rPr>
        <w:br/>
      </w:r>
      <w:r>
        <w:rPr>
          <w:rStyle w:val="actor-rol1"/>
          <w:rFonts w:eastAsia="Times New Roman"/>
          <w:lang w:val="en-GB"/>
        </w:rPr>
        <w:t>Role in this case:</w:t>
      </w:r>
      <w:r>
        <w:rPr>
          <w:rFonts w:eastAsia="Times New Roman"/>
          <w:lang w:val="en-GB"/>
        </w:rPr>
        <w:t xml:space="preserve"> Requires a medical certificate from an independent Dutch doctor to confirm ‘medically vulnerable consumer’ status. This requirement is impracticable for a cross-border worker. After several months, the supplier admits that the requirement was unjustified and refers the matter to the network operator. </w:t>
      </w:r>
    </w:p>
    <w:p w14:paraId="4B9C5DDD" w14:textId="77777777" w:rsidR="009650FE" w:rsidRDefault="009650FE">
      <w:pPr>
        <w:divId w:val="94327695"/>
        <w:rPr>
          <w:rFonts w:eastAsia="Times New Roman"/>
          <w:lang w:val="en-GB"/>
        </w:rPr>
      </w:pPr>
      <w:r>
        <w:rPr>
          <w:rFonts w:eastAsia="Times New Roman"/>
          <w:b/>
          <w:bCs/>
          <w:color w:val="FFFFFF"/>
          <w:sz w:val="20"/>
          <w:szCs w:val="20"/>
          <w:shd w:val="clear" w:color="auto" w:fill="1A3C6E"/>
          <w:lang w:val="en-GB"/>
        </w:rPr>
        <w:t> 35 </w:t>
      </w:r>
      <w:r>
        <w:rPr>
          <w:rFonts w:eastAsia="Times New Roman"/>
          <w:lang w:val="en-GB"/>
        </w:rPr>
        <w:t xml:space="preserve"> </w:t>
      </w:r>
      <w:r>
        <w:rPr>
          <w:rStyle w:val="actor-naam1"/>
          <w:rFonts w:eastAsia="Times New Roman"/>
          <w:lang w:val="en-GB"/>
        </w:rPr>
        <w:t>Stedin</w:t>
      </w:r>
      <w:r>
        <w:rPr>
          <w:rFonts w:eastAsia="Times New Roman"/>
          <w:lang w:val="en-GB"/>
        </w:rPr>
        <w:br/>
      </w:r>
      <w:r>
        <w:rPr>
          <w:rStyle w:val="actor-naam1"/>
          <w:rFonts w:eastAsia="Times New Roman"/>
          <w:lang w:val="en-GB"/>
        </w:rPr>
        <w:t>:</w:t>
      </w:r>
      <w:r>
        <w:rPr>
          <w:rFonts w:eastAsia="Times New Roman"/>
          <w:lang w:val="en-GB"/>
        </w:rPr>
        <w:t xml:space="preserve"> Regional network operator for gas and electricity in Zeeland.</w:t>
      </w:r>
      <w:r>
        <w:rPr>
          <w:rFonts w:eastAsia="Times New Roman"/>
          <w:lang w:val="en-GB"/>
        </w:rPr>
        <w:br/>
      </w:r>
      <w:r>
        <w:rPr>
          <w:rStyle w:val="actor-rol1"/>
          <w:rFonts w:eastAsia="Times New Roman"/>
          <w:lang w:val="en-GB"/>
        </w:rPr>
        <w:t>Role in this case:</w:t>
      </w:r>
      <w:r>
        <w:rPr>
          <w:rFonts w:eastAsia="Times New Roman"/>
          <w:lang w:val="en-GB"/>
        </w:rPr>
        <w:t xml:space="preserve"> Responsible for the physical supply and disconnection guarantee. There is no automatic data transfer between Vattenfall and Stedin: the patient must rebuild the entire medical case file from scratch with this new private provider. </w:t>
      </w:r>
    </w:p>
    <w:p w14:paraId="48C9C326" w14:textId="77777777" w:rsidR="009650FE" w:rsidRDefault="009650FE">
      <w:pPr>
        <w:divId w:val="656037364"/>
        <w:rPr>
          <w:rFonts w:eastAsia="Times New Roman"/>
          <w:lang w:val="en-GB"/>
        </w:rPr>
      </w:pPr>
      <w:r>
        <w:rPr>
          <w:rFonts w:eastAsia="Times New Roman"/>
          <w:b/>
          <w:bCs/>
          <w:color w:val="FFFFFF"/>
          <w:sz w:val="20"/>
          <w:szCs w:val="20"/>
          <w:shd w:val="clear" w:color="auto" w:fill="1A3C6E"/>
          <w:lang w:val="en-GB"/>
        </w:rPr>
        <w:t> 36 </w:t>
      </w:r>
      <w:r>
        <w:rPr>
          <w:rFonts w:eastAsia="Times New Roman"/>
          <w:lang w:val="en-GB"/>
        </w:rPr>
        <w:t xml:space="preserve"> </w:t>
      </w:r>
      <w:r>
        <w:rPr>
          <w:rStyle w:val="actor-naam1"/>
          <w:rFonts w:eastAsia="Times New Roman"/>
          <w:lang w:val="en-GB"/>
        </w:rPr>
        <w:t>Municipality of Hulst (including the Hulst voor Elkaar Foundation)</w:t>
      </w:r>
      <w:r>
        <w:rPr>
          <w:rFonts w:eastAsia="Times New Roman"/>
          <w:lang w:val="en-GB"/>
        </w:rPr>
        <w:br/>
      </w:r>
      <w:r>
        <w:rPr>
          <w:rStyle w:val="actor-naam1"/>
          <w:rFonts w:eastAsia="Times New Roman"/>
          <w:lang w:val="en-GB"/>
        </w:rPr>
        <w:t>–</w:t>
      </w:r>
      <w:r>
        <w:rPr>
          <w:rFonts w:eastAsia="Times New Roman"/>
          <w:lang w:val="en-GB"/>
        </w:rPr>
        <w:t xml:space="preserve"> a Dutch border municipality and its implementing body for the social sector (Social Support Act, Youth Act, Participation Act).</w:t>
      </w:r>
      <w:r>
        <w:rPr>
          <w:rFonts w:eastAsia="Times New Roman"/>
          <w:lang w:val="en-GB"/>
        </w:rPr>
        <w:br/>
      </w:r>
      <w:r>
        <w:rPr>
          <w:rStyle w:val="actor-rol1"/>
          <w:rFonts w:eastAsia="Times New Roman"/>
          <w:lang w:val="en-GB"/>
        </w:rPr>
        <w:t>Role in this case:</w:t>
      </w:r>
      <w:r>
        <w:rPr>
          <w:rFonts w:eastAsia="Times New Roman"/>
          <w:lang w:val="en-GB"/>
        </w:rPr>
        <w:t xml:space="preserve"> Emails and GDPR access requests are systematically met with DNS errors. Requests for assistance are deleted unread after months. The municipality refuses to recognise the European disabled parking card and demands a new local assessment. </w:t>
      </w:r>
    </w:p>
    <w:p w14:paraId="7F5056CD" w14:textId="77777777" w:rsidR="009650FE" w:rsidRDefault="009650FE">
      <w:pPr>
        <w:divId w:val="306277632"/>
        <w:rPr>
          <w:rFonts w:eastAsia="Times New Roman"/>
          <w:lang w:val="en-GB"/>
        </w:rPr>
      </w:pPr>
      <w:r>
        <w:rPr>
          <w:rFonts w:eastAsia="Times New Roman"/>
          <w:b/>
          <w:bCs/>
          <w:color w:val="FFFFFF"/>
          <w:sz w:val="20"/>
          <w:szCs w:val="20"/>
          <w:shd w:val="clear" w:color="auto" w:fill="1A3C6E"/>
          <w:lang w:val="en-GB"/>
        </w:rPr>
        <w:t> 37 </w:t>
      </w:r>
      <w:r>
        <w:rPr>
          <w:rFonts w:eastAsia="Times New Roman"/>
          <w:lang w:val="en-GB"/>
        </w:rPr>
        <w:t xml:space="preserve"> </w:t>
      </w:r>
      <w:r>
        <w:rPr>
          <w:rStyle w:val="actor-naam1"/>
          <w:rFonts w:eastAsia="Times New Roman"/>
          <w:lang w:val="en-GB"/>
        </w:rPr>
        <w:t>Travelling through Zeeland</w:t>
      </w:r>
      <w:r>
        <w:rPr>
          <w:rFonts w:eastAsia="Times New Roman"/>
          <w:lang w:val="en-GB"/>
        </w:rPr>
        <w:br/>
        <w:t>Regional transport centre for Wmo transport.</w:t>
      </w:r>
      <w:r>
        <w:rPr>
          <w:rFonts w:eastAsia="Times New Roman"/>
          <w:lang w:val="en-GB"/>
        </w:rPr>
        <w:br/>
      </w:r>
      <w:r>
        <w:rPr>
          <w:rStyle w:val="actor-rol1"/>
          <w:rFonts w:eastAsia="Times New Roman"/>
          <w:lang w:val="en-GB"/>
        </w:rPr>
        <w:t>Role in this case:</w:t>
      </w:r>
      <w:r>
        <w:rPr>
          <w:rFonts w:eastAsia="Times New Roman"/>
          <w:lang w:val="en-GB"/>
        </w:rPr>
        <w:t xml:space="preserve"> Refuses journeys to Belgian government agencies (e.g. FPS medical examinations), but accepts journeys to academic hospitals across the border. The system distinguishes based on destination, not distance. The direct debit schedule does not take into account the pay cycle of cross-border workers. </w:t>
      </w:r>
    </w:p>
    <w:p w14:paraId="481EFA0C" w14:textId="77777777" w:rsidR="009650FE" w:rsidRDefault="009650FE">
      <w:pPr>
        <w:pStyle w:val="Kop4"/>
        <w:divId w:val="953290302"/>
        <w:rPr>
          <w:rFonts w:eastAsia="Times New Roman"/>
          <w:lang w:val="en-GB"/>
        </w:rPr>
      </w:pPr>
      <w:r>
        <w:rPr>
          <w:rFonts w:eastAsia="Times New Roman"/>
          <w:lang w:val="en-GB"/>
        </w:rPr>
        <w:t>Supervision</w:t>
      </w:r>
    </w:p>
    <w:p w14:paraId="676B76B3" w14:textId="77777777" w:rsidR="009650FE" w:rsidRDefault="009650FE">
      <w:pPr>
        <w:divId w:val="1327244083"/>
        <w:rPr>
          <w:rFonts w:eastAsia="Times New Roman"/>
          <w:lang w:val="en-GB"/>
        </w:rPr>
      </w:pPr>
      <w:r>
        <w:rPr>
          <w:rFonts w:eastAsia="Times New Roman"/>
          <w:b/>
          <w:bCs/>
          <w:color w:val="FFFFFF"/>
          <w:sz w:val="20"/>
          <w:szCs w:val="20"/>
          <w:shd w:val="clear" w:color="auto" w:fill="1A3C6E"/>
          <w:lang w:val="en-GB"/>
        </w:rPr>
        <w:t> 38 </w:t>
      </w:r>
      <w:r>
        <w:rPr>
          <w:rFonts w:eastAsia="Times New Roman"/>
          <w:lang w:val="en-GB"/>
        </w:rPr>
        <w:t xml:space="preserve"> </w:t>
      </w:r>
      <w:r>
        <w:rPr>
          <w:rStyle w:val="actor-naam1"/>
          <w:rFonts w:eastAsia="Times New Roman"/>
          <w:lang w:val="en-GB"/>
        </w:rPr>
        <w:t>The National Ombudsman (NL)</w:t>
      </w:r>
      <w:r>
        <w:rPr>
          <w:rFonts w:eastAsia="Times New Roman"/>
          <w:lang w:val="en-GB"/>
        </w:rPr>
        <w:br/>
        <w:t>An independent high-level state body that scrutinises the actions of Dutch public authorities.</w:t>
      </w:r>
      <w:r>
        <w:rPr>
          <w:rFonts w:eastAsia="Times New Roman"/>
          <w:lang w:val="en-GB"/>
        </w:rPr>
        <w:br/>
      </w:r>
      <w:r>
        <w:rPr>
          <w:rStyle w:val="actor-rol1"/>
          <w:rFonts w:eastAsia="Times New Roman"/>
          <w:lang w:val="en-GB"/>
        </w:rPr>
        <w:t>Role in this case:</w:t>
      </w:r>
      <w:r>
        <w:rPr>
          <w:rFonts w:eastAsia="Times New Roman"/>
          <w:lang w:val="en-GB"/>
        </w:rPr>
        <w:t xml:space="preserve"> Registers the complaint, reports capacity issues and refuses to intervene actively whilst objection or appeal proceedings are ongoing. Closes the case definitively and registers it as a passive signal. </w:t>
      </w:r>
    </w:p>
    <w:p w14:paraId="20B590CA" w14:textId="77777777" w:rsidR="009650FE" w:rsidRDefault="009650FE">
      <w:pPr>
        <w:divId w:val="2114979997"/>
        <w:rPr>
          <w:rFonts w:eastAsia="Times New Roman"/>
          <w:lang w:val="en-GB"/>
        </w:rPr>
      </w:pPr>
      <w:r>
        <w:rPr>
          <w:rFonts w:eastAsia="Times New Roman"/>
          <w:b/>
          <w:bCs/>
          <w:color w:val="FFFFFF"/>
          <w:sz w:val="20"/>
          <w:szCs w:val="20"/>
          <w:shd w:val="clear" w:color="auto" w:fill="1A3C6E"/>
          <w:lang w:val="en-GB"/>
        </w:rPr>
        <w:t> 39 </w:t>
      </w:r>
      <w:r>
        <w:rPr>
          <w:rFonts w:eastAsia="Times New Roman"/>
          <w:lang w:val="en-GB"/>
        </w:rPr>
        <w:t xml:space="preserve"> </w:t>
      </w:r>
      <w:r>
        <w:rPr>
          <w:rStyle w:val="actor-naam1"/>
          <w:rFonts w:eastAsia="Times New Roman"/>
          <w:lang w:val="en-GB"/>
        </w:rPr>
        <w:t>Dutch Healthcare Institute (ZIN) — supervision</w:t>
      </w:r>
      <w:r>
        <w:rPr>
          <w:rFonts w:eastAsia="Times New Roman"/>
          <w:lang w:val="en-GB"/>
        </w:rPr>
        <w:br/>
        <w:t>Carries out systemic supervision of the lawful implementation of the Health Insurance Act.</w:t>
      </w:r>
      <w:r>
        <w:rPr>
          <w:rFonts w:eastAsia="Times New Roman"/>
          <w:lang w:val="en-GB"/>
        </w:rPr>
        <w:br/>
      </w:r>
      <w:r>
        <w:rPr>
          <w:rStyle w:val="actor-rol1"/>
          <w:rFonts w:eastAsia="Times New Roman"/>
          <w:lang w:val="en-GB"/>
        </w:rPr>
        <w:t>Role in this case:</w:t>
      </w:r>
      <w:r>
        <w:rPr>
          <w:rFonts w:eastAsia="Times New Roman"/>
          <w:lang w:val="en-GB"/>
        </w:rPr>
        <w:t xml:space="preserve"> The body that manages the RIV register states that it has no access to individual personal data and refuses to inspect the register. The tripartite dialogue between CZ, CAK and ZIN remains at a standstill. </w:t>
      </w:r>
    </w:p>
    <w:p w14:paraId="70804E1A" w14:textId="77777777" w:rsidR="009650FE" w:rsidRDefault="009650FE">
      <w:pPr>
        <w:pStyle w:val="Kop4"/>
        <w:divId w:val="953290302"/>
        <w:rPr>
          <w:rFonts w:eastAsia="Times New Roman"/>
          <w:lang w:val="en-GB"/>
        </w:rPr>
      </w:pPr>
      <w:r>
        <w:rPr>
          <w:rFonts w:eastAsia="Times New Roman"/>
          <w:lang w:val="en-GB"/>
        </w:rPr>
        <w:t>Politics</w:t>
      </w:r>
    </w:p>
    <w:p w14:paraId="0541288B" w14:textId="77777777" w:rsidR="009650FE" w:rsidRDefault="009650FE">
      <w:pPr>
        <w:divId w:val="1848597505"/>
        <w:rPr>
          <w:rFonts w:eastAsia="Times New Roman"/>
          <w:lang w:val="en-GB"/>
        </w:rPr>
      </w:pPr>
      <w:r>
        <w:rPr>
          <w:rFonts w:eastAsia="Times New Roman"/>
          <w:b/>
          <w:bCs/>
          <w:color w:val="FFFFFF"/>
          <w:sz w:val="20"/>
          <w:szCs w:val="20"/>
          <w:shd w:val="clear" w:color="auto" w:fill="1A3C6E"/>
          <w:lang w:val="en-GB"/>
        </w:rPr>
        <w:t> 40 </w:t>
      </w:r>
      <w:r>
        <w:rPr>
          <w:rFonts w:eastAsia="Times New Roman"/>
          <w:lang w:val="en-GB"/>
        </w:rPr>
        <w:t xml:space="preserve"> </w:t>
      </w:r>
      <w:r>
        <w:rPr>
          <w:rStyle w:val="actor-naam1"/>
          <w:rFonts w:eastAsia="Times New Roman"/>
          <w:lang w:val="en-GB"/>
        </w:rPr>
        <w:t>House of Representatives — Standing Committee on Social</w:t>
      </w:r>
      <w:r>
        <w:rPr>
          <w:rFonts w:eastAsia="Times New Roman"/>
          <w:lang w:val="en-GB"/>
        </w:rPr>
        <w:br/>
      </w:r>
      <w:r>
        <w:rPr>
          <w:rStyle w:val="actor-naam1"/>
          <w:rFonts w:eastAsia="Times New Roman"/>
          <w:lang w:val="en-GB"/>
        </w:rPr>
        <w:t>Affairs and Employment</w:t>
      </w:r>
      <w:r>
        <w:rPr>
          <w:rFonts w:eastAsia="Times New Roman"/>
          <w:lang w:val="en-GB"/>
        </w:rPr>
        <w:t xml:space="preserve"> The parliamentary committee responsible for overseeing the Dutch social security system.</w:t>
      </w:r>
      <w:r>
        <w:rPr>
          <w:rFonts w:eastAsia="Times New Roman"/>
          <w:lang w:val="en-GB"/>
        </w:rPr>
        <w:br/>
      </w:r>
      <w:r>
        <w:rPr>
          <w:rStyle w:val="actor-rol1"/>
          <w:rFonts w:eastAsia="Times New Roman"/>
          <w:lang w:val="en-GB"/>
        </w:rPr>
        <w:t>Role in this matter:</w:t>
      </w:r>
      <w:r>
        <w:rPr>
          <w:rFonts w:eastAsia="Times New Roman"/>
          <w:lang w:val="en-GB"/>
        </w:rPr>
        <w:t xml:space="preserve"> Formally records the urgent letter and sets the matter aside pending a committee debate. Explicitly rules out individual consideration. </w:t>
      </w:r>
    </w:p>
    <w:p w14:paraId="2FBD21F5" w14:textId="77777777" w:rsidR="009650FE" w:rsidRDefault="009650FE">
      <w:pPr>
        <w:divId w:val="616104511"/>
        <w:rPr>
          <w:rFonts w:eastAsia="Times New Roman"/>
          <w:lang w:val="en-GB"/>
        </w:rPr>
      </w:pPr>
      <w:r>
        <w:rPr>
          <w:rFonts w:eastAsia="Times New Roman"/>
          <w:b/>
          <w:bCs/>
          <w:color w:val="FFFFFF"/>
          <w:sz w:val="20"/>
          <w:szCs w:val="20"/>
          <w:shd w:val="clear" w:color="auto" w:fill="1A3C6E"/>
          <w:lang w:val="en-GB"/>
        </w:rPr>
        <w:t> 41 </w:t>
      </w:r>
      <w:r>
        <w:rPr>
          <w:rFonts w:eastAsia="Times New Roman"/>
          <w:lang w:val="en-GB"/>
        </w:rPr>
        <w:t xml:space="preserve"> </w:t>
      </w:r>
      <w:r>
        <w:rPr>
          <w:rStyle w:val="actor-naam1"/>
          <w:rFonts w:eastAsia="Times New Roman"/>
          <w:lang w:val="en-GB"/>
        </w:rPr>
        <w:t>Dutch Political Parties</w:t>
      </w:r>
      <w:r>
        <w:rPr>
          <w:rFonts w:eastAsia="Times New Roman"/>
          <w:lang w:val="en-GB"/>
        </w:rPr>
        <w:br/>
        <w:t>The parties representing the people in the Dutch parliament.</w:t>
      </w:r>
      <w:r>
        <w:rPr>
          <w:rFonts w:eastAsia="Times New Roman"/>
          <w:lang w:val="en-GB"/>
        </w:rPr>
        <w:br/>
      </w:r>
      <w:r>
        <w:rPr>
          <w:rStyle w:val="actor-rol1"/>
          <w:rFonts w:eastAsia="Times New Roman"/>
          <w:lang w:val="en-GB"/>
        </w:rPr>
        <w:t>Role in this case:</w:t>
      </w:r>
      <w:r>
        <w:rPr>
          <w:rFonts w:eastAsia="Times New Roman"/>
          <w:lang w:val="en-GB"/>
        </w:rPr>
        <w:t xml:space="preserve"> Governing parties refer the matter to the National Ombudsman. Opposition parties forward the case to policy advisers. None of the parties invokes a parliamentary procedure. </w:t>
      </w:r>
    </w:p>
    <w:p w14:paraId="05CC7618" w14:textId="77777777" w:rsidR="009650FE" w:rsidRDefault="009650FE">
      <w:pPr>
        <w:pStyle w:val="Kop4"/>
        <w:divId w:val="953290302"/>
        <w:rPr>
          <w:rFonts w:eastAsia="Times New Roman"/>
          <w:lang w:val="en-GB"/>
        </w:rPr>
      </w:pPr>
      <w:r>
        <w:rPr>
          <w:rFonts w:eastAsia="Times New Roman"/>
          <w:lang w:val="en-GB"/>
        </w:rPr>
        <w:t>Symbolism</w:t>
      </w:r>
    </w:p>
    <w:p w14:paraId="0FDB3224" w14:textId="77777777" w:rsidR="009650FE" w:rsidRDefault="009650FE">
      <w:pPr>
        <w:divId w:val="1033842046"/>
        <w:rPr>
          <w:rFonts w:eastAsia="Times New Roman"/>
          <w:lang w:val="en-GB"/>
        </w:rPr>
      </w:pPr>
      <w:r>
        <w:rPr>
          <w:rFonts w:eastAsia="Times New Roman"/>
          <w:b/>
          <w:bCs/>
          <w:color w:val="FFFFFF"/>
          <w:sz w:val="20"/>
          <w:szCs w:val="20"/>
          <w:shd w:val="clear" w:color="auto" w:fill="1A3C6E"/>
          <w:lang w:val="en-GB"/>
        </w:rPr>
        <w:t> 42 </w:t>
      </w:r>
      <w:r>
        <w:rPr>
          <w:rFonts w:eastAsia="Times New Roman"/>
          <w:lang w:val="en-GB"/>
        </w:rPr>
        <w:t xml:space="preserve"> </w:t>
      </w:r>
      <w:r>
        <w:rPr>
          <w:rStyle w:val="actor-naam1"/>
          <w:rFonts w:eastAsia="Times New Roman"/>
          <w:lang w:val="en-GB"/>
        </w:rPr>
        <w:t>The Royal House</w:t>
      </w:r>
      <w:r>
        <w:rPr>
          <w:rFonts w:eastAsia="Times New Roman"/>
          <w:lang w:val="en-GB"/>
        </w:rPr>
        <w:br/>
        <w:t>The constitutional office of the Dutch Head of State.</w:t>
      </w:r>
      <w:r>
        <w:rPr>
          <w:rFonts w:eastAsia="Times New Roman"/>
          <w:lang w:val="en-GB"/>
        </w:rPr>
        <w:br/>
      </w:r>
      <w:r>
        <w:rPr>
          <w:rStyle w:val="actor-rol1"/>
          <w:rFonts w:eastAsia="Times New Roman"/>
          <w:lang w:val="en-GB"/>
        </w:rPr>
        <w:t>Role in this case:</w:t>
      </w:r>
      <w:r>
        <w:rPr>
          <w:rFonts w:eastAsia="Times New Roman"/>
          <w:lang w:val="en-GB"/>
        </w:rPr>
        <w:t xml:space="preserve"> The Cabinet confirms that it is unable to intervene and offers to forward the petition to the relevant minister. The national escalation procedure has been exhausted without a substantive solution being found. </w:t>
      </w:r>
    </w:p>
    <w:tbl>
      <w:tblPr>
        <w:tblW w:w="5000" w:type="pct"/>
        <w:tblCellMar>
          <w:top w:w="15" w:type="dxa"/>
          <w:left w:w="15" w:type="dxa"/>
          <w:bottom w:w="15" w:type="dxa"/>
          <w:right w:w="15" w:type="dxa"/>
        </w:tblCellMar>
        <w:tblLook w:val="04A0" w:firstRow="1" w:lastRow="0" w:firstColumn="1" w:lastColumn="0" w:noHBand="0" w:noVBand="1"/>
      </w:tblPr>
      <w:tblGrid>
        <w:gridCol w:w="9019"/>
      </w:tblGrid>
      <w:tr w:rsidR="00000000" w14:paraId="3585708B" w14:textId="77777777">
        <w:trPr>
          <w:divId w:val="953290302"/>
        </w:trPr>
        <w:tc>
          <w:tcPr>
            <w:tcW w:w="0" w:type="auto"/>
            <w:tcBorders>
              <w:top w:val="single" w:sz="6" w:space="0" w:color="D5D0C5"/>
              <w:left w:val="single" w:sz="36" w:space="0" w:color="0D7377"/>
              <w:bottom w:val="single" w:sz="6" w:space="0" w:color="D5D0C5"/>
              <w:right w:val="single" w:sz="6" w:space="0" w:color="D5D0C5"/>
            </w:tcBorders>
            <w:shd w:val="clear" w:color="auto" w:fill="EAF4F4"/>
            <w:tcMar>
              <w:top w:w="160" w:type="dxa"/>
              <w:left w:w="240" w:type="dxa"/>
              <w:bottom w:w="160" w:type="dxa"/>
              <w:right w:w="240" w:type="dxa"/>
            </w:tcMar>
            <w:hideMark/>
          </w:tcPr>
          <w:p w14:paraId="671F4420" w14:textId="77777777" w:rsidR="009650FE" w:rsidRDefault="009650FE">
            <w:pPr>
              <w:spacing w:before="240" w:after="240"/>
              <w:rPr>
                <w:rFonts w:eastAsia="Times New Roman"/>
                <w:sz w:val="21"/>
                <w:szCs w:val="21"/>
              </w:rPr>
            </w:pPr>
            <w:r>
              <w:rPr>
                <w:rStyle w:val="Zwaar"/>
                <w:rFonts w:eastAsia="Times New Roman"/>
                <w:sz w:val="21"/>
                <w:szCs w:val="21"/>
              </w:rPr>
              <w:t>EU OUTER LAYER</w:t>
            </w:r>
          </w:p>
        </w:tc>
      </w:tr>
    </w:tbl>
    <w:p w14:paraId="5B3B5412" w14:textId="77777777" w:rsidR="009650FE" w:rsidRDefault="009650FE">
      <w:pPr>
        <w:pStyle w:val="Kop4"/>
        <w:divId w:val="953290302"/>
        <w:rPr>
          <w:rFonts w:eastAsia="Times New Roman"/>
          <w:lang w:val="en-GB"/>
        </w:rPr>
      </w:pPr>
      <w:r>
        <w:rPr>
          <w:rFonts w:eastAsia="Times New Roman"/>
          <w:lang w:val="en-GB"/>
        </w:rPr>
        <w:t>Settings</w:t>
      </w:r>
    </w:p>
    <w:p w14:paraId="0E150CA3" w14:textId="77777777" w:rsidR="009650FE" w:rsidRDefault="009650FE">
      <w:pPr>
        <w:divId w:val="95709629"/>
        <w:rPr>
          <w:rFonts w:eastAsia="Times New Roman"/>
          <w:lang w:val="en-GB"/>
        </w:rPr>
      </w:pPr>
      <w:r>
        <w:rPr>
          <w:rFonts w:eastAsia="Times New Roman"/>
          <w:b/>
          <w:bCs/>
          <w:color w:val="FFFFFF"/>
          <w:sz w:val="20"/>
          <w:szCs w:val="20"/>
          <w:shd w:val="clear" w:color="auto" w:fill="0D7377"/>
          <w:lang w:val="en-GB"/>
        </w:rPr>
        <w:t> 43 </w:t>
      </w:r>
      <w:r>
        <w:rPr>
          <w:rFonts w:eastAsia="Times New Roman"/>
          <w:lang w:val="en-GB"/>
        </w:rPr>
        <w:t xml:space="preserve"> </w:t>
      </w:r>
      <w:r>
        <w:rPr>
          <w:rStyle w:val="actor-naam1"/>
          <w:rFonts w:eastAsia="Times New Roman"/>
          <w:lang w:val="en-GB"/>
        </w:rPr>
        <w:t>European Commission — DG EMPL</w:t>
      </w:r>
      <w:r>
        <w:rPr>
          <w:rFonts w:eastAsia="Times New Roman"/>
          <w:lang w:val="en-GB"/>
        </w:rPr>
        <w:br/>
        <w:t>The EU’s executive body responsible for ensuring the application of EU law.</w:t>
      </w:r>
      <w:r>
        <w:rPr>
          <w:rFonts w:eastAsia="Times New Roman"/>
          <w:lang w:val="en-GB"/>
        </w:rPr>
        <w:br/>
      </w:r>
      <w:r>
        <w:rPr>
          <w:rStyle w:val="actor-rol1"/>
          <w:rFonts w:eastAsia="Times New Roman"/>
          <w:lang w:val="en-GB"/>
        </w:rPr>
        <w:t>Role in this case:</w:t>
      </w:r>
      <w:r>
        <w:rPr>
          <w:rFonts w:eastAsia="Times New Roman"/>
          <w:lang w:val="en-GB"/>
        </w:rPr>
        <w:t xml:space="preserve"> Registers the complaint, consolidates multiple complaints, but has no enforcement powers in individual cases. Can only initiate infringement proceedings — a process that can take years. </w:t>
      </w:r>
    </w:p>
    <w:p w14:paraId="58927160" w14:textId="77777777" w:rsidR="009650FE" w:rsidRDefault="009650FE">
      <w:pPr>
        <w:divId w:val="358972509"/>
        <w:rPr>
          <w:rFonts w:eastAsia="Times New Roman"/>
          <w:lang w:val="en-GB"/>
        </w:rPr>
      </w:pPr>
      <w:r>
        <w:rPr>
          <w:rFonts w:eastAsia="Times New Roman"/>
          <w:b/>
          <w:bCs/>
          <w:color w:val="FFFFFF"/>
          <w:sz w:val="20"/>
          <w:szCs w:val="20"/>
          <w:shd w:val="clear" w:color="auto" w:fill="0D7377"/>
          <w:lang w:val="en-GB"/>
        </w:rPr>
        <w:t> 44 </w:t>
      </w:r>
      <w:r>
        <w:rPr>
          <w:rFonts w:eastAsia="Times New Roman"/>
          <w:lang w:val="en-GB"/>
        </w:rPr>
        <w:t xml:space="preserve"> </w:t>
      </w:r>
      <w:r>
        <w:rPr>
          <w:rStyle w:val="actor-naam1"/>
          <w:rFonts w:eastAsia="Times New Roman"/>
          <w:lang w:val="en-GB"/>
        </w:rPr>
        <w:t>European Parliament — Committee on Petitions (PETI)</w:t>
      </w:r>
      <w:r>
        <w:rPr>
          <w:rFonts w:eastAsia="Times New Roman"/>
          <w:lang w:val="en-GB"/>
        </w:rPr>
        <w:br/>
        <w:t>The committee responsible for dealing with petitions from EU citizens.</w:t>
      </w:r>
      <w:r>
        <w:rPr>
          <w:rFonts w:eastAsia="Times New Roman"/>
          <w:lang w:val="en-GB"/>
        </w:rPr>
        <w:br/>
      </w:r>
      <w:r>
        <w:rPr>
          <w:rStyle w:val="actor-rol1"/>
          <w:rFonts w:eastAsia="Times New Roman"/>
          <w:lang w:val="en-GB"/>
        </w:rPr>
        <w:t>Role in this case:</w:t>
      </w:r>
      <w:r>
        <w:rPr>
          <w:rFonts w:eastAsia="Times New Roman"/>
          <w:lang w:val="en-GB"/>
        </w:rPr>
        <w:t xml:space="preserve"> Declares a petition admissible, publishes a summary, and opens the petition for co-signatories. However, it cannot overturn national implementing decisions. </w:t>
      </w:r>
    </w:p>
    <w:p w14:paraId="05145781" w14:textId="77777777" w:rsidR="009650FE" w:rsidRDefault="009650FE">
      <w:pPr>
        <w:divId w:val="718631738"/>
        <w:rPr>
          <w:rFonts w:eastAsia="Times New Roman"/>
          <w:lang w:val="en-GB"/>
        </w:rPr>
      </w:pPr>
      <w:r>
        <w:rPr>
          <w:rFonts w:eastAsia="Times New Roman"/>
          <w:b/>
          <w:bCs/>
          <w:color w:val="FFFFFF"/>
          <w:sz w:val="20"/>
          <w:szCs w:val="20"/>
          <w:shd w:val="clear" w:color="auto" w:fill="0D7377"/>
          <w:lang w:val="en-GB"/>
        </w:rPr>
        <w:t> 45 </w:t>
      </w:r>
      <w:r>
        <w:rPr>
          <w:rFonts w:eastAsia="Times New Roman"/>
          <w:lang w:val="en-GB"/>
        </w:rPr>
        <w:t xml:space="preserve"> </w:t>
      </w:r>
      <w:r>
        <w:rPr>
          <w:rStyle w:val="actor-naam1"/>
          <w:rFonts w:eastAsia="Times New Roman"/>
          <w:lang w:val="en-GB"/>
        </w:rPr>
        <w:t>European Ombudsman</w:t>
      </w:r>
      <w:r>
        <w:rPr>
          <w:rFonts w:eastAsia="Times New Roman"/>
          <w:lang w:val="en-GB"/>
        </w:rPr>
        <w:br/>
        <w:t>: Independent ombudsman for EU institutions.</w:t>
      </w:r>
      <w:r>
        <w:rPr>
          <w:rFonts w:eastAsia="Times New Roman"/>
          <w:lang w:val="en-GB"/>
        </w:rPr>
        <w:br/>
      </w:r>
      <w:r>
        <w:rPr>
          <w:rStyle w:val="actor-rol1"/>
          <w:rFonts w:eastAsia="Times New Roman"/>
          <w:lang w:val="en-GB"/>
        </w:rPr>
        <w:t>Role in this case:</w:t>
      </w:r>
      <w:r>
        <w:rPr>
          <w:rFonts w:eastAsia="Times New Roman"/>
          <w:lang w:val="en-GB"/>
        </w:rPr>
        <w:t xml:space="preserve"> Declares a complaint about SOLVIT inadmissible: SOLVIT is a national service, not an EU institution. SOLVIT’s failure falls into a jurisdictional vacuum. </w:t>
      </w:r>
    </w:p>
    <w:p w14:paraId="786DAB5A" w14:textId="77777777" w:rsidR="009650FE" w:rsidRDefault="009650FE">
      <w:pPr>
        <w:divId w:val="364332281"/>
        <w:rPr>
          <w:rFonts w:eastAsia="Times New Roman"/>
          <w:lang w:val="en-GB"/>
        </w:rPr>
      </w:pPr>
      <w:r>
        <w:rPr>
          <w:rFonts w:eastAsia="Times New Roman"/>
          <w:b/>
          <w:bCs/>
          <w:color w:val="FFFFFF"/>
          <w:sz w:val="20"/>
          <w:szCs w:val="20"/>
          <w:shd w:val="clear" w:color="auto" w:fill="0D7377"/>
          <w:lang w:val="en-GB"/>
        </w:rPr>
        <w:t> 46 </w:t>
      </w:r>
      <w:r>
        <w:rPr>
          <w:rFonts w:eastAsia="Times New Roman"/>
          <w:lang w:val="en-GB"/>
        </w:rPr>
        <w:t xml:space="preserve"> </w:t>
      </w:r>
      <w:r>
        <w:rPr>
          <w:rStyle w:val="actor-naam1"/>
          <w:rFonts w:eastAsia="Times New Roman"/>
          <w:lang w:val="en-GB"/>
        </w:rPr>
        <w:t>European Council (EUCO)</w:t>
      </w:r>
      <w:r>
        <w:rPr>
          <w:rFonts w:eastAsia="Times New Roman"/>
          <w:lang w:val="en-GB"/>
        </w:rPr>
        <w:br/>
        <w:t>The EU’s highest political body, comprising the Heads of State or Government.</w:t>
      </w:r>
      <w:r>
        <w:rPr>
          <w:rFonts w:eastAsia="Times New Roman"/>
          <w:lang w:val="en-GB"/>
        </w:rPr>
        <w:br/>
      </w:r>
      <w:r>
        <w:rPr>
          <w:rStyle w:val="actor-rol1"/>
          <w:rFonts w:eastAsia="Times New Roman"/>
          <w:lang w:val="en-GB"/>
        </w:rPr>
        <w:t>Role in this matter:</w:t>
      </w:r>
      <w:r>
        <w:rPr>
          <w:rFonts w:eastAsia="Times New Roman"/>
          <w:lang w:val="en-GB"/>
        </w:rPr>
        <w:t xml:space="preserve"> </w:t>
      </w:r>
      <w:r>
        <w:rPr>
          <w:rFonts w:eastAsia="Times New Roman"/>
          <w:lang w:val="en-GB"/>
        </w:rPr>
        <w:t xml:space="preserve">Sets the long-term strategic direction, but has no mechanism for engaging with individual citizens. It is too removed from day-to-day implementation to play a role. </w:t>
      </w:r>
    </w:p>
    <w:p w14:paraId="2253A471" w14:textId="77777777" w:rsidR="009650FE" w:rsidRDefault="009650FE">
      <w:pPr>
        <w:divId w:val="623460295"/>
        <w:rPr>
          <w:rFonts w:eastAsia="Times New Roman"/>
          <w:lang w:val="en-GB"/>
        </w:rPr>
      </w:pPr>
      <w:r>
        <w:rPr>
          <w:rFonts w:eastAsia="Times New Roman"/>
          <w:b/>
          <w:bCs/>
          <w:color w:val="FFFFFF"/>
          <w:sz w:val="20"/>
          <w:szCs w:val="20"/>
          <w:shd w:val="clear" w:color="auto" w:fill="0D7377"/>
          <w:lang w:val="en-GB"/>
        </w:rPr>
        <w:t> 47 </w:t>
      </w:r>
      <w:r>
        <w:rPr>
          <w:rFonts w:eastAsia="Times New Roman"/>
          <w:lang w:val="en-GB"/>
        </w:rPr>
        <w:t xml:space="preserve"> </w:t>
      </w:r>
      <w:r>
        <w:rPr>
          <w:rStyle w:val="actor-naam1"/>
          <w:rFonts w:eastAsia="Times New Roman"/>
          <w:lang w:val="en-GB"/>
        </w:rPr>
        <w:t>European Court of Human Rights (ECHR)</w:t>
      </w:r>
      <w:r>
        <w:rPr>
          <w:rFonts w:eastAsia="Times New Roman"/>
          <w:lang w:val="en-GB"/>
        </w:rPr>
        <w:br/>
        <w:t>– the Council of Europe’s international court of justice.</w:t>
      </w:r>
      <w:r>
        <w:rPr>
          <w:rFonts w:eastAsia="Times New Roman"/>
          <w:lang w:val="en-GB"/>
        </w:rPr>
        <w:br/>
      </w:r>
      <w:r>
        <w:rPr>
          <w:rStyle w:val="actor-rol1"/>
          <w:rFonts w:eastAsia="Times New Roman"/>
          <w:lang w:val="en-GB"/>
        </w:rPr>
        <w:t>Role in this case:</w:t>
      </w:r>
      <w:r>
        <w:rPr>
          <w:rFonts w:eastAsia="Times New Roman"/>
          <w:lang w:val="en-GB"/>
        </w:rPr>
        <w:t xml:space="preserve"> Declared the application inadmissible on the grounds that domestic remedies had not been fully exhausted. Reduces the transnational issue to a dispute against the Belgian State alone. </w:t>
      </w:r>
    </w:p>
    <w:p w14:paraId="7DD8498E" w14:textId="77777777" w:rsidR="009650FE" w:rsidRDefault="009650FE">
      <w:pPr>
        <w:divId w:val="1383551928"/>
        <w:rPr>
          <w:rFonts w:eastAsia="Times New Roman"/>
          <w:lang w:val="en-GB"/>
        </w:rPr>
      </w:pPr>
      <w:r>
        <w:rPr>
          <w:rFonts w:eastAsia="Times New Roman"/>
          <w:b/>
          <w:bCs/>
          <w:color w:val="FFFFFF"/>
          <w:sz w:val="20"/>
          <w:szCs w:val="20"/>
          <w:shd w:val="clear" w:color="auto" w:fill="0D7377"/>
          <w:lang w:val="en-GB"/>
        </w:rPr>
        <w:t> 48 </w:t>
      </w:r>
      <w:r>
        <w:rPr>
          <w:rFonts w:eastAsia="Times New Roman"/>
          <w:lang w:val="en-GB"/>
        </w:rPr>
        <w:t xml:space="preserve"> </w:t>
      </w:r>
      <w:r>
        <w:rPr>
          <w:rStyle w:val="actor-naam1"/>
          <w:rFonts w:eastAsia="Times New Roman"/>
          <w:lang w:val="en-GB"/>
        </w:rPr>
        <w:t>European Labour Authority (ELA)</w:t>
      </w:r>
      <w:r>
        <w:rPr>
          <w:rFonts w:eastAsia="Times New Roman"/>
          <w:lang w:val="en-GB"/>
        </w:rPr>
        <w:br/>
        <w:t>Specialised EU agency for fair labour mobility and the coordination of social security.</w:t>
      </w:r>
      <w:r>
        <w:rPr>
          <w:rFonts w:eastAsia="Times New Roman"/>
          <w:lang w:val="en-GB"/>
        </w:rPr>
        <w:br/>
      </w:r>
      <w:r>
        <w:rPr>
          <w:rStyle w:val="actor-rol1"/>
          <w:rFonts w:eastAsia="Times New Roman"/>
          <w:lang w:val="en-GB"/>
        </w:rPr>
        <w:t>Role in this matter:</w:t>
      </w:r>
      <w:r>
        <w:rPr>
          <w:rFonts w:eastAsia="Times New Roman"/>
          <w:lang w:val="en-GB"/>
        </w:rPr>
        <w:t xml:space="preserve"> Acts as a mediator solely at the request of national governments themselves, not at the request of individual citizens. The specialised emergency exit remains closed to those who need it most. </w:t>
      </w:r>
    </w:p>
    <w:p w14:paraId="6D8AC9DD" w14:textId="77777777" w:rsidR="009650FE" w:rsidRDefault="009650FE">
      <w:pPr>
        <w:pStyle w:val="Kop4"/>
        <w:divId w:val="953290302"/>
        <w:rPr>
          <w:rFonts w:eastAsia="Times New Roman"/>
          <w:lang w:val="en-GB"/>
        </w:rPr>
      </w:pPr>
      <w:r>
        <w:rPr>
          <w:rFonts w:eastAsia="Times New Roman"/>
          <w:lang w:val="en-GB"/>
        </w:rPr>
        <w:t>Mediation</w:t>
      </w:r>
    </w:p>
    <w:p w14:paraId="006F181A" w14:textId="77777777" w:rsidR="009650FE" w:rsidRDefault="009650FE">
      <w:pPr>
        <w:divId w:val="1828323731"/>
        <w:rPr>
          <w:rFonts w:eastAsia="Times New Roman"/>
          <w:lang w:val="en-GB"/>
        </w:rPr>
      </w:pPr>
      <w:r>
        <w:rPr>
          <w:rFonts w:eastAsia="Times New Roman"/>
          <w:b/>
          <w:bCs/>
          <w:color w:val="FFFFFF"/>
          <w:sz w:val="20"/>
          <w:szCs w:val="20"/>
          <w:shd w:val="clear" w:color="auto" w:fill="0D7377"/>
          <w:lang w:val="en-GB"/>
        </w:rPr>
        <w:t> 49 </w:t>
      </w:r>
      <w:r>
        <w:rPr>
          <w:rFonts w:eastAsia="Times New Roman"/>
          <w:lang w:val="en-GB"/>
        </w:rPr>
        <w:t xml:space="preserve"> </w:t>
      </w:r>
      <w:r>
        <w:rPr>
          <w:rStyle w:val="actor-naam1"/>
          <w:rFonts w:eastAsia="Times New Roman"/>
          <w:lang w:val="en-GB"/>
        </w:rPr>
        <w:t>SOLVIT Netherlands</w:t>
      </w:r>
      <w:r>
        <w:rPr>
          <w:rFonts w:eastAsia="Times New Roman"/>
          <w:lang w:val="en-GB"/>
        </w:rPr>
        <w:br/>
        <w:t>The Dutch national centre of the European informal problem-solving network.</w:t>
      </w:r>
      <w:r>
        <w:rPr>
          <w:rFonts w:eastAsia="Times New Roman"/>
          <w:lang w:val="en-GB"/>
        </w:rPr>
        <w:br/>
      </w:r>
      <w:r>
        <w:rPr>
          <w:rStyle w:val="actor-rol1"/>
          <w:rFonts w:eastAsia="Times New Roman"/>
          <w:lang w:val="en-GB"/>
        </w:rPr>
        <w:t>Role in this case:</w:t>
      </w:r>
      <w:r>
        <w:rPr>
          <w:rFonts w:eastAsia="Times New Roman"/>
          <w:lang w:val="en-GB"/>
        </w:rPr>
        <w:t xml:space="preserve"> Closes both cases, concluding that the national reference periods have been applied correctly. Refuses to review the Vester judgement. Refuses to refer the matter to the ELA. </w:t>
      </w:r>
    </w:p>
    <w:p w14:paraId="40FC57D1" w14:textId="77777777" w:rsidR="009650FE" w:rsidRDefault="009650FE">
      <w:pPr>
        <w:divId w:val="1913421604"/>
        <w:rPr>
          <w:rFonts w:eastAsia="Times New Roman"/>
          <w:lang w:val="en-GB"/>
        </w:rPr>
      </w:pPr>
      <w:r>
        <w:rPr>
          <w:rFonts w:eastAsia="Times New Roman"/>
          <w:b/>
          <w:bCs/>
          <w:color w:val="FFFFFF"/>
          <w:sz w:val="20"/>
          <w:szCs w:val="20"/>
          <w:shd w:val="clear" w:color="auto" w:fill="0D7377"/>
          <w:lang w:val="en-GB"/>
        </w:rPr>
        <w:t> 50 </w:t>
      </w:r>
      <w:r>
        <w:rPr>
          <w:rFonts w:eastAsia="Times New Roman"/>
          <w:lang w:val="en-GB"/>
        </w:rPr>
        <w:t xml:space="preserve"> </w:t>
      </w:r>
      <w:r>
        <w:rPr>
          <w:rStyle w:val="actor-naam1"/>
          <w:rFonts w:eastAsia="Times New Roman"/>
          <w:lang w:val="en-GB"/>
        </w:rPr>
        <w:t>SOLVIT Belgium</w:t>
      </w:r>
      <w:r>
        <w:rPr>
          <w:rFonts w:eastAsia="Times New Roman"/>
          <w:lang w:val="en-GB"/>
        </w:rPr>
        <w:br/>
        <w:t>The Belgian national SOLVIT centre.</w:t>
      </w:r>
      <w:r>
        <w:rPr>
          <w:rFonts w:eastAsia="Times New Roman"/>
          <w:lang w:val="en-GB"/>
        </w:rPr>
        <w:br/>
      </w:r>
      <w:r>
        <w:rPr>
          <w:rStyle w:val="actor-rol1"/>
          <w:rFonts w:eastAsia="Times New Roman"/>
          <w:lang w:val="en-GB"/>
        </w:rPr>
        <w:t>Role in this case:</w:t>
      </w:r>
      <w:r>
        <w:rPr>
          <w:rFonts w:eastAsia="Times New Roman"/>
          <w:lang w:val="en-GB"/>
        </w:rPr>
        <w:t xml:space="preserve"> Declares that it lacks the authority to carry out a substantive analysis and refers the matter back to SOLVIT Netherlands. Also refuses to refer the matter to the ELA. Circular referral between two national SOLVIT centres. </w:t>
      </w:r>
    </w:p>
    <w:p w14:paraId="2BC1B383" w14:textId="77777777" w:rsidR="009650FE" w:rsidRDefault="009650FE">
      <w:pPr>
        <w:divId w:val="1182207213"/>
        <w:rPr>
          <w:rFonts w:eastAsia="Times New Roman"/>
          <w:lang w:val="en-GB"/>
        </w:rPr>
      </w:pPr>
      <w:r>
        <w:rPr>
          <w:rFonts w:eastAsia="Times New Roman"/>
          <w:b/>
          <w:bCs/>
          <w:color w:val="FFFFFF"/>
          <w:sz w:val="20"/>
          <w:szCs w:val="20"/>
          <w:shd w:val="clear" w:color="auto" w:fill="0D7377"/>
          <w:lang w:val="en-GB"/>
        </w:rPr>
        <w:t> 51 </w:t>
      </w:r>
      <w:r>
        <w:rPr>
          <w:rFonts w:eastAsia="Times New Roman"/>
          <w:lang w:val="en-GB"/>
        </w:rPr>
        <w:t xml:space="preserve"> </w:t>
      </w:r>
      <w:r>
        <w:rPr>
          <w:rStyle w:val="actor-naam1"/>
          <w:rFonts w:eastAsia="Times New Roman"/>
          <w:lang w:val="en-GB"/>
        </w:rPr>
        <w:t>Benelux Union</w:t>
      </w:r>
      <w:r>
        <w:rPr>
          <w:rFonts w:eastAsia="Times New Roman"/>
          <w:lang w:val="en-GB"/>
        </w:rPr>
        <w:br/>
        <w:t>: An intergovernmental cooperation body comprising Belgium, the Netherlands and Luxembourg.</w:t>
      </w:r>
      <w:r>
        <w:rPr>
          <w:rFonts w:eastAsia="Times New Roman"/>
          <w:lang w:val="en-GB"/>
        </w:rPr>
        <w:br/>
      </w:r>
      <w:r>
        <w:rPr>
          <w:rStyle w:val="actor-rol1"/>
          <w:rFonts w:eastAsia="Times New Roman"/>
          <w:lang w:val="en-GB"/>
        </w:rPr>
        <w:t>Role in this matter:</w:t>
      </w:r>
      <w:r>
        <w:rPr>
          <w:rFonts w:eastAsia="Times New Roman"/>
          <w:lang w:val="en-GB"/>
        </w:rPr>
        <w:t xml:space="preserve"> Acknowledges the issue following a careful review, but does not deal with individual cases and has no authority to amend EU legislation. </w:t>
      </w:r>
    </w:p>
    <w:p w14:paraId="41106B93" w14:textId="77777777" w:rsidR="009650FE" w:rsidRDefault="009650FE">
      <w:pPr>
        <w:divId w:val="1686978808"/>
        <w:rPr>
          <w:rFonts w:eastAsia="Times New Roman"/>
          <w:lang w:val="en-GB"/>
        </w:rPr>
      </w:pPr>
      <w:r>
        <w:rPr>
          <w:rFonts w:eastAsia="Times New Roman"/>
          <w:b/>
          <w:bCs/>
          <w:color w:val="FFFFFF"/>
          <w:sz w:val="20"/>
          <w:szCs w:val="20"/>
          <w:shd w:val="clear" w:color="auto" w:fill="0D7377"/>
          <w:lang w:val="en-GB"/>
        </w:rPr>
        <w:t> 52 </w:t>
      </w:r>
      <w:r>
        <w:rPr>
          <w:rFonts w:eastAsia="Times New Roman"/>
          <w:lang w:val="en-GB"/>
        </w:rPr>
        <w:t xml:space="preserve"> </w:t>
      </w:r>
      <w:r>
        <w:rPr>
          <w:rStyle w:val="actor-naam1"/>
          <w:rFonts w:eastAsia="Times New Roman"/>
          <w:lang w:val="en-GB"/>
        </w:rPr>
        <w:t>GrensInfoPunt (GIP)</w:t>
      </w:r>
      <w:r>
        <w:rPr>
          <w:rFonts w:eastAsia="Times New Roman"/>
          <w:lang w:val="en-GB"/>
        </w:rPr>
        <w:br/>
      </w:r>
      <w:r>
        <w:rPr>
          <w:rStyle w:val="actor-naam1"/>
          <w:rFonts w:eastAsia="Times New Roman"/>
          <w:lang w:val="en-GB"/>
        </w:rPr>
        <w:t>–</w:t>
      </w:r>
      <w:r>
        <w:rPr>
          <w:rFonts w:eastAsia="Times New Roman"/>
          <w:lang w:val="en-GB"/>
        </w:rPr>
        <w:t xml:space="preserve"> Euregional information service for cross-border workers.</w:t>
      </w:r>
      <w:r>
        <w:rPr>
          <w:rFonts w:eastAsia="Times New Roman"/>
          <w:lang w:val="en-GB"/>
        </w:rPr>
        <w:br/>
      </w:r>
      <w:r>
        <w:rPr>
          <w:rStyle w:val="actor-rol1"/>
          <w:rFonts w:eastAsia="Times New Roman"/>
          <w:lang w:val="en-GB"/>
        </w:rPr>
        <w:t>Role in this case:</w:t>
      </w:r>
      <w:r>
        <w:rPr>
          <w:rFonts w:eastAsia="Times New Roman"/>
          <w:lang w:val="en-GB"/>
        </w:rPr>
        <w:t xml:space="preserve"> Provides accurate theoretical information, but has no executive powers. Refuses to report a documented system error as a barrier to cross-border movement, citing neutrality. </w:t>
      </w:r>
    </w:p>
    <w:p w14:paraId="2DFBCF14" w14:textId="77777777" w:rsidR="009650FE" w:rsidRDefault="009650FE">
      <w:pPr>
        <w:pStyle w:val="Kop4"/>
        <w:divId w:val="953290302"/>
        <w:rPr>
          <w:rFonts w:eastAsia="Times New Roman"/>
          <w:lang w:val="en-GB"/>
        </w:rPr>
      </w:pPr>
      <w:r>
        <w:rPr>
          <w:rFonts w:eastAsia="Times New Roman"/>
          <w:lang w:val="en-GB"/>
        </w:rPr>
        <w:t>Social impact</w:t>
      </w:r>
    </w:p>
    <w:p w14:paraId="30440297" w14:textId="77777777" w:rsidR="009650FE" w:rsidRDefault="009650FE">
      <w:pPr>
        <w:divId w:val="2027751254"/>
        <w:rPr>
          <w:rFonts w:eastAsia="Times New Roman"/>
          <w:lang w:val="en-GB"/>
        </w:rPr>
      </w:pPr>
      <w:r>
        <w:rPr>
          <w:rFonts w:eastAsia="Times New Roman"/>
          <w:b/>
          <w:bCs/>
          <w:color w:val="FFFFFF"/>
          <w:sz w:val="20"/>
          <w:szCs w:val="20"/>
          <w:shd w:val="clear" w:color="auto" w:fill="0D7377"/>
          <w:lang w:val="en-GB"/>
        </w:rPr>
        <w:t> 53 </w:t>
      </w:r>
      <w:r>
        <w:rPr>
          <w:rFonts w:eastAsia="Times New Roman"/>
          <w:lang w:val="en-GB"/>
        </w:rPr>
        <w:t xml:space="preserve"> </w:t>
      </w:r>
      <w:r>
        <w:rPr>
          <w:rStyle w:val="actor-naam1"/>
          <w:rFonts w:eastAsia="Times New Roman"/>
          <w:lang w:val="en-GB"/>
        </w:rPr>
        <w:t>Strategic Advocacy (PILP et al.)</w:t>
      </w:r>
      <w:r>
        <w:rPr>
          <w:rFonts w:eastAsia="Times New Roman"/>
          <w:lang w:val="en-GB"/>
        </w:rPr>
        <w:br/>
        <w:t>Human rights organisations and legal aid initiatives.</w:t>
      </w:r>
      <w:r>
        <w:rPr>
          <w:rFonts w:eastAsia="Times New Roman"/>
          <w:lang w:val="en-GB"/>
        </w:rPr>
        <w:br/>
      </w:r>
      <w:r>
        <w:rPr>
          <w:rStyle w:val="actor-rol1"/>
          <w:rFonts w:eastAsia="Times New Roman"/>
          <w:lang w:val="en-GB"/>
        </w:rPr>
        <w:t>Role in this case:</w:t>
      </w:r>
      <w:r>
        <w:rPr>
          <w:rFonts w:eastAsia="Times New Roman"/>
          <w:lang w:val="en-GB"/>
        </w:rPr>
        <w:t xml:space="preserve"> Receive the case, recognise its value, and use it to fuel future proceedings. Do not offer an immediate remedy for the individual case. </w:t>
      </w:r>
    </w:p>
    <w:p w14:paraId="3C2429E8" w14:textId="77777777" w:rsidR="009650FE" w:rsidRDefault="009650FE">
      <w:pPr>
        <w:divId w:val="51395998"/>
        <w:rPr>
          <w:rFonts w:eastAsia="Times New Roman"/>
          <w:lang w:val="en-GB"/>
        </w:rPr>
      </w:pPr>
      <w:r>
        <w:rPr>
          <w:rFonts w:eastAsia="Times New Roman"/>
          <w:b/>
          <w:bCs/>
          <w:color w:val="FFFFFF"/>
          <w:sz w:val="20"/>
          <w:szCs w:val="20"/>
          <w:shd w:val="clear" w:color="auto" w:fill="0D7377"/>
          <w:lang w:val="en-GB"/>
        </w:rPr>
        <w:t> 54 </w:t>
      </w:r>
      <w:r>
        <w:rPr>
          <w:rFonts w:eastAsia="Times New Roman"/>
          <w:lang w:val="en-GB"/>
        </w:rPr>
        <w:t xml:space="preserve"> </w:t>
      </w:r>
      <w:r>
        <w:rPr>
          <w:rStyle w:val="actor-naam1"/>
          <w:rFonts w:eastAsia="Times New Roman"/>
          <w:lang w:val="en-GB"/>
        </w:rPr>
        <w:t>Academic Observation Layer (ITEM et al.)</w:t>
      </w:r>
      <w:r>
        <w:rPr>
          <w:rFonts w:eastAsia="Times New Roman"/>
          <w:lang w:val="en-GB"/>
        </w:rPr>
        <w:br/>
        <w:t>Scientific knowledge institutes for cross-border cooperation.</w:t>
      </w:r>
      <w:r>
        <w:rPr>
          <w:rFonts w:eastAsia="Times New Roman"/>
          <w:lang w:val="en-GB"/>
        </w:rPr>
        <w:br/>
      </w:r>
      <w:r>
        <w:rPr>
          <w:rStyle w:val="actor-rol1"/>
          <w:rFonts w:eastAsia="Times New Roman"/>
          <w:lang w:val="en-GB"/>
        </w:rPr>
        <w:t>Role in this dossier:</w:t>
      </w:r>
      <w:r>
        <w:rPr>
          <w:rFonts w:eastAsia="Times New Roman"/>
          <w:lang w:val="en-GB"/>
        </w:rPr>
        <w:t xml:space="preserve"> Publishing on an ongoing basis about cross-border failures, but failing to respond to an active case for months on end. When the dossier crosses the academic threshold in the autumn of 2026, the institute will commence a substantive review. </w:t>
      </w:r>
    </w:p>
    <w:p w14:paraId="526874F5" w14:textId="77777777" w:rsidR="009650FE" w:rsidRDefault="009650FE">
      <w:pPr>
        <w:divId w:val="1663192175"/>
        <w:rPr>
          <w:rFonts w:eastAsia="Times New Roman"/>
          <w:lang w:val="en-GB"/>
        </w:rPr>
      </w:pPr>
      <w:r>
        <w:rPr>
          <w:rFonts w:eastAsia="Times New Roman"/>
          <w:b/>
          <w:bCs/>
          <w:color w:val="FFFFFF"/>
          <w:sz w:val="20"/>
          <w:szCs w:val="20"/>
          <w:shd w:val="clear" w:color="auto" w:fill="0D7377"/>
          <w:lang w:val="en-GB"/>
        </w:rPr>
        <w:t> 55 </w:t>
      </w:r>
      <w:r>
        <w:rPr>
          <w:rFonts w:eastAsia="Times New Roman"/>
          <w:lang w:val="en-GB"/>
        </w:rPr>
        <w:t xml:space="preserve"> </w:t>
      </w:r>
      <w:r>
        <w:rPr>
          <w:rStyle w:val="actor-naam1"/>
          <w:rFonts w:eastAsia="Times New Roman"/>
          <w:lang w:val="en-GB"/>
        </w:rPr>
        <w:t>Media and Public Intellectuals</w:t>
      </w:r>
      <w:r>
        <w:rPr>
          <w:rFonts w:eastAsia="Times New Roman"/>
          <w:lang w:val="en-GB"/>
        </w:rPr>
        <w:br/>
        <w:t>Investigative journalism and public opinion-makers.</w:t>
      </w:r>
      <w:r>
        <w:rPr>
          <w:rFonts w:eastAsia="Times New Roman"/>
          <w:lang w:val="en-GB"/>
        </w:rPr>
        <w:br/>
      </w:r>
      <w:r>
        <w:rPr>
          <w:rStyle w:val="actor-rol1"/>
          <w:rFonts w:eastAsia="Times New Roman"/>
          <w:lang w:val="en-GB"/>
        </w:rPr>
        <w:t>Role in this issue:</w:t>
      </w:r>
      <w:r>
        <w:rPr>
          <w:rFonts w:eastAsia="Times New Roman"/>
          <w:lang w:val="en-GB"/>
        </w:rPr>
        <w:t xml:space="preserve"> The issue is brought to their attention. The impact is fleeting: an article generates short-lived pressure but does not change the underlying structure. Algorithms do not read newspapers. </w:t>
      </w:r>
    </w:p>
    <w:p w14:paraId="0C5BC661" w14:textId="77777777" w:rsidR="009650FE" w:rsidRDefault="009650FE">
      <w:pPr>
        <w:divId w:val="1785423893"/>
        <w:rPr>
          <w:rFonts w:eastAsia="Times New Roman"/>
          <w:lang w:val="en-GB"/>
        </w:rPr>
      </w:pPr>
      <w:r>
        <w:rPr>
          <w:rFonts w:eastAsia="Times New Roman"/>
          <w:b/>
          <w:bCs/>
          <w:color w:val="FFFFFF"/>
          <w:sz w:val="20"/>
          <w:szCs w:val="20"/>
          <w:shd w:val="clear" w:color="auto" w:fill="0D7377"/>
          <w:lang w:val="en-GB"/>
        </w:rPr>
        <w:t> 56 </w:t>
      </w:r>
      <w:r>
        <w:rPr>
          <w:rFonts w:eastAsia="Times New Roman"/>
          <w:lang w:val="en-GB"/>
        </w:rPr>
        <w:t xml:space="preserve"> </w:t>
      </w:r>
      <w:r>
        <w:rPr>
          <w:rStyle w:val="actor-naam1"/>
          <w:rFonts w:eastAsia="Times New Roman"/>
          <w:lang w:val="en-GB"/>
        </w:rPr>
        <w:t>OHCHR / United Nations</w:t>
      </w:r>
      <w:r>
        <w:rPr>
          <w:rFonts w:eastAsia="Times New Roman"/>
          <w:lang w:val="en-GB"/>
        </w:rPr>
        <w:br/>
        <w:t>The UN’s human rights body, including the CRPD Committee.</w:t>
      </w:r>
      <w:r>
        <w:rPr>
          <w:rFonts w:eastAsia="Times New Roman"/>
          <w:lang w:val="en-GB"/>
        </w:rPr>
        <w:br/>
      </w:r>
      <w:r>
        <w:rPr>
          <w:rStyle w:val="actor-rol1"/>
          <w:rFonts w:eastAsia="Times New Roman"/>
          <w:lang w:val="en-GB"/>
        </w:rPr>
        <w:t>Role in this matter:</w:t>
      </w:r>
      <w:r>
        <w:rPr>
          <w:rFonts w:eastAsia="Times New Roman"/>
          <w:lang w:val="en-GB"/>
        </w:rPr>
        <w:t xml:space="preserve"> Sets out the international human rights standards to which Belgium and the Netherlands have committed themselves. Has no supervisory powers to correct a failing national implementing body. </w:t>
      </w:r>
    </w:p>
    <w:p w14:paraId="37D635E1" w14:textId="77777777" w:rsidR="009650FE" w:rsidRDefault="009650FE">
      <w:pPr>
        <w:pStyle w:val="Kop3"/>
        <w:divId w:val="953290302"/>
        <w:rPr>
          <w:rFonts w:eastAsia="Times New Roman"/>
          <w:lang w:val="en-GB"/>
        </w:rPr>
      </w:pPr>
      <w:bookmarkStart w:id="17" w:name="_Toc242103155"/>
      <w:r>
        <w:rPr>
          <w:rFonts w:eastAsia="Times New Roman"/>
          <w:lang w:val="en-GB"/>
        </w:rPr>
        <w:t>Part I-C — The relationships</w:t>
      </w:r>
      <w:bookmarkEnd w:id="17"/>
    </w:p>
    <w:p w14:paraId="2FDDCCE2" w14:textId="77777777" w:rsidR="009650FE" w:rsidRDefault="009650FE">
      <w:pPr>
        <w:pStyle w:val="Normaalweb"/>
        <w:divId w:val="953290302"/>
        <w:rPr>
          <w:lang w:val="en-GB"/>
        </w:rPr>
      </w:pPr>
      <w:r>
        <w:rPr>
          <w:lang w:val="en-GB"/>
        </w:rPr>
        <w:t>The actors on the game board are not isolated units. They are bound by fixed relationships of authority and data that define the space within which the family must operate. The crux of the power vacuum is that these relationships are structured in such a way that no single actor bears ultimate responsibility for the whole.</w:t>
      </w:r>
    </w:p>
    <w:tbl>
      <w:tblPr>
        <w:tblW w:w="5000" w:type="pct"/>
        <w:tblCellMar>
          <w:top w:w="15" w:type="dxa"/>
          <w:left w:w="15" w:type="dxa"/>
          <w:bottom w:w="15" w:type="dxa"/>
          <w:right w:w="15" w:type="dxa"/>
        </w:tblCellMar>
        <w:tblLook w:val="04A0" w:firstRow="1" w:lastRow="0" w:firstColumn="1" w:lastColumn="0" w:noHBand="0" w:noVBand="1"/>
      </w:tblPr>
      <w:tblGrid>
        <w:gridCol w:w="2173"/>
        <w:gridCol w:w="2355"/>
        <w:gridCol w:w="2355"/>
        <w:gridCol w:w="2173"/>
      </w:tblGrid>
      <w:tr w:rsidR="00000000" w14:paraId="38E204E5" w14:textId="77777777">
        <w:trPr>
          <w:divId w:val="953290302"/>
          <w:tblHeader/>
        </w:trPr>
        <w:tc>
          <w:tcPr>
            <w:tcW w:w="1200" w:type="pct"/>
            <w:tcBorders>
              <w:top w:val="single" w:sz="6" w:space="0" w:color="4A3B6B"/>
              <w:left w:val="single" w:sz="6" w:space="0" w:color="4A3B6B"/>
              <w:bottom w:val="single" w:sz="6" w:space="0" w:color="4A3B6B"/>
              <w:right w:val="single" w:sz="6" w:space="0" w:color="4A3B6B"/>
            </w:tcBorders>
            <w:shd w:val="clear" w:color="auto" w:fill="4A3B6B"/>
            <w:tcMar>
              <w:top w:w="140" w:type="dxa"/>
              <w:left w:w="180" w:type="dxa"/>
              <w:bottom w:w="140" w:type="dxa"/>
              <w:right w:w="180" w:type="dxa"/>
            </w:tcMar>
            <w:vAlign w:val="center"/>
            <w:hideMark/>
          </w:tcPr>
          <w:p w14:paraId="6B09D344" w14:textId="77777777" w:rsidR="009650FE" w:rsidRDefault="009650FE">
            <w:pPr>
              <w:spacing w:before="200" w:after="360"/>
              <w:rPr>
                <w:rFonts w:eastAsia="Times New Roman"/>
                <w:b/>
                <w:bCs/>
                <w:color w:val="FFFFFF"/>
                <w:sz w:val="21"/>
                <w:szCs w:val="21"/>
              </w:rPr>
            </w:pPr>
            <w:r>
              <w:rPr>
                <w:rFonts w:eastAsia="Times New Roman"/>
                <w:b/>
                <w:bCs/>
                <w:color w:val="FFFFFF"/>
                <w:sz w:val="21"/>
                <w:szCs w:val="21"/>
              </w:rPr>
              <w:t>Ratio</w:t>
            </w:r>
          </w:p>
        </w:tc>
        <w:tc>
          <w:tcPr>
            <w:tcW w:w="1300" w:type="pct"/>
            <w:tcBorders>
              <w:top w:val="single" w:sz="6" w:space="0" w:color="4A3B6B"/>
              <w:left w:val="single" w:sz="6" w:space="0" w:color="4A3B6B"/>
              <w:bottom w:val="single" w:sz="6" w:space="0" w:color="4A3B6B"/>
              <w:right w:val="single" w:sz="6" w:space="0" w:color="4A3B6B"/>
            </w:tcBorders>
            <w:shd w:val="clear" w:color="auto" w:fill="4A3B6B"/>
            <w:tcMar>
              <w:top w:w="140" w:type="dxa"/>
              <w:left w:w="180" w:type="dxa"/>
              <w:bottom w:w="140" w:type="dxa"/>
              <w:right w:w="180" w:type="dxa"/>
            </w:tcMar>
            <w:vAlign w:val="center"/>
            <w:hideMark/>
          </w:tcPr>
          <w:p w14:paraId="72FAB762" w14:textId="77777777" w:rsidR="009650FE" w:rsidRDefault="009650FE">
            <w:pPr>
              <w:spacing w:before="200" w:after="360"/>
              <w:rPr>
                <w:rFonts w:eastAsia="Times New Roman"/>
                <w:b/>
                <w:bCs/>
                <w:color w:val="FFFFFF"/>
                <w:sz w:val="21"/>
                <w:szCs w:val="21"/>
              </w:rPr>
            </w:pPr>
            <w:r>
              <w:rPr>
                <w:rFonts w:eastAsia="Times New Roman"/>
                <w:b/>
                <w:bCs/>
                <w:color w:val="FFFFFF"/>
                <w:sz w:val="21"/>
                <w:szCs w:val="21"/>
              </w:rPr>
              <w:t>Formal authority</w:t>
            </w:r>
          </w:p>
        </w:tc>
        <w:tc>
          <w:tcPr>
            <w:tcW w:w="1300" w:type="pct"/>
            <w:tcBorders>
              <w:top w:val="single" w:sz="6" w:space="0" w:color="4A3B6B"/>
              <w:left w:val="single" w:sz="6" w:space="0" w:color="4A3B6B"/>
              <w:bottom w:val="single" w:sz="6" w:space="0" w:color="4A3B6B"/>
              <w:right w:val="single" w:sz="6" w:space="0" w:color="4A3B6B"/>
            </w:tcBorders>
            <w:shd w:val="clear" w:color="auto" w:fill="4A3B6B"/>
            <w:tcMar>
              <w:top w:w="140" w:type="dxa"/>
              <w:left w:w="180" w:type="dxa"/>
              <w:bottom w:w="140" w:type="dxa"/>
              <w:right w:w="180" w:type="dxa"/>
            </w:tcMar>
            <w:vAlign w:val="center"/>
            <w:hideMark/>
          </w:tcPr>
          <w:p w14:paraId="175A2929" w14:textId="77777777" w:rsidR="009650FE" w:rsidRDefault="009650FE">
            <w:pPr>
              <w:spacing w:before="200" w:after="360"/>
              <w:rPr>
                <w:rFonts w:eastAsia="Times New Roman"/>
                <w:b/>
                <w:bCs/>
                <w:color w:val="FFFFFF"/>
                <w:sz w:val="21"/>
                <w:szCs w:val="21"/>
              </w:rPr>
            </w:pPr>
            <w:r>
              <w:rPr>
                <w:rFonts w:eastAsia="Times New Roman"/>
                <w:b/>
                <w:bCs/>
                <w:color w:val="FFFFFF"/>
                <w:sz w:val="21"/>
                <w:szCs w:val="21"/>
              </w:rPr>
              <w:t>Actual practice</w:t>
            </w:r>
          </w:p>
        </w:tc>
        <w:tc>
          <w:tcPr>
            <w:tcW w:w="1200" w:type="pct"/>
            <w:tcBorders>
              <w:top w:val="single" w:sz="6" w:space="0" w:color="4A3B6B"/>
              <w:left w:val="single" w:sz="6" w:space="0" w:color="4A3B6B"/>
              <w:bottom w:val="single" w:sz="6" w:space="0" w:color="4A3B6B"/>
              <w:right w:val="single" w:sz="6" w:space="0" w:color="4A3B6B"/>
            </w:tcBorders>
            <w:shd w:val="clear" w:color="auto" w:fill="4A3B6B"/>
            <w:tcMar>
              <w:top w:w="140" w:type="dxa"/>
              <w:left w:w="180" w:type="dxa"/>
              <w:bottom w:w="140" w:type="dxa"/>
              <w:right w:w="180" w:type="dxa"/>
            </w:tcMar>
            <w:vAlign w:val="center"/>
            <w:hideMark/>
          </w:tcPr>
          <w:p w14:paraId="78E9B56D" w14:textId="77777777" w:rsidR="009650FE" w:rsidRDefault="009650FE">
            <w:pPr>
              <w:spacing w:before="200" w:after="360"/>
              <w:rPr>
                <w:rFonts w:eastAsia="Times New Roman"/>
                <w:b/>
                <w:bCs/>
                <w:color w:val="FFFFFF"/>
                <w:sz w:val="21"/>
                <w:szCs w:val="21"/>
              </w:rPr>
            </w:pPr>
            <w:r>
              <w:rPr>
                <w:rFonts w:eastAsia="Times New Roman"/>
                <w:b/>
                <w:bCs/>
                <w:color w:val="FFFFFF"/>
                <w:sz w:val="21"/>
                <w:szCs w:val="21"/>
              </w:rPr>
              <w:t>Impact on the family</w:t>
            </w:r>
          </w:p>
        </w:tc>
      </w:tr>
      <w:tr w:rsidR="00000000" w14:paraId="044A0606" w14:textId="77777777">
        <w:trPr>
          <w:divId w:val="953290302"/>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51E2870D" w14:textId="77777777" w:rsidR="009650FE" w:rsidRDefault="009650FE">
            <w:pPr>
              <w:spacing w:before="200" w:after="360"/>
              <w:rPr>
                <w:rFonts w:eastAsia="Times New Roman"/>
                <w:sz w:val="21"/>
                <w:szCs w:val="21"/>
              </w:rPr>
            </w:pPr>
            <w:r>
              <w:rPr>
                <w:rStyle w:val="Zwaar"/>
                <w:rFonts w:eastAsia="Times New Roman"/>
                <w:sz w:val="21"/>
                <w:szCs w:val="21"/>
              </w:rPr>
              <w:t>Regulatory body ↔ implementing</w:t>
            </w:r>
            <w:r>
              <w:rPr>
                <w:rFonts w:eastAsia="Times New Roman"/>
                <w:sz w:val="21"/>
                <w:szCs w:val="21"/>
              </w:rPr>
              <w:br/>
            </w:r>
            <w:r>
              <w:rPr>
                <w:rStyle w:val="Zwaar"/>
                <w:rFonts w:eastAsia="Times New Roman"/>
                <w:sz w:val="21"/>
                <w:szCs w:val="21"/>
              </w:rPr>
              <w:t>body</w:t>
            </w:r>
            <w:r>
              <w:rPr>
                <w:rFonts w:eastAsia="Times New Roman"/>
                <w:sz w:val="21"/>
                <w:szCs w:val="21"/>
              </w:rPr>
              <w:t xml:space="preserve"> </w:t>
            </w:r>
            <w:r>
              <w:rPr>
                <w:rStyle w:val="badge-be1"/>
                <w:rFonts w:eastAsia="Times New Roman"/>
                <w:sz w:val="21"/>
                <w:szCs w:val="21"/>
              </w:rPr>
              <w:t>BE</w:t>
            </w:r>
            <w:r>
              <w:rPr>
                <w:rFonts w:eastAsia="Times New Roman"/>
                <w:sz w:val="21"/>
                <w:szCs w:val="21"/>
              </w:rPr>
              <w:t xml:space="preserve"> NIHDI, CDZ → CM</w:t>
            </w:r>
            <w:r>
              <w:rPr>
                <w:rFonts w:eastAsia="Times New Roman"/>
                <w:sz w:val="21"/>
                <w:szCs w:val="21"/>
              </w:rPr>
              <w:br/>
            </w:r>
            <w:r>
              <w:rPr>
                <w:rStyle w:val="badge-nl1"/>
                <w:rFonts w:eastAsia="Times New Roman"/>
                <w:sz w:val="21"/>
                <w:szCs w:val="21"/>
              </w:rPr>
              <w:t>NL</w:t>
            </w:r>
            <w:r>
              <w:rPr>
                <w:rFonts w:eastAsia="Times New Roman"/>
                <w:sz w:val="21"/>
                <w:szCs w:val="21"/>
              </w:rPr>
              <w:t xml:space="preserve"> ZIN → CZ</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7A63F0F6" w14:textId="77777777" w:rsidR="009650FE" w:rsidRDefault="009650FE">
            <w:pPr>
              <w:spacing w:before="200" w:after="360"/>
              <w:rPr>
                <w:rFonts w:eastAsia="Times New Roman"/>
                <w:sz w:val="21"/>
                <w:szCs w:val="21"/>
              </w:rPr>
            </w:pPr>
            <w:r>
              <w:rPr>
                <w:rFonts w:eastAsia="Times New Roman"/>
                <w:sz w:val="21"/>
                <w:szCs w:val="21"/>
              </w:rPr>
              <w:t>Regulatory authorities oversee the operators and may issue guidelines.</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671FF524" w14:textId="77777777" w:rsidR="009650FE" w:rsidRDefault="009650FE">
            <w:pPr>
              <w:spacing w:before="200" w:after="360"/>
              <w:rPr>
                <w:rFonts w:eastAsia="Times New Roman"/>
                <w:sz w:val="21"/>
                <w:szCs w:val="21"/>
              </w:rPr>
            </w:pPr>
            <w:r>
              <w:rPr>
                <w:rFonts w:eastAsia="Times New Roman"/>
                <w:sz w:val="21"/>
                <w:szCs w:val="21"/>
              </w:rPr>
              <w:t>No mandatory mandate to intervene in individual cases. The case worker decides independently at the counter.</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500C55F2" w14:textId="77777777" w:rsidR="009650FE" w:rsidRDefault="009650FE">
            <w:pPr>
              <w:spacing w:before="200" w:after="360"/>
              <w:rPr>
                <w:rFonts w:eastAsia="Times New Roman"/>
                <w:sz w:val="21"/>
                <w:szCs w:val="21"/>
              </w:rPr>
            </w:pPr>
            <w:r>
              <w:rPr>
                <w:rFonts w:eastAsia="Times New Roman"/>
                <w:sz w:val="21"/>
                <w:szCs w:val="21"/>
              </w:rPr>
              <w:t>Complaints to the regulator do not resolve a specific obstacle.</w:t>
            </w:r>
          </w:p>
        </w:tc>
      </w:tr>
      <w:tr w:rsidR="00000000" w14:paraId="43E2C38D" w14:textId="77777777">
        <w:trPr>
          <w:divId w:val="953290302"/>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26D5D73E" w14:textId="77777777" w:rsidR="009650FE" w:rsidRDefault="009650FE">
            <w:pPr>
              <w:spacing w:before="200" w:after="360"/>
              <w:rPr>
                <w:rFonts w:eastAsia="Times New Roman"/>
                <w:sz w:val="21"/>
                <w:szCs w:val="21"/>
              </w:rPr>
            </w:pPr>
            <w:r>
              <w:rPr>
                <w:rStyle w:val="Zwaar"/>
                <w:rFonts w:eastAsia="Times New Roman"/>
                <w:sz w:val="21"/>
                <w:szCs w:val="21"/>
              </w:rPr>
              <w:t>Federal ministries ↔ federal ministries</w:t>
            </w:r>
            <w:r>
              <w:rPr>
                <w:rFonts w:eastAsia="Times New Roman"/>
                <w:sz w:val="21"/>
                <w:szCs w:val="21"/>
              </w:rPr>
              <w:br/>
            </w:r>
            <w:r>
              <w:rPr>
                <w:rStyle w:val="badge-be1"/>
                <w:rFonts w:eastAsia="Times New Roman"/>
                <w:sz w:val="21"/>
                <w:szCs w:val="21"/>
              </w:rPr>
              <w:t>BE</w:t>
            </w:r>
            <w:r>
              <w:rPr>
                <w:rFonts w:eastAsia="Times New Roman"/>
                <w:sz w:val="21"/>
                <w:szCs w:val="21"/>
              </w:rPr>
              <w:t xml:space="preserve"> </w:t>
            </w:r>
            <w:r>
              <w:rPr>
                <w:rFonts w:eastAsia="Times New Roman"/>
                <w:sz w:val="21"/>
                <w:szCs w:val="21"/>
              </w:rPr>
              <w:t>FPS SZ → FPS Finance</w:t>
            </w:r>
            <w:r>
              <w:rPr>
                <w:rFonts w:eastAsia="Times New Roman"/>
                <w:sz w:val="21"/>
                <w:szCs w:val="21"/>
              </w:rPr>
              <w:br/>
            </w:r>
            <w:r>
              <w:rPr>
                <w:rStyle w:val="badge-nl1"/>
                <w:rFonts w:eastAsia="Times New Roman"/>
                <w:sz w:val="21"/>
                <w:szCs w:val="21"/>
              </w:rPr>
              <w:t>NL</w:t>
            </w:r>
            <w:r>
              <w:rPr>
                <w:rFonts w:eastAsia="Times New Roman"/>
                <w:sz w:val="21"/>
                <w:szCs w:val="21"/>
              </w:rPr>
              <w:t xml:space="preserve"> SVB → Benefits</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74AF2ECD" w14:textId="77777777" w:rsidR="009650FE" w:rsidRDefault="009650FE">
            <w:pPr>
              <w:spacing w:before="200" w:after="360"/>
              <w:rPr>
                <w:rFonts w:eastAsia="Times New Roman"/>
                <w:sz w:val="21"/>
                <w:szCs w:val="21"/>
              </w:rPr>
            </w:pPr>
            <w:r>
              <w:rPr>
                <w:rFonts w:eastAsia="Times New Roman"/>
                <w:sz w:val="21"/>
                <w:szCs w:val="21"/>
              </w:rPr>
              <w:t>Ancillary services with their own statutory mandates.</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7FA36109" w14:textId="77777777" w:rsidR="009650FE" w:rsidRDefault="009650FE">
            <w:pPr>
              <w:spacing w:before="200" w:after="360"/>
              <w:rPr>
                <w:rFonts w:eastAsia="Times New Roman"/>
                <w:sz w:val="21"/>
                <w:szCs w:val="21"/>
              </w:rPr>
            </w:pPr>
            <w:r>
              <w:rPr>
                <w:rFonts w:eastAsia="Times New Roman"/>
                <w:sz w:val="21"/>
                <w:szCs w:val="21"/>
              </w:rPr>
              <w:t>Each department makes its own decisions within its own legal framework. Certificates issued by one department are not binding on another.</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39CE8C22" w14:textId="77777777" w:rsidR="009650FE" w:rsidRDefault="009650FE">
            <w:pPr>
              <w:spacing w:before="200" w:after="360"/>
              <w:rPr>
                <w:rFonts w:eastAsia="Times New Roman"/>
                <w:sz w:val="21"/>
                <w:szCs w:val="21"/>
              </w:rPr>
            </w:pPr>
            <w:r>
              <w:rPr>
                <w:rFonts w:eastAsia="Times New Roman"/>
                <w:sz w:val="21"/>
                <w:szCs w:val="21"/>
              </w:rPr>
              <w:t>Medical recognition does not automatically lead to tax protection.</w:t>
            </w:r>
          </w:p>
        </w:tc>
      </w:tr>
      <w:tr w:rsidR="00000000" w14:paraId="219C218C" w14:textId="77777777">
        <w:trPr>
          <w:divId w:val="953290302"/>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6D74D1D6" w14:textId="77777777" w:rsidR="009650FE" w:rsidRDefault="009650FE">
            <w:pPr>
              <w:spacing w:before="200" w:after="360"/>
              <w:rPr>
                <w:rFonts w:eastAsia="Times New Roman"/>
                <w:sz w:val="21"/>
                <w:szCs w:val="21"/>
              </w:rPr>
            </w:pPr>
            <w:r>
              <w:rPr>
                <w:rStyle w:val="Zwaar"/>
                <w:rFonts w:eastAsia="Times New Roman"/>
                <w:sz w:val="21"/>
                <w:szCs w:val="21"/>
              </w:rPr>
              <w:t>Data</w:t>
            </w:r>
            <w:r>
              <w:rPr>
                <w:rFonts w:eastAsia="Times New Roman"/>
                <w:sz w:val="21"/>
                <w:szCs w:val="21"/>
              </w:rPr>
              <w:br/>
            </w:r>
            <w:r>
              <w:rPr>
                <w:rStyle w:val="Zwaar"/>
                <w:rFonts w:eastAsia="Times New Roman"/>
                <w:sz w:val="21"/>
                <w:szCs w:val="21"/>
              </w:rPr>
              <w:t>flow:</w:t>
            </w:r>
            <w:r>
              <w:rPr>
                <w:rFonts w:eastAsia="Times New Roman"/>
                <w:sz w:val="21"/>
                <w:szCs w:val="21"/>
              </w:rPr>
              <w:t xml:space="preserve"> CM → KSZ → Parentia / SVB</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35A2E1E0" w14:textId="77777777" w:rsidR="009650FE" w:rsidRDefault="009650FE">
            <w:pPr>
              <w:spacing w:before="200" w:after="360"/>
              <w:rPr>
                <w:rFonts w:eastAsia="Times New Roman"/>
                <w:sz w:val="21"/>
                <w:szCs w:val="21"/>
              </w:rPr>
            </w:pPr>
            <w:r>
              <w:rPr>
                <w:rFonts w:eastAsia="Times New Roman"/>
                <w:sz w:val="21"/>
                <w:szCs w:val="21"/>
              </w:rPr>
              <w:t>Statutory data exchange via the Cross-Sectoral Data Bank and the European EESSI network.</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44C00DD7" w14:textId="77777777" w:rsidR="009650FE" w:rsidRDefault="009650FE">
            <w:pPr>
              <w:spacing w:before="200" w:after="360"/>
              <w:rPr>
                <w:rFonts w:eastAsia="Times New Roman"/>
                <w:sz w:val="21"/>
                <w:szCs w:val="21"/>
              </w:rPr>
            </w:pPr>
            <w:r>
              <w:rPr>
                <w:rFonts w:eastAsia="Times New Roman"/>
                <w:sz w:val="21"/>
                <w:szCs w:val="21"/>
              </w:rPr>
              <w:t>Parentia and the SVB are entirely dependent on the source code provided by CM. If CM fails to deliver, the entire chain comes to a standstill.</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16DFC52E" w14:textId="77777777" w:rsidR="009650FE" w:rsidRDefault="009650FE">
            <w:pPr>
              <w:spacing w:before="200" w:after="360"/>
              <w:rPr>
                <w:rFonts w:eastAsia="Times New Roman"/>
                <w:sz w:val="21"/>
                <w:szCs w:val="21"/>
              </w:rPr>
            </w:pPr>
            <w:r>
              <w:rPr>
                <w:rFonts w:eastAsia="Times New Roman"/>
                <w:sz w:val="21"/>
                <w:szCs w:val="21"/>
              </w:rPr>
              <w:t>Family allowances and social benefits are being frozen without the recipient being able to do anything about it.</w:t>
            </w:r>
          </w:p>
        </w:tc>
      </w:tr>
      <w:tr w:rsidR="00000000" w14:paraId="6D5517E0" w14:textId="77777777">
        <w:trPr>
          <w:divId w:val="953290302"/>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7DBFB54C" w14:textId="77777777" w:rsidR="009650FE" w:rsidRDefault="009650FE">
            <w:pPr>
              <w:spacing w:before="200" w:after="360"/>
              <w:rPr>
                <w:rFonts w:eastAsia="Times New Roman"/>
                <w:sz w:val="21"/>
                <w:szCs w:val="21"/>
              </w:rPr>
            </w:pPr>
            <w:r>
              <w:rPr>
                <w:rStyle w:val="Zwaar"/>
                <w:rFonts w:eastAsia="Times New Roman"/>
                <w:sz w:val="21"/>
                <w:szCs w:val="21"/>
              </w:rPr>
              <w:t>EU infrastructure</w:t>
            </w:r>
            <w:r>
              <w:rPr>
                <w:rFonts w:eastAsia="Times New Roman"/>
                <w:sz w:val="21"/>
                <w:szCs w:val="21"/>
              </w:rPr>
              <w:br/>
            </w:r>
            <w:r>
              <w:rPr>
                <w:rStyle w:val="badge-eu1"/>
                <w:rFonts w:eastAsia="Times New Roman"/>
                <w:sz w:val="21"/>
                <w:szCs w:val="21"/>
              </w:rPr>
              <w:t>Channel 1</w:t>
            </w:r>
            <w:r>
              <w:rPr>
                <w:rFonts w:eastAsia="Times New Roman"/>
                <w:sz w:val="21"/>
                <w:szCs w:val="21"/>
              </w:rPr>
              <w:t xml:space="preserve"> FPS Finance ↔ Tax and Customs Administration NL</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3E9B22B7" w14:textId="77777777" w:rsidR="009650FE" w:rsidRDefault="009650FE">
            <w:pPr>
              <w:spacing w:before="200" w:after="360"/>
              <w:rPr>
                <w:rFonts w:eastAsia="Times New Roman"/>
                <w:sz w:val="21"/>
                <w:szCs w:val="21"/>
              </w:rPr>
            </w:pPr>
            <w:r>
              <w:rPr>
                <w:rFonts w:eastAsia="Times New Roman"/>
                <w:sz w:val="21"/>
                <w:szCs w:val="21"/>
              </w:rPr>
              <w:t>Linked via EU directives (DAC) and the bilateral tax treaty.</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608F94EE" w14:textId="77777777" w:rsidR="009650FE" w:rsidRDefault="009650FE">
            <w:pPr>
              <w:spacing w:before="200" w:after="360"/>
              <w:rPr>
                <w:rFonts w:eastAsia="Times New Roman"/>
                <w:sz w:val="21"/>
                <w:szCs w:val="21"/>
              </w:rPr>
            </w:pPr>
            <w:r>
              <w:rPr>
                <w:rFonts w:eastAsia="Times New Roman"/>
                <w:sz w:val="21"/>
                <w:szCs w:val="21"/>
              </w:rPr>
              <w:t>Fully automated exchange of information on worldwide income. Maximum transparency for tax collection and recovery.</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7F514F1D" w14:textId="77777777" w:rsidR="009650FE" w:rsidRDefault="009650FE">
            <w:pPr>
              <w:spacing w:before="200" w:after="360"/>
              <w:rPr>
                <w:rFonts w:eastAsia="Times New Roman"/>
                <w:sz w:val="21"/>
                <w:szCs w:val="21"/>
              </w:rPr>
            </w:pPr>
            <w:r>
              <w:rPr>
                <w:rFonts w:eastAsia="Times New Roman"/>
                <w:sz w:val="21"/>
                <w:szCs w:val="21"/>
              </w:rPr>
              <w:t>The EU knows all about income, but offers no safety net should it be lost.</w:t>
            </w:r>
          </w:p>
        </w:tc>
      </w:tr>
      <w:tr w:rsidR="00000000" w14:paraId="4A168748" w14:textId="77777777">
        <w:trPr>
          <w:divId w:val="953290302"/>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7481CE74" w14:textId="77777777" w:rsidR="009650FE" w:rsidRDefault="009650FE">
            <w:pPr>
              <w:spacing w:before="200" w:after="360"/>
              <w:rPr>
                <w:rFonts w:eastAsia="Times New Roman"/>
                <w:sz w:val="21"/>
                <w:szCs w:val="21"/>
              </w:rPr>
            </w:pPr>
            <w:r>
              <w:rPr>
                <w:rStyle w:val="Zwaar"/>
                <w:rFonts w:eastAsia="Times New Roman"/>
                <w:sz w:val="21"/>
                <w:szCs w:val="21"/>
              </w:rPr>
              <w:t>Verdrag</w:t>
            </w:r>
            <w:r>
              <w:rPr>
                <w:rFonts w:eastAsia="Times New Roman"/>
                <w:sz w:val="21"/>
                <w:szCs w:val="21"/>
              </w:rPr>
              <w:br/>
            </w:r>
            <w:r>
              <w:rPr>
                <w:rStyle w:val="Zwaar"/>
                <w:rFonts w:eastAsia="Times New Roman"/>
                <w:sz w:val="21"/>
                <w:szCs w:val="21"/>
              </w:rPr>
              <w:t>Canal</w:t>
            </w:r>
            <w:r>
              <w:rPr>
                <w:rFonts w:eastAsia="Times New Roman"/>
                <w:sz w:val="21"/>
                <w:szCs w:val="21"/>
              </w:rPr>
              <w:t xml:space="preserve"> </w:t>
            </w:r>
            <w:r>
              <w:rPr>
                <w:rStyle w:val="badge-mem1"/>
                <w:rFonts w:eastAsia="Times New Roman"/>
                <w:sz w:val="21"/>
                <w:szCs w:val="21"/>
              </w:rPr>
              <w:t>Canal 2</w:t>
            </w:r>
            <w:r>
              <w:rPr>
                <w:rFonts w:eastAsia="Times New Roman"/>
                <w:sz w:val="21"/>
                <w:szCs w:val="21"/>
              </w:rPr>
              <w:t xml:space="preserve"> CM ↔ CZ / CAK</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32DA2F81" w14:textId="77777777" w:rsidR="009650FE" w:rsidRDefault="009650FE">
            <w:pPr>
              <w:spacing w:before="200" w:after="360"/>
              <w:rPr>
                <w:rFonts w:eastAsia="Times New Roman"/>
                <w:sz w:val="21"/>
                <w:szCs w:val="21"/>
              </w:rPr>
            </w:pPr>
            <w:r>
              <w:rPr>
                <w:rFonts w:eastAsia="Times New Roman"/>
                <w:sz w:val="21"/>
                <w:szCs w:val="21"/>
              </w:rPr>
              <w:t>Linked via form S072 (Regulation 883/2004).</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775D28F9" w14:textId="77777777" w:rsidR="009650FE" w:rsidRDefault="009650FE">
            <w:pPr>
              <w:spacing w:before="200" w:after="360"/>
              <w:rPr>
                <w:rFonts w:eastAsia="Times New Roman"/>
                <w:sz w:val="21"/>
                <w:szCs w:val="21"/>
              </w:rPr>
            </w:pPr>
            <w:r>
              <w:rPr>
                <w:rFonts w:eastAsia="Times New Roman"/>
                <w:sz w:val="21"/>
                <w:szCs w:val="21"/>
              </w:rPr>
              <w:t>A narrow, one-off channel. It becomes problematic as soon as the care or status falls outside the standard form.</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4BF9D2BD" w14:textId="77777777" w:rsidR="009650FE" w:rsidRDefault="009650FE">
            <w:pPr>
              <w:spacing w:before="200" w:after="360"/>
              <w:rPr>
                <w:rFonts w:eastAsia="Times New Roman"/>
                <w:sz w:val="21"/>
                <w:szCs w:val="21"/>
              </w:rPr>
            </w:pPr>
            <w:r>
              <w:rPr>
                <w:rFonts w:eastAsia="Times New Roman"/>
                <w:sz w:val="21"/>
                <w:szCs w:val="21"/>
              </w:rPr>
              <w:t>Ongoing friction over authorisations, parcel limits and personal contributions.</w:t>
            </w:r>
          </w:p>
        </w:tc>
      </w:tr>
      <w:tr w:rsidR="00000000" w14:paraId="57A8348C" w14:textId="77777777">
        <w:trPr>
          <w:divId w:val="953290302"/>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5D50C134" w14:textId="77777777" w:rsidR="009650FE" w:rsidRDefault="009650FE">
            <w:pPr>
              <w:spacing w:before="200" w:after="360"/>
              <w:rPr>
                <w:rFonts w:eastAsia="Times New Roman"/>
                <w:sz w:val="21"/>
                <w:szCs w:val="21"/>
              </w:rPr>
            </w:pPr>
            <w:r>
              <w:rPr>
                <w:rStyle w:val="Zwaar"/>
                <w:rFonts w:eastAsia="Times New Roman"/>
                <w:sz w:val="21"/>
                <w:szCs w:val="21"/>
              </w:rPr>
              <w:t>Medical sector</w:t>
            </w:r>
            <w:r>
              <w:rPr>
                <w:rFonts w:eastAsia="Times New Roman"/>
                <w:sz w:val="21"/>
                <w:szCs w:val="21"/>
              </w:rPr>
              <w:br/>
            </w:r>
            <w:r>
              <w:rPr>
                <w:rStyle w:val="badge-mem1"/>
                <w:rFonts w:eastAsia="Times New Roman"/>
                <w:sz w:val="21"/>
                <w:szCs w:val="21"/>
              </w:rPr>
              <w:t>Channel 3</w:t>
            </w:r>
            <w:r>
              <w:rPr>
                <w:rFonts w:eastAsia="Times New Roman"/>
                <w:sz w:val="21"/>
                <w:szCs w:val="21"/>
              </w:rPr>
              <w:t xml:space="preserve"> Vitaz · UZ Gent ↔ ZorgSaam · Pallion</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7E10BEE1" w14:textId="77777777" w:rsidR="009650FE" w:rsidRDefault="009650FE">
            <w:pPr>
              <w:spacing w:before="200" w:after="360"/>
              <w:rPr>
                <w:rFonts w:eastAsia="Times New Roman"/>
                <w:sz w:val="21"/>
                <w:szCs w:val="21"/>
              </w:rPr>
            </w:pPr>
            <w:r>
              <w:rPr>
                <w:rFonts w:eastAsia="Times New Roman"/>
                <w:sz w:val="21"/>
                <w:szCs w:val="21"/>
              </w:rPr>
              <w:t>No cross-border connection.</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6377B985" w14:textId="77777777" w:rsidR="009650FE" w:rsidRDefault="009650FE">
            <w:pPr>
              <w:spacing w:before="200" w:after="360"/>
              <w:rPr>
                <w:rFonts w:eastAsia="Times New Roman"/>
                <w:sz w:val="21"/>
                <w:szCs w:val="21"/>
              </w:rPr>
            </w:pPr>
            <w:r>
              <w:rPr>
                <w:rFonts w:eastAsia="Times New Roman"/>
                <w:sz w:val="21"/>
                <w:szCs w:val="21"/>
              </w:rPr>
              <w:t>National EHR systems are hermetically sealed at the national border.</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0314FFDB" w14:textId="77777777" w:rsidR="009650FE" w:rsidRDefault="009650FE">
            <w:pPr>
              <w:spacing w:before="200" w:after="360"/>
              <w:rPr>
                <w:rFonts w:eastAsia="Times New Roman"/>
                <w:sz w:val="21"/>
                <w:szCs w:val="21"/>
              </w:rPr>
            </w:pPr>
            <w:r>
              <w:rPr>
                <w:rFonts w:eastAsia="Times New Roman"/>
                <w:sz w:val="21"/>
                <w:szCs w:val="21"/>
              </w:rPr>
              <w:t>The family carries the files themselves. The patient becomes the sole link between two systems.</w:t>
            </w:r>
          </w:p>
        </w:tc>
      </w:tr>
      <w:tr w:rsidR="00000000" w14:paraId="1E0DDEDB" w14:textId="77777777">
        <w:trPr>
          <w:divId w:val="953290302"/>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6AF4BD58" w14:textId="77777777" w:rsidR="009650FE" w:rsidRDefault="009650FE">
            <w:pPr>
              <w:spacing w:before="200" w:after="360"/>
              <w:rPr>
                <w:rFonts w:eastAsia="Times New Roman"/>
                <w:sz w:val="21"/>
                <w:szCs w:val="21"/>
              </w:rPr>
            </w:pPr>
            <w:r>
              <w:rPr>
                <w:rStyle w:val="Zwaar"/>
                <w:rFonts w:eastAsia="Times New Roman"/>
                <w:sz w:val="21"/>
                <w:szCs w:val="21"/>
              </w:rPr>
              <w:t>Politics ↔ implementation</w:t>
            </w:r>
            <w:r>
              <w:rPr>
                <w:rFonts w:eastAsia="Times New Roman"/>
                <w:sz w:val="21"/>
                <w:szCs w:val="21"/>
              </w:rPr>
              <w:br/>
            </w:r>
            <w:r>
              <w:rPr>
                <w:rStyle w:val="Zwaar"/>
                <w:rFonts w:eastAsia="Times New Roman"/>
                <w:sz w:val="21"/>
                <w:szCs w:val="21"/>
              </w:rPr>
              <w:t>:</w:t>
            </w:r>
            <w:r>
              <w:rPr>
                <w:rFonts w:eastAsia="Times New Roman"/>
                <w:sz w:val="21"/>
                <w:szCs w:val="21"/>
              </w:rPr>
              <w:t xml:space="preserve"> Belgian Chamber of Representatives &amp; Dutch House of Representatives</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4A10CBAF" w14:textId="77777777" w:rsidR="009650FE" w:rsidRDefault="009650FE">
            <w:pPr>
              <w:spacing w:before="200" w:after="360"/>
              <w:rPr>
                <w:rFonts w:eastAsia="Times New Roman"/>
                <w:sz w:val="21"/>
                <w:szCs w:val="21"/>
              </w:rPr>
            </w:pPr>
            <w:r>
              <w:rPr>
                <w:rFonts w:eastAsia="Times New Roman"/>
                <w:sz w:val="21"/>
                <w:szCs w:val="21"/>
              </w:rPr>
              <w:t>Parliaments are the highest legislative bodies and exercise oversight over the government.</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0162D604" w14:textId="77777777" w:rsidR="009650FE" w:rsidRDefault="009650FE">
            <w:pPr>
              <w:spacing w:before="200" w:after="360"/>
              <w:rPr>
                <w:rFonts w:eastAsia="Times New Roman"/>
                <w:sz w:val="21"/>
                <w:szCs w:val="21"/>
              </w:rPr>
            </w:pPr>
            <w:r>
              <w:rPr>
                <w:rFonts w:eastAsia="Times New Roman"/>
                <w:sz w:val="21"/>
                <w:szCs w:val="21"/>
              </w:rPr>
              <w:t>Politicians do not intervene in individual implementation cases.</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47B8F7F9" w14:textId="77777777" w:rsidR="009650FE" w:rsidRDefault="009650FE">
            <w:pPr>
              <w:spacing w:before="200" w:after="360"/>
              <w:rPr>
                <w:rFonts w:eastAsia="Times New Roman"/>
                <w:sz w:val="21"/>
                <w:szCs w:val="21"/>
              </w:rPr>
            </w:pPr>
            <w:r>
              <w:rPr>
                <w:rFonts w:eastAsia="Times New Roman"/>
                <w:sz w:val="21"/>
                <w:szCs w:val="21"/>
              </w:rPr>
              <w:t>Structural flaws in the law persist in its implementation.</w:t>
            </w:r>
          </w:p>
        </w:tc>
      </w:tr>
      <w:tr w:rsidR="00000000" w14:paraId="2E0B49DE" w14:textId="77777777">
        <w:trPr>
          <w:divId w:val="953290302"/>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152B3CDF" w14:textId="77777777" w:rsidR="009650FE" w:rsidRDefault="009650FE">
            <w:pPr>
              <w:spacing w:before="200" w:after="360"/>
              <w:rPr>
                <w:rFonts w:eastAsia="Times New Roman"/>
                <w:sz w:val="21"/>
                <w:szCs w:val="21"/>
              </w:rPr>
            </w:pPr>
            <w:r>
              <w:rPr>
                <w:rStyle w:val="Zwaar"/>
                <w:rFonts w:eastAsia="Times New Roman"/>
                <w:sz w:val="21"/>
                <w:szCs w:val="21"/>
              </w:rPr>
              <w:t>EU ↔ Member States</w:t>
            </w:r>
            <w:r>
              <w:rPr>
                <w:rFonts w:eastAsia="Times New Roman"/>
                <w:sz w:val="21"/>
                <w:szCs w:val="21"/>
              </w:rPr>
              <w:br/>
            </w:r>
            <w:r>
              <w:rPr>
                <w:rStyle w:val="badge-eu1"/>
                <w:rFonts w:eastAsia="Times New Roman"/>
                <w:sz w:val="21"/>
                <w:szCs w:val="21"/>
              </w:rPr>
              <w:t>EU outer layer</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36CAEB2A" w14:textId="77777777" w:rsidR="009650FE" w:rsidRDefault="009650FE">
            <w:pPr>
              <w:spacing w:before="200" w:after="360"/>
              <w:rPr>
                <w:rFonts w:eastAsia="Times New Roman"/>
                <w:sz w:val="21"/>
                <w:szCs w:val="21"/>
              </w:rPr>
            </w:pPr>
            <w:r>
              <w:rPr>
                <w:rFonts w:eastAsia="Times New Roman"/>
                <w:sz w:val="21"/>
                <w:szCs w:val="21"/>
              </w:rPr>
              <w:t>EU law takes precedence over national law (Regulation 883/2004).</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21AC6DEC" w14:textId="77777777" w:rsidR="009650FE" w:rsidRDefault="009650FE">
            <w:pPr>
              <w:spacing w:before="200" w:after="360"/>
              <w:rPr>
                <w:rFonts w:eastAsia="Times New Roman"/>
                <w:sz w:val="21"/>
                <w:szCs w:val="21"/>
              </w:rPr>
            </w:pPr>
            <w:r>
              <w:rPr>
                <w:rFonts w:eastAsia="Times New Roman"/>
                <w:sz w:val="21"/>
                <w:szCs w:val="21"/>
              </w:rPr>
              <w:t>The EU lacks its own enforcement body. SOLVIT is non-binding. ELA refuses to assist citizens.</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6F01AB08" w14:textId="77777777" w:rsidR="009650FE" w:rsidRDefault="009650FE">
            <w:pPr>
              <w:spacing w:before="200" w:after="360"/>
              <w:rPr>
                <w:rFonts w:eastAsia="Times New Roman"/>
                <w:sz w:val="21"/>
                <w:szCs w:val="21"/>
              </w:rPr>
            </w:pPr>
            <w:r>
              <w:rPr>
                <w:rFonts w:eastAsia="Times New Roman"/>
                <w:sz w:val="21"/>
                <w:szCs w:val="21"/>
              </w:rPr>
              <w:t>A circular reference between Brussels and the national capitals.</w:t>
            </w:r>
          </w:p>
        </w:tc>
      </w:tr>
      <w:tr w:rsidR="00000000" w14:paraId="274E18E3" w14:textId="77777777">
        <w:trPr>
          <w:divId w:val="953290302"/>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021D9C26" w14:textId="77777777" w:rsidR="009650FE" w:rsidRDefault="009650FE">
            <w:pPr>
              <w:spacing w:before="200" w:after="360"/>
              <w:rPr>
                <w:rFonts w:eastAsia="Times New Roman"/>
                <w:sz w:val="21"/>
                <w:szCs w:val="21"/>
              </w:rPr>
            </w:pPr>
            <w:r>
              <w:rPr>
                <w:rStyle w:val="Zwaar"/>
                <w:rFonts w:eastAsia="Times New Roman"/>
                <w:sz w:val="21"/>
                <w:szCs w:val="21"/>
              </w:rPr>
              <w:t>Symbolism</w:t>
            </w:r>
            <w:r>
              <w:rPr>
                <w:rFonts w:eastAsia="Times New Roman"/>
                <w:sz w:val="21"/>
                <w:szCs w:val="21"/>
              </w:rPr>
              <w:br/>
            </w:r>
            <w:r>
              <w:rPr>
                <w:rStyle w:val="Zwaar"/>
                <w:rFonts w:eastAsia="Times New Roman"/>
                <w:sz w:val="21"/>
                <w:szCs w:val="21"/>
              </w:rPr>
              <w:t>of</w:t>
            </w:r>
            <w:r>
              <w:rPr>
                <w:rFonts w:eastAsia="Times New Roman"/>
                <w:sz w:val="21"/>
                <w:szCs w:val="21"/>
              </w:rPr>
              <w:t xml:space="preserve"> the Royal Palace of Belgium and the Dutch Royal Family</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44FC10C2" w14:textId="77777777" w:rsidR="009650FE" w:rsidRDefault="009650FE">
            <w:pPr>
              <w:spacing w:before="200" w:after="360"/>
              <w:rPr>
                <w:rFonts w:eastAsia="Times New Roman"/>
                <w:sz w:val="21"/>
                <w:szCs w:val="21"/>
              </w:rPr>
            </w:pPr>
            <w:r>
              <w:rPr>
                <w:rFonts w:eastAsia="Times New Roman"/>
                <w:sz w:val="21"/>
                <w:szCs w:val="21"/>
              </w:rPr>
              <w:t>Constitutional head of state, with no executive powers.</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151BA9BD" w14:textId="77777777" w:rsidR="009650FE" w:rsidRDefault="009650FE">
            <w:pPr>
              <w:spacing w:before="200" w:after="360"/>
              <w:rPr>
                <w:rFonts w:eastAsia="Times New Roman"/>
                <w:sz w:val="21"/>
                <w:szCs w:val="21"/>
              </w:rPr>
            </w:pPr>
            <w:r>
              <w:rPr>
                <w:rFonts w:eastAsia="Times New Roman"/>
                <w:sz w:val="21"/>
                <w:szCs w:val="21"/>
              </w:rPr>
              <w:t>Ceremonial postbox. Petitions are forwarded to the minister.</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614B782C" w14:textId="77777777" w:rsidR="009650FE" w:rsidRDefault="009650FE">
            <w:pPr>
              <w:spacing w:before="200" w:after="360"/>
              <w:rPr>
                <w:rFonts w:eastAsia="Times New Roman"/>
                <w:sz w:val="21"/>
                <w:szCs w:val="21"/>
              </w:rPr>
            </w:pPr>
            <w:r>
              <w:rPr>
                <w:rFonts w:eastAsia="Times New Roman"/>
                <w:sz w:val="21"/>
                <w:szCs w:val="21"/>
              </w:rPr>
              <w:t>The end stop returns letters to their starting position in Layer 1.</w:t>
            </w:r>
          </w:p>
        </w:tc>
      </w:tr>
    </w:tbl>
    <w:p w14:paraId="7A1D7B54" w14:textId="77777777" w:rsidR="009650FE" w:rsidRDefault="009650FE">
      <w:pPr>
        <w:pStyle w:val="noot"/>
        <w:spacing w:after="120" w:afterAutospacing="0"/>
        <w:divId w:val="953290302"/>
        <w:rPr>
          <w:lang w:val="en-GB"/>
        </w:rPr>
      </w:pPr>
      <w:r>
        <w:rPr>
          <w:lang w:val="en-GB"/>
        </w:rPr>
        <w:t>All organisations mentioned in this chapter are legal entities; their names are public and are listed in Document B. Natural persons are referred to solely by their role or by a symbol (</w:t>
      </w:r>
      <w:r>
        <w:rPr>
          <w:rFonts w:ascii="Segoe UI Symbol" w:hAnsi="Segoe UI Symbol" w:cs="Segoe UI Symbol"/>
          <w:lang w:val="en-GB"/>
        </w:rPr>
        <w:t>♂</w:t>
      </w:r>
      <w:r>
        <w:rPr>
          <w:lang w:val="en-GB"/>
        </w:rPr>
        <w:t xml:space="preserve">, </w:t>
      </w:r>
      <w:r>
        <w:rPr>
          <w:rFonts w:ascii="Segoe UI Symbol" w:hAnsi="Segoe UI Symbol" w:cs="Segoe UI Symbol"/>
          <w:lang w:val="en-GB"/>
        </w:rPr>
        <w:t>♀</w:t>
      </w:r>
      <w:r>
        <w:rPr>
          <w:lang w:val="en-GB"/>
        </w:rPr>
        <w:t xml:space="preserve">, small </w:t>
      </w:r>
      <w:r>
        <w:rPr>
          <w:rFonts w:ascii="Segoe UI Symbol" w:hAnsi="Segoe UI Symbol" w:cs="Segoe UI Symbol"/>
          <w:lang w:val="en-GB"/>
        </w:rPr>
        <w:t>♂</w:t>
      </w:r>
      <w:r>
        <w:rPr>
          <w:lang w:val="en-GB"/>
        </w:rPr>
        <w:t>). This is both a methodological choice and a requirement under the General Data Protection Regulation. The author of this report is the patient in question; he is permitted to publish his own medical and administrative data.</w:t>
      </w:r>
    </w:p>
    <w:p w14:paraId="7F516F8D" w14:textId="77777777" w:rsidR="009650FE" w:rsidRDefault="009650FE">
      <w:pPr>
        <w:pStyle w:val="marker"/>
        <w:ind w:left="800" w:right="800"/>
        <w:divId w:val="953290302"/>
        <w:rPr>
          <w:lang w:val="en-GB"/>
        </w:rPr>
      </w:pPr>
      <w:r>
        <w:br w:type="page"/>
      </w:r>
    </w:p>
    <w:p w14:paraId="26343DA1" w14:textId="77777777" w:rsidR="009650FE" w:rsidRDefault="009650FE">
      <w:pPr>
        <w:pStyle w:val="Kop2"/>
        <w:divId w:val="953290302"/>
        <w:rPr>
          <w:rFonts w:eastAsia="Times New Roman"/>
          <w:lang w:val="en-GB"/>
        </w:rPr>
      </w:pPr>
      <w:bookmarkStart w:id="18" w:name="_Toc242103156"/>
      <w:r>
        <w:rPr>
          <w:rFonts w:eastAsia="Times New Roman"/>
          <w:lang w:val="en-GB"/>
        </w:rPr>
        <w:t>The cascade</w:t>
      </w:r>
      <w:bookmarkEnd w:id="18"/>
    </w:p>
    <w:p w14:paraId="3D2D11DF" w14:textId="77777777" w:rsidR="009650FE" w:rsidRDefault="009650FE">
      <w:pPr>
        <w:pStyle w:val="lead"/>
        <w:divId w:val="953290302"/>
        <w:rPr>
          <w:lang w:val="en-GB"/>
        </w:rPr>
      </w:pPr>
      <w:r>
        <w:rPr>
          <w:lang w:val="en-GB"/>
        </w:rPr>
        <w:t>Block II will shortly show the pots, the mechanism and the decision. This chapter shows what happens when the mechanism and the decision converge on a single family, in a single timeline, with one visible consequence: an empty bank account.</w:t>
      </w:r>
    </w:p>
    <w:p w14:paraId="05135D53" w14:textId="77777777" w:rsidR="009650FE" w:rsidRDefault="009650FE">
      <w:pPr>
        <w:pStyle w:val="Kop3"/>
        <w:divId w:val="953290302"/>
        <w:rPr>
          <w:rFonts w:eastAsia="Times New Roman"/>
          <w:lang w:val="en-GB"/>
        </w:rPr>
      </w:pPr>
      <w:bookmarkStart w:id="19" w:name="_Toc242103157"/>
      <w:r>
        <w:rPr>
          <w:rFonts w:eastAsia="Times New Roman"/>
          <w:lang w:val="en-GB"/>
        </w:rPr>
        <w:t>Frame 1 — The trigger</w:t>
      </w:r>
      <w:bookmarkEnd w:id="19"/>
    </w:p>
    <w:p w14:paraId="52EFED4D" w14:textId="77777777" w:rsidR="009650FE" w:rsidRDefault="009650FE">
      <w:pPr>
        <w:pStyle w:val="tijd"/>
        <w:divId w:val="953290302"/>
        <w:rPr>
          <w:lang w:val="en-GB"/>
        </w:rPr>
      </w:pPr>
      <w:r>
        <w:rPr>
          <w:lang w:val="en-GB"/>
        </w:rPr>
        <w:t>11 April 2025 · Week 1</w:t>
      </w:r>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181C7493" w14:textId="77777777">
        <w:trPr>
          <w:divId w:val="953290302"/>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596F8CFF" w14:textId="77777777" w:rsidR="009650FE" w:rsidRDefault="009650FE">
            <w:pPr>
              <w:pStyle w:val="Normaalweb"/>
              <w:spacing w:before="120"/>
              <w:jc w:val="center"/>
              <w:rPr>
                <w:sz w:val="21"/>
                <w:szCs w:val="21"/>
              </w:rPr>
            </w:pPr>
            <w:r>
              <w:rPr>
                <w:noProof/>
                <w:sz w:val="21"/>
                <w:szCs w:val="21"/>
              </w:rPr>
              <w:drawing>
                <wp:inline distT="0" distB="0" distL="0" distR="0" wp14:anchorId="64BD2AFC" wp14:editId="5FECFC75">
                  <wp:extent cx="3810000" cy="990600"/>
                  <wp:effectExtent l="0" t="0" r="0" b="0"/>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810000" cy="990600"/>
                          </a:xfrm>
                          <a:prstGeom prst="rect">
                            <a:avLst/>
                          </a:prstGeom>
                          <a:noFill/>
                          <a:ln>
                            <a:noFill/>
                          </a:ln>
                        </pic:spPr>
                      </pic:pic>
                    </a:graphicData>
                  </a:graphic>
                </wp:inline>
              </w:drawing>
            </w:r>
          </w:p>
          <w:p w14:paraId="2780ED4D" w14:textId="77777777" w:rsidR="009650FE" w:rsidRDefault="009650FE">
            <w:pPr>
              <w:pStyle w:val="caption"/>
              <w:spacing w:after="120" w:afterAutospacing="0"/>
            </w:pPr>
            <w:r>
              <w:t>The body is admitted. The medical report and the invoice are separated: the report remains at the hospital, whilst the invoice is sent to the health insurance fund. The patient’s contribution is deducted directly from their bank account.</w:t>
            </w:r>
          </w:p>
        </w:tc>
      </w:tr>
    </w:tbl>
    <w:p w14:paraId="16B0D777" w14:textId="77777777" w:rsidR="009650FE" w:rsidRDefault="009650FE">
      <w:pPr>
        <w:pStyle w:val="Kop3"/>
        <w:divId w:val="953290302"/>
        <w:rPr>
          <w:rFonts w:eastAsia="Times New Roman"/>
          <w:lang w:val="en-GB"/>
        </w:rPr>
      </w:pPr>
      <w:bookmarkStart w:id="20" w:name="_Toc242103158"/>
      <w:r>
        <w:rPr>
          <w:rFonts w:eastAsia="Times New Roman"/>
          <w:lang w:val="en-GB"/>
        </w:rPr>
        <w:t>Frame 2 — What keeps flowing</w:t>
      </w:r>
      <w:bookmarkEnd w:id="20"/>
    </w:p>
    <w:p w14:paraId="19469C37" w14:textId="77777777" w:rsidR="009650FE" w:rsidRDefault="009650FE">
      <w:pPr>
        <w:pStyle w:val="tijd"/>
        <w:divId w:val="953290302"/>
        <w:rPr>
          <w:lang w:val="en-GB"/>
        </w:rPr>
      </w:pPr>
      <w:r>
        <w:rPr>
          <w:lang w:val="en-GB"/>
        </w:rPr>
        <w:t>ongoing · from day 1</w:t>
      </w:r>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24D381DC" w14:textId="77777777">
        <w:trPr>
          <w:divId w:val="953290302"/>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44E3B55C" w14:textId="77777777" w:rsidR="009650FE" w:rsidRDefault="009650FE">
            <w:pPr>
              <w:pStyle w:val="Normaalweb"/>
              <w:spacing w:before="120"/>
              <w:jc w:val="center"/>
              <w:rPr>
                <w:sz w:val="21"/>
                <w:szCs w:val="21"/>
              </w:rPr>
            </w:pPr>
            <w:r>
              <w:rPr>
                <w:noProof/>
                <w:sz w:val="21"/>
                <w:szCs w:val="21"/>
              </w:rPr>
              <w:drawing>
                <wp:inline distT="0" distB="0" distL="0" distR="0" wp14:anchorId="1654AAA4" wp14:editId="03AEB1F0">
                  <wp:extent cx="3810000" cy="1143000"/>
                  <wp:effectExtent l="0" t="0" r="0" b="0"/>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810000" cy="1143000"/>
                          </a:xfrm>
                          <a:prstGeom prst="rect">
                            <a:avLst/>
                          </a:prstGeom>
                          <a:noFill/>
                          <a:ln>
                            <a:noFill/>
                          </a:ln>
                        </pic:spPr>
                      </pic:pic>
                    </a:graphicData>
                  </a:graphic>
                </wp:inline>
              </w:drawing>
            </w:r>
          </w:p>
          <w:p w14:paraId="6EB159EB" w14:textId="77777777" w:rsidR="009650FE" w:rsidRDefault="009650FE">
            <w:pPr>
              <w:pStyle w:val="caption"/>
              <w:spacing w:after="120" w:afterAutospacing="0"/>
            </w:pPr>
            <w:r>
              <w:t>One line continues to flow uninterrupted: the mother. Everything the father contributes comes to a halt.</w:t>
            </w:r>
          </w:p>
        </w:tc>
      </w:tr>
    </w:tbl>
    <w:p w14:paraId="6129A791" w14:textId="77777777" w:rsidR="009650FE" w:rsidRDefault="009650FE">
      <w:pPr>
        <w:pStyle w:val="Kop3"/>
        <w:divId w:val="953290302"/>
        <w:rPr>
          <w:rFonts w:eastAsia="Times New Roman"/>
          <w:lang w:val="en-GB"/>
        </w:rPr>
      </w:pPr>
      <w:bookmarkStart w:id="21" w:name="_Toc242103159"/>
      <w:r>
        <w:rPr>
          <w:rFonts w:eastAsia="Times New Roman"/>
          <w:lang w:val="en-GB"/>
        </w:rPr>
        <w:t>Frame 3 — What’s leaking out</w:t>
      </w:r>
      <w:bookmarkEnd w:id="21"/>
    </w:p>
    <w:p w14:paraId="160E4CEE" w14:textId="77777777" w:rsidR="009650FE" w:rsidRDefault="009650FE">
      <w:pPr>
        <w:pStyle w:val="tijd"/>
        <w:divId w:val="953290302"/>
        <w:rPr>
          <w:lang w:val="en-GB"/>
        </w:rPr>
      </w:pPr>
      <w:r>
        <w:rPr>
          <w:lang w:val="en-GB"/>
        </w:rPr>
        <w:t>April 2025 · ongoing</w:t>
      </w:r>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3E3BAD79" w14:textId="77777777">
        <w:trPr>
          <w:divId w:val="953290302"/>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3DAA057A" w14:textId="77777777" w:rsidR="009650FE" w:rsidRDefault="009650FE">
            <w:pPr>
              <w:pStyle w:val="Normaalweb"/>
              <w:spacing w:before="120"/>
              <w:jc w:val="center"/>
              <w:rPr>
                <w:sz w:val="21"/>
                <w:szCs w:val="21"/>
              </w:rPr>
            </w:pPr>
            <w:r>
              <w:rPr>
                <w:noProof/>
                <w:sz w:val="21"/>
                <w:szCs w:val="21"/>
              </w:rPr>
              <w:drawing>
                <wp:inline distT="0" distB="0" distL="0" distR="0" wp14:anchorId="600DF088" wp14:editId="52E05877">
                  <wp:extent cx="3810000" cy="1219200"/>
                  <wp:effectExtent l="0" t="0" r="0" b="0"/>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810000" cy="1219200"/>
                          </a:xfrm>
                          <a:prstGeom prst="rect">
                            <a:avLst/>
                          </a:prstGeom>
                          <a:noFill/>
                          <a:ln>
                            <a:noFill/>
                          </a:ln>
                        </pic:spPr>
                      </pic:pic>
                    </a:graphicData>
                  </a:graphic>
                </wp:inline>
              </w:drawing>
            </w:r>
          </w:p>
          <w:p w14:paraId="3EA0E9F2" w14:textId="77777777" w:rsidR="009650FE" w:rsidRDefault="009650FE">
            <w:pPr>
              <w:pStyle w:val="caption"/>
              <w:spacing w:after="120" w:afterAutospacing="0"/>
            </w:pPr>
            <w:r>
              <w:t>Whilst the mother’s wages come in, they leak out at the other end. Small and predictable, or large and sudden. The reserve is running dry.</w:t>
            </w:r>
          </w:p>
        </w:tc>
      </w:tr>
    </w:tbl>
    <w:p w14:paraId="127ADC84" w14:textId="77777777" w:rsidR="009650FE" w:rsidRDefault="009650FE">
      <w:pPr>
        <w:pStyle w:val="Kop3"/>
        <w:divId w:val="953290302"/>
        <w:rPr>
          <w:rFonts w:eastAsia="Times New Roman"/>
          <w:lang w:val="en-GB"/>
        </w:rPr>
      </w:pPr>
      <w:bookmarkStart w:id="22" w:name="_Toc242103160"/>
      <w:r>
        <w:rPr>
          <w:rFonts w:eastAsia="Times New Roman"/>
          <w:lang w:val="en-GB"/>
        </w:rPr>
        <w:t>Frame 4 — What doesn’t get in</w:t>
      </w:r>
      <w:bookmarkEnd w:id="22"/>
    </w:p>
    <w:p w14:paraId="0E6A7A77" w14:textId="77777777" w:rsidR="009650FE" w:rsidRDefault="009650FE">
      <w:pPr>
        <w:pStyle w:val="tijd"/>
        <w:divId w:val="953290302"/>
        <w:rPr>
          <w:lang w:val="en-GB"/>
        </w:rPr>
      </w:pPr>
      <w:r>
        <w:rPr>
          <w:lang w:val="en-GB"/>
        </w:rPr>
        <w:t>May 2025 — September 2026 · blocked</w:t>
      </w:r>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6C70C440" w14:textId="77777777">
        <w:trPr>
          <w:divId w:val="953290302"/>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25E8D7C9" w14:textId="77777777" w:rsidR="009650FE" w:rsidRDefault="009650FE">
            <w:pPr>
              <w:pStyle w:val="Normaalweb"/>
              <w:spacing w:before="120"/>
              <w:jc w:val="center"/>
              <w:rPr>
                <w:sz w:val="21"/>
                <w:szCs w:val="21"/>
              </w:rPr>
            </w:pPr>
            <w:r>
              <w:rPr>
                <w:noProof/>
                <w:sz w:val="21"/>
                <w:szCs w:val="21"/>
              </w:rPr>
              <w:drawing>
                <wp:inline distT="0" distB="0" distL="0" distR="0" wp14:anchorId="2DAF77A9" wp14:editId="0FF55C3D">
                  <wp:extent cx="3810000" cy="1524000"/>
                  <wp:effectExtent l="0" t="0" r="0" b="0"/>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810000" cy="1524000"/>
                          </a:xfrm>
                          <a:prstGeom prst="rect">
                            <a:avLst/>
                          </a:prstGeom>
                          <a:noFill/>
                          <a:ln>
                            <a:noFill/>
                          </a:ln>
                        </pic:spPr>
                      </pic:pic>
                    </a:graphicData>
                  </a:graphic>
                </wp:inline>
              </w:drawing>
            </w:r>
          </w:p>
          <w:p w14:paraId="70AB0878" w14:textId="77777777" w:rsidR="009650FE" w:rsidRDefault="009650FE">
            <w:pPr>
              <w:pStyle w:val="caption"/>
              <w:spacing w:after="120" w:afterAutospacing="0"/>
            </w:pPr>
            <w:r>
              <w:t>Five channels would need to be in place to offset the loss of income. Four are blocked. One small channel — child benefit — keeps the family just above the poverty line.</w:t>
            </w:r>
          </w:p>
        </w:tc>
      </w:tr>
    </w:tbl>
    <w:p w14:paraId="3D25B161" w14:textId="77777777" w:rsidR="009650FE" w:rsidRDefault="009650FE">
      <w:pPr>
        <w:pStyle w:val="Kop3"/>
        <w:divId w:val="953290302"/>
        <w:rPr>
          <w:rFonts w:eastAsia="Times New Roman"/>
          <w:lang w:val="en-GB"/>
        </w:rPr>
      </w:pPr>
      <w:bookmarkStart w:id="23" w:name="_Toc242103161"/>
      <w:r>
        <w:rPr>
          <w:rFonts w:eastAsia="Times New Roman"/>
          <w:lang w:val="en-GB"/>
        </w:rPr>
        <w:t>Frame 5 — The result</w:t>
      </w:r>
      <w:bookmarkEnd w:id="23"/>
    </w:p>
    <w:p w14:paraId="6A129FE4" w14:textId="77777777" w:rsidR="009650FE" w:rsidRDefault="009650FE">
      <w:pPr>
        <w:pStyle w:val="tijd"/>
        <w:divId w:val="953290302"/>
        <w:rPr>
          <w:lang w:val="en-GB"/>
        </w:rPr>
      </w:pPr>
      <w:r>
        <w:rPr>
          <w:lang w:val="en-GB"/>
        </w:rPr>
        <w:t>autumn 2026 · eighteen months later</w:t>
      </w:r>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4A32A031" w14:textId="77777777">
        <w:trPr>
          <w:divId w:val="953290302"/>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678CDCDF" w14:textId="77777777" w:rsidR="009650FE" w:rsidRDefault="009650FE">
            <w:pPr>
              <w:pStyle w:val="Normaalweb"/>
              <w:spacing w:before="120"/>
              <w:jc w:val="center"/>
              <w:rPr>
                <w:sz w:val="21"/>
                <w:szCs w:val="21"/>
              </w:rPr>
            </w:pPr>
            <w:r>
              <w:rPr>
                <w:noProof/>
                <w:sz w:val="21"/>
                <w:szCs w:val="21"/>
              </w:rPr>
              <w:drawing>
                <wp:inline distT="0" distB="0" distL="0" distR="0" wp14:anchorId="50900D87" wp14:editId="1D4234EE">
                  <wp:extent cx="3810000" cy="1295400"/>
                  <wp:effectExtent l="0" t="0" r="0" b="0"/>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810000" cy="1295400"/>
                          </a:xfrm>
                          <a:prstGeom prst="rect">
                            <a:avLst/>
                          </a:prstGeom>
                          <a:noFill/>
                          <a:ln>
                            <a:noFill/>
                          </a:ln>
                        </pic:spPr>
                      </pic:pic>
                    </a:graphicData>
                  </a:graphic>
                </wp:inline>
              </w:drawing>
            </w:r>
          </w:p>
          <w:p w14:paraId="22023832" w14:textId="77777777" w:rsidR="009650FE" w:rsidRDefault="009650FE">
            <w:pPr>
              <w:pStyle w:val="caption"/>
              <w:spacing w:after="120" w:afterAutospacing="0"/>
            </w:pPr>
            <w:r>
              <w:t>Eighteen months later, the account is in the red. The commercial bank has offered a solution involving penalties. The debt collection agency has been called in. And the system that was supposed to have dealt with this is still not delivering any results.</w:t>
            </w:r>
          </w:p>
        </w:tc>
      </w:tr>
    </w:tbl>
    <w:p w14:paraId="13386353" w14:textId="77777777" w:rsidR="009650FE" w:rsidRDefault="009650FE">
      <w:pPr>
        <w:divId w:val="953290302"/>
        <w:rPr>
          <w:rFonts w:eastAsia="Times New Roman"/>
          <w:vanish/>
          <w:lang w:val="en-GB"/>
        </w:rPr>
      </w:pPr>
    </w:p>
    <w:tbl>
      <w:tblPr>
        <w:tblW w:w="5000" w:type="pct"/>
        <w:tblCellMar>
          <w:top w:w="15" w:type="dxa"/>
          <w:left w:w="15" w:type="dxa"/>
          <w:bottom w:w="15" w:type="dxa"/>
          <w:right w:w="15" w:type="dxa"/>
        </w:tblCellMar>
        <w:tblLook w:val="04A0" w:firstRow="1" w:lastRow="0" w:firstColumn="1" w:lastColumn="0" w:noHBand="0" w:noVBand="1"/>
      </w:tblPr>
      <w:tblGrid>
        <w:gridCol w:w="9019"/>
      </w:tblGrid>
      <w:tr w:rsidR="00000000" w14:paraId="479858D6" w14:textId="77777777">
        <w:trPr>
          <w:divId w:val="953290302"/>
        </w:trPr>
        <w:tc>
          <w:tcPr>
            <w:tcW w:w="0" w:type="auto"/>
            <w:tcBorders>
              <w:top w:val="single" w:sz="6" w:space="0" w:color="D5D0C5"/>
              <w:left w:val="single" w:sz="36" w:space="0" w:color="4A3B6B"/>
              <w:bottom w:val="single" w:sz="6" w:space="0" w:color="D5D0C5"/>
              <w:right w:val="single" w:sz="6" w:space="0" w:color="D5D0C5"/>
            </w:tcBorders>
            <w:shd w:val="clear" w:color="auto" w:fill="F4F1F8"/>
            <w:tcMar>
              <w:top w:w="200" w:type="dxa"/>
              <w:left w:w="280" w:type="dxa"/>
              <w:bottom w:w="200" w:type="dxa"/>
              <w:right w:w="280" w:type="dxa"/>
            </w:tcMar>
            <w:hideMark/>
          </w:tcPr>
          <w:p w14:paraId="754733BA" w14:textId="77777777" w:rsidR="009650FE" w:rsidRDefault="009650FE">
            <w:pPr>
              <w:spacing w:before="240" w:after="240"/>
              <w:rPr>
                <w:rFonts w:eastAsia="Times New Roman"/>
                <w:szCs w:val="22"/>
              </w:rPr>
            </w:pPr>
            <w:r>
              <w:rPr>
                <w:rFonts w:eastAsia="Times New Roman"/>
                <w:szCs w:val="22"/>
              </w:rPr>
              <w:t xml:space="preserve">The cascade is not a chain of errors. It is a single mechanism that responds in five different ways to a single event. Each link has its own rule, its own point of contact, its own logic. No link can see the next one. And the bank account is the only place where all the links converge — as a result, not as a cause. </w:t>
            </w:r>
          </w:p>
        </w:tc>
      </w:tr>
    </w:tbl>
    <w:p w14:paraId="3A94E3BB" w14:textId="77777777" w:rsidR="009650FE" w:rsidRDefault="009650FE">
      <w:pPr>
        <w:pStyle w:val="noot"/>
        <w:spacing w:after="120" w:afterAutospacing="0"/>
        <w:divId w:val="953290302"/>
        <w:rPr>
          <w:lang w:val="en-GB"/>
        </w:rPr>
      </w:pPr>
      <w:r>
        <w:rPr>
          <w:lang w:val="en-GB"/>
        </w:rPr>
        <w:t>The facts are based on Document B. Amounts can be found in the relevant entries for each organisation. Natural persons are identified by symbols (</w:t>
      </w:r>
      <w:r>
        <w:rPr>
          <w:rFonts w:ascii="Segoe UI Symbol" w:hAnsi="Segoe UI Symbol" w:cs="Segoe UI Symbol"/>
          <w:lang w:val="en-GB"/>
        </w:rPr>
        <w:t>♂</w:t>
      </w:r>
      <w:r>
        <w:rPr>
          <w:lang w:val="en-GB"/>
        </w:rPr>
        <w:t xml:space="preserve">, </w:t>
      </w:r>
      <w:r>
        <w:rPr>
          <w:rFonts w:ascii="Segoe UI Symbol" w:hAnsi="Segoe UI Symbol" w:cs="Segoe UI Symbol"/>
          <w:lang w:val="en-GB"/>
        </w:rPr>
        <w:t>♀</w:t>
      </w:r>
      <w:r>
        <w:rPr>
          <w:lang w:val="en-GB"/>
        </w:rPr>
        <w:t>); organisations by their public name.</w:t>
      </w:r>
    </w:p>
    <w:p w14:paraId="6B94AAA4" w14:textId="77777777" w:rsidR="009650FE" w:rsidRDefault="009650FE">
      <w:pPr>
        <w:pStyle w:val="marker"/>
        <w:ind w:left="800" w:right="800"/>
        <w:divId w:val="953290302"/>
        <w:rPr>
          <w:lang w:val="en-GB"/>
        </w:rPr>
      </w:pPr>
      <w:r>
        <w:br w:type="page"/>
      </w:r>
    </w:p>
    <w:p w14:paraId="527811A5" w14:textId="77777777" w:rsidR="009650FE" w:rsidRDefault="009650FE">
      <w:pPr>
        <w:pStyle w:val="Kop1"/>
        <w:divId w:val="953290302"/>
        <w:rPr>
          <w:rFonts w:eastAsia="Times New Roman"/>
          <w:lang w:val="en-GB"/>
        </w:rPr>
      </w:pPr>
      <w:bookmarkStart w:id="24" w:name="_Toc242103162"/>
      <w:r>
        <w:rPr>
          <w:rFonts w:eastAsia="Times New Roman"/>
          <w:lang w:val="en-GB"/>
        </w:rPr>
        <w:t>II. Belgium</w:t>
      </w:r>
      <w:bookmarkEnd w:id="24"/>
    </w:p>
    <w:p w14:paraId="6349B5FD" w14:textId="77777777" w:rsidR="009650FE" w:rsidRDefault="009650FE">
      <w:pPr>
        <w:pStyle w:val="Kop2"/>
        <w:divId w:val="953290302"/>
        <w:rPr>
          <w:rFonts w:eastAsia="Times New Roman"/>
          <w:lang w:val="en-GB"/>
        </w:rPr>
      </w:pPr>
      <w:bookmarkStart w:id="25" w:name="_Toc242103163"/>
      <w:r>
        <w:rPr>
          <w:rFonts w:eastAsia="Times New Roman"/>
          <w:lang w:val="en-GB"/>
        </w:rPr>
        <w:t>The pots and the tie-in sales</w:t>
      </w:r>
      <w:bookmarkEnd w:id="25"/>
    </w:p>
    <w:p w14:paraId="1DD79CF4" w14:textId="77777777" w:rsidR="009650FE" w:rsidRDefault="009650FE">
      <w:pPr>
        <w:pStyle w:val="lead"/>
        <w:divId w:val="953290302"/>
        <w:rPr>
          <w:lang w:val="en-GB"/>
        </w:rPr>
      </w:pPr>
      <w:r>
        <w:rPr>
          <w:lang w:val="en-GB"/>
        </w:rPr>
        <w:t>A family that loses its income due to illness can apply for a range of benefits in Belgium and the Netherlands. These are spread across two countries, two tax systems, two social security systems and two benefit schemes. This chapter first sets out what funds are available. It then explains why most of these funds remain untapped — not due to a single cause, but because of a mechanism that is common to both countries.</w:t>
      </w:r>
    </w:p>
    <w:p w14:paraId="73AD01A6" w14:textId="77777777" w:rsidR="009650FE" w:rsidRDefault="009650FE">
      <w:pPr>
        <w:pStyle w:val="Kop3"/>
        <w:divId w:val="953290302"/>
        <w:rPr>
          <w:rFonts w:eastAsia="Times New Roman"/>
          <w:lang w:val="en-GB"/>
        </w:rPr>
      </w:pPr>
      <w:bookmarkStart w:id="26" w:name="_Toc242103164"/>
      <w:r>
        <w:rPr>
          <w:rFonts w:eastAsia="Times New Roman"/>
          <w:lang w:val="en-GB"/>
        </w:rPr>
        <w:t>Part II-A — The jars</w:t>
      </w:r>
      <w:bookmarkEnd w:id="26"/>
    </w:p>
    <w:p w14:paraId="4F25224F" w14:textId="77777777" w:rsidR="009650FE" w:rsidRDefault="009650FE">
      <w:pPr>
        <w:pStyle w:val="Normaalweb"/>
        <w:divId w:val="953290302"/>
        <w:rPr>
          <w:lang w:val="en-GB"/>
        </w:rPr>
      </w:pPr>
      <w:r>
        <w:rPr>
          <w:lang w:val="en-GB"/>
        </w:rPr>
        <w:t>In theory, the family is entitled to, or may claim, the following benefits. The status for each fund is based on Document B.</w:t>
      </w:r>
    </w:p>
    <w:p w14:paraId="5EA204D8" w14:textId="77777777" w:rsidR="009650FE" w:rsidRDefault="009650FE">
      <w:pPr>
        <w:pStyle w:val="Kop4"/>
        <w:divId w:val="953290302"/>
        <w:rPr>
          <w:rFonts w:eastAsia="Times New Roman"/>
          <w:lang w:val="en-GB"/>
        </w:rPr>
      </w:pPr>
      <w:r>
        <w:rPr>
          <w:rFonts w:eastAsia="Times New Roman"/>
          <w:lang w:val="en-GB"/>
        </w:rPr>
        <w:t>Belgian jars</w:t>
      </w:r>
    </w:p>
    <w:tbl>
      <w:tblPr>
        <w:tblW w:w="5000" w:type="pct"/>
        <w:tblCellMar>
          <w:top w:w="15" w:type="dxa"/>
          <w:left w:w="15" w:type="dxa"/>
          <w:bottom w:w="15" w:type="dxa"/>
          <w:right w:w="15" w:type="dxa"/>
        </w:tblCellMar>
        <w:tblLook w:val="04A0" w:firstRow="1" w:lastRow="0" w:firstColumn="1" w:lastColumn="0" w:noHBand="0" w:noVBand="1"/>
      </w:tblPr>
      <w:tblGrid>
        <w:gridCol w:w="2536"/>
        <w:gridCol w:w="1992"/>
        <w:gridCol w:w="1992"/>
        <w:gridCol w:w="2536"/>
      </w:tblGrid>
      <w:tr w:rsidR="00000000" w14:paraId="2E8D31F3" w14:textId="77777777">
        <w:trPr>
          <w:divId w:val="953290302"/>
          <w:tblHeader/>
        </w:trPr>
        <w:tc>
          <w:tcPr>
            <w:tcW w:w="1400" w:type="pct"/>
            <w:tcBorders>
              <w:top w:val="single" w:sz="6" w:space="0" w:color="4A3B6B"/>
              <w:left w:val="single" w:sz="6" w:space="0" w:color="4A3B6B"/>
              <w:bottom w:val="single" w:sz="6" w:space="0" w:color="4A3B6B"/>
              <w:right w:val="single" w:sz="6" w:space="0" w:color="4A3B6B"/>
            </w:tcBorders>
            <w:shd w:val="clear" w:color="auto" w:fill="4A3B6B"/>
            <w:tcMar>
              <w:top w:w="140" w:type="dxa"/>
              <w:left w:w="180" w:type="dxa"/>
              <w:bottom w:w="140" w:type="dxa"/>
              <w:right w:w="180" w:type="dxa"/>
            </w:tcMar>
            <w:vAlign w:val="center"/>
            <w:hideMark/>
          </w:tcPr>
          <w:p w14:paraId="08A0ABA3" w14:textId="77777777" w:rsidR="009650FE" w:rsidRDefault="009650FE">
            <w:pPr>
              <w:spacing w:before="200" w:after="360"/>
              <w:rPr>
                <w:rFonts w:eastAsia="Times New Roman"/>
                <w:b/>
                <w:bCs/>
                <w:color w:val="FFFFFF"/>
                <w:sz w:val="21"/>
                <w:szCs w:val="21"/>
              </w:rPr>
            </w:pPr>
            <w:r>
              <w:rPr>
                <w:rFonts w:eastAsia="Times New Roman"/>
                <w:b/>
                <w:bCs/>
                <w:color w:val="FFFFFF"/>
                <w:sz w:val="21"/>
                <w:szCs w:val="21"/>
              </w:rPr>
              <w:t>Pot</w:t>
            </w:r>
          </w:p>
        </w:tc>
        <w:tc>
          <w:tcPr>
            <w:tcW w:w="1100" w:type="pct"/>
            <w:tcBorders>
              <w:top w:val="single" w:sz="6" w:space="0" w:color="4A3B6B"/>
              <w:left w:val="single" w:sz="6" w:space="0" w:color="4A3B6B"/>
              <w:bottom w:val="single" w:sz="6" w:space="0" w:color="4A3B6B"/>
              <w:right w:val="single" w:sz="6" w:space="0" w:color="4A3B6B"/>
            </w:tcBorders>
            <w:shd w:val="clear" w:color="auto" w:fill="4A3B6B"/>
            <w:tcMar>
              <w:top w:w="140" w:type="dxa"/>
              <w:left w:w="180" w:type="dxa"/>
              <w:bottom w:w="140" w:type="dxa"/>
              <w:right w:w="180" w:type="dxa"/>
            </w:tcMar>
            <w:vAlign w:val="center"/>
            <w:hideMark/>
          </w:tcPr>
          <w:p w14:paraId="16E5458A" w14:textId="77777777" w:rsidR="009650FE" w:rsidRDefault="009650FE">
            <w:pPr>
              <w:spacing w:before="200" w:after="360"/>
              <w:rPr>
                <w:rFonts w:eastAsia="Times New Roman"/>
                <w:b/>
                <w:bCs/>
                <w:color w:val="FFFFFF"/>
                <w:sz w:val="21"/>
                <w:szCs w:val="21"/>
              </w:rPr>
            </w:pPr>
            <w:r>
              <w:rPr>
                <w:rFonts w:eastAsia="Times New Roman"/>
                <w:b/>
                <w:bCs/>
                <w:color w:val="FFFFFF"/>
                <w:sz w:val="21"/>
                <w:szCs w:val="21"/>
              </w:rPr>
              <w:t>Administrator</w:t>
            </w:r>
          </w:p>
        </w:tc>
        <w:tc>
          <w:tcPr>
            <w:tcW w:w="1100" w:type="pct"/>
            <w:tcBorders>
              <w:top w:val="single" w:sz="6" w:space="0" w:color="4A3B6B"/>
              <w:left w:val="single" w:sz="6" w:space="0" w:color="4A3B6B"/>
              <w:bottom w:val="single" w:sz="6" w:space="0" w:color="4A3B6B"/>
              <w:right w:val="single" w:sz="6" w:space="0" w:color="4A3B6B"/>
            </w:tcBorders>
            <w:shd w:val="clear" w:color="auto" w:fill="4A3B6B"/>
            <w:tcMar>
              <w:top w:w="140" w:type="dxa"/>
              <w:left w:w="180" w:type="dxa"/>
              <w:bottom w:w="140" w:type="dxa"/>
              <w:right w:w="180" w:type="dxa"/>
            </w:tcMar>
            <w:vAlign w:val="center"/>
            <w:hideMark/>
          </w:tcPr>
          <w:p w14:paraId="74A970E2" w14:textId="77777777" w:rsidR="009650FE" w:rsidRDefault="009650FE">
            <w:pPr>
              <w:spacing w:before="200" w:after="360"/>
              <w:rPr>
                <w:rFonts w:eastAsia="Times New Roman"/>
                <w:b/>
                <w:bCs/>
                <w:color w:val="FFFFFF"/>
                <w:sz w:val="21"/>
                <w:szCs w:val="21"/>
              </w:rPr>
            </w:pPr>
            <w:r>
              <w:rPr>
                <w:rFonts w:eastAsia="Times New Roman"/>
                <w:b/>
                <w:bCs/>
                <w:color w:val="FFFFFF"/>
                <w:sz w:val="21"/>
                <w:szCs w:val="21"/>
              </w:rPr>
              <w:t>Condition</w:t>
            </w:r>
          </w:p>
        </w:tc>
        <w:tc>
          <w:tcPr>
            <w:tcW w:w="1400" w:type="pct"/>
            <w:tcBorders>
              <w:top w:val="single" w:sz="6" w:space="0" w:color="4A3B6B"/>
              <w:left w:val="single" w:sz="6" w:space="0" w:color="4A3B6B"/>
              <w:bottom w:val="single" w:sz="6" w:space="0" w:color="4A3B6B"/>
              <w:right w:val="single" w:sz="6" w:space="0" w:color="4A3B6B"/>
            </w:tcBorders>
            <w:shd w:val="clear" w:color="auto" w:fill="4A3B6B"/>
            <w:tcMar>
              <w:top w:w="140" w:type="dxa"/>
              <w:left w:w="180" w:type="dxa"/>
              <w:bottom w:w="140" w:type="dxa"/>
              <w:right w:w="180" w:type="dxa"/>
            </w:tcMar>
            <w:vAlign w:val="center"/>
            <w:hideMark/>
          </w:tcPr>
          <w:p w14:paraId="235C7F52" w14:textId="77777777" w:rsidR="009650FE" w:rsidRDefault="009650FE">
            <w:pPr>
              <w:spacing w:before="200" w:after="360"/>
              <w:rPr>
                <w:rFonts w:eastAsia="Times New Roman"/>
                <w:b/>
                <w:bCs/>
                <w:color w:val="FFFFFF"/>
                <w:sz w:val="21"/>
                <w:szCs w:val="21"/>
              </w:rPr>
            </w:pPr>
            <w:r>
              <w:rPr>
                <w:rFonts w:eastAsia="Times New Roman"/>
                <w:b/>
                <w:bCs/>
                <w:color w:val="FFFFFF"/>
                <w:sz w:val="21"/>
                <w:szCs w:val="21"/>
              </w:rPr>
              <w:t>Status</w:t>
            </w:r>
          </w:p>
        </w:tc>
      </w:tr>
      <w:tr w:rsidR="00000000" w14:paraId="7878DBC4" w14:textId="77777777">
        <w:trPr>
          <w:divId w:val="953290302"/>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79C203DA" w14:textId="77777777" w:rsidR="009650FE" w:rsidRDefault="009650FE">
            <w:pPr>
              <w:spacing w:before="200" w:after="360"/>
              <w:rPr>
                <w:rFonts w:eastAsia="Times New Roman"/>
                <w:sz w:val="21"/>
                <w:szCs w:val="21"/>
              </w:rPr>
            </w:pPr>
            <w:r>
              <w:rPr>
                <w:rStyle w:val="Zwaar"/>
                <w:rFonts w:eastAsia="Times New Roman"/>
                <w:sz w:val="21"/>
                <w:szCs w:val="21"/>
              </w:rPr>
              <w:t>Sickness benefit</w:t>
            </w:r>
            <w:r>
              <w:rPr>
                <w:rFonts w:eastAsia="Times New Roman"/>
                <w:sz w:val="21"/>
                <w:szCs w:val="21"/>
              </w:rPr>
              <w:t xml:space="preserve"> (incapacity for work, first year)</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231AB477" w14:textId="77777777" w:rsidR="009650FE" w:rsidRDefault="009650FE">
            <w:pPr>
              <w:spacing w:before="200" w:after="360"/>
              <w:rPr>
                <w:rFonts w:eastAsia="Times New Roman"/>
                <w:sz w:val="21"/>
                <w:szCs w:val="21"/>
              </w:rPr>
            </w:pPr>
            <w:r>
              <w:rPr>
                <w:rFonts w:eastAsia="Times New Roman"/>
                <w:sz w:val="21"/>
                <w:szCs w:val="21"/>
              </w:rPr>
              <w:t>CM</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5289ECDB" w14:textId="77777777" w:rsidR="009650FE" w:rsidRDefault="009650FE">
            <w:pPr>
              <w:spacing w:before="200" w:after="360"/>
              <w:rPr>
                <w:rFonts w:eastAsia="Times New Roman"/>
                <w:sz w:val="21"/>
                <w:szCs w:val="21"/>
              </w:rPr>
            </w:pPr>
            <w:r>
              <w:rPr>
                <w:rFonts w:eastAsia="Times New Roman"/>
                <w:sz w:val="21"/>
                <w:szCs w:val="21"/>
              </w:rPr>
              <w:t>Declared unfit for work + waiting period completed</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10506D2C" w14:textId="77777777" w:rsidR="009650FE" w:rsidRDefault="009650FE">
            <w:pPr>
              <w:spacing w:before="200" w:after="360"/>
              <w:rPr>
                <w:rFonts w:eastAsia="Times New Roman"/>
                <w:sz w:val="21"/>
                <w:szCs w:val="21"/>
              </w:rPr>
            </w:pPr>
            <w:r>
              <w:rPr>
                <w:rStyle w:val="status-r1"/>
                <w:rFonts w:eastAsia="Times New Roman"/>
                <w:sz w:val="21"/>
                <w:szCs w:val="21"/>
              </w:rPr>
              <w:t>Blocked</w:t>
            </w:r>
            <w:r>
              <w:rPr>
                <w:rFonts w:eastAsia="Times New Roman"/>
                <w:sz w:val="21"/>
                <w:szCs w:val="21"/>
              </w:rPr>
              <w:t xml:space="preserve"> — 180-day waiting period not applied under the European aggregation rule</w:t>
            </w:r>
          </w:p>
        </w:tc>
      </w:tr>
      <w:tr w:rsidR="00000000" w14:paraId="238A2D53" w14:textId="77777777">
        <w:trPr>
          <w:divId w:val="953290302"/>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4F93E38A" w14:textId="77777777" w:rsidR="009650FE" w:rsidRDefault="009650FE">
            <w:pPr>
              <w:spacing w:before="200" w:after="360"/>
              <w:rPr>
                <w:rFonts w:eastAsia="Times New Roman"/>
                <w:sz w:val="21"/>
                <w:szCs w:val="21"/>
              </w:rPr>
            </w:pPr>
            <w:r>
              <w:rPr>
                <w:rStyle w:val="Zwaar"/>
                <w:rFonts w:eastAsia="Times New Roman"/>
                <w:sz w:val="21"/>
                <w:szCs w:val="21"/>
              </w:rPr>
              <w:t>Disability benefit</w:t>
            </w:r>
            <w:r>
              <w:rPr>
                <w:rFonts w:eastAsia="Times New Roman"/>
                <w:sz w:val="21"/>
                <w:szCs w:val="21"/>
              </w:rPr>
              <w:t xml:space="preserve"> (after 1 year of incapacity for work)</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778D105A" w14:textId="77777777" w:rsidR="009650FE" w:rsidRDefault="009650FE">
            <w:pPr>
              <w:spacing w:before="200" w:after="360"/>
              <w:rPr>
                <w:rFonts w:eastAsia="Times New Roman"/>
                <w:sz w:val="21"/>
                <w:szCs w:val="21"/>
              </w:rPr>
            </w:pPr>
            <w:r>
              <w:rPr>
                <w:rFonts w:eastAsia="Times New Roman"/>
                <w:sz w:val="21"/>
                <w:szCs w:val="21"/>
              </w:rPr>
              <w:t>CM</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79B94A1F" w14:textId="77777777" w:rsidR="009650FE" w:rsidRDefault="009650FE">
            <w:pPr>
              <w:spacing w:before="200" w:after="360"/>
              <w:rPr>
                <w:rFonts w:eastAsia="Times New Roman"/>
                <w:sz w:val="21"/>
                <w:szCs w:val="21"/>
              </w:rPr>
            </w:pPr>
            <w:r>
              <w:rPr>
                <w:rFonts w:eastAsia="Times New Roman"/>
                <w:sz w:val="21"/>
                <w:szCs w:val="21"/>
              </w:rPr>
              <w:t>Automatic transition after 365 days of incapacity for work</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545D8A29" w14:textId="77777777" w:rsidR="009650FE" w:rsidRDefault="009650FE">
            <w:pPr>
              <w:spacing w:before="200" w:after="360"/>
              <w:rPr>
                <w:rFonts w:eastAsia="Times New Roman"/>
                <w:sz w:val="21"/>
                <w:szCs w:val="21"/>
              </w:rPr>
            </w:pPr>
            <w:r>
              <w:rPr>
                <w:rStyle w:val="status-r1"/>
                <w:rFonts w:eastAsia="Times New Roman"/>
                <w:sz w:val="21"/>
                <w:szCs w:val="21"/>
              </w:rPr>
              <w:t>Blocked</w:t>
            </w:r>
            <w:r>
              <w:rPr>
                <w:rFonts w:eastAsia="Times New Roman"/>
                <w:sz w:val="21"/>
                <w:szCs w:val="21"/>
              </w:rPr>
              <w:t xml:space="preserve"> — fictitious end date prevents transfer</w:t>
            </w:r>
          </w:p>
        </w:tc>
      </w:tr>
      <w:tr w:rsidR="00000000" w14:paraId="332A3B56" w14:textId="77777777">
        <w:trPr>
          <w:divId w:val="953290302"/>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06F9883F" w14:textId="77777777" w:rsidR="009650FE" w:rsidRDefault="009650FE">
            <w:pPr>
              <w:spacing w:before="200" w:after="360"/>
              <w:rPr>
                <w:rFonts w:eastAsia="Times New Roman"/>
                <w:sz w:val="21"/>
                <w:szCs w:val="21"/>
              </w:rPr>
            </w:pPr>
            <w:r>
              <w:rPr>
                <w:rStyle w:val="Zwaar"/>
                <w:rFonts w:eastAsia="Times New Roman"/>
                <w:sz w:val="21"/>
                <w:szCs w:val="21"/>
              </w:rPr>
              <w:t>IVT</w:t>
            </w:r>
            <w:r>
              <w:rPr>
                <w:rFonts w:eastAsia="Times New Roman"/>
                <w:sz w:val="21"/>
                <w:szCs w:val="21"/>
              </w:rPr>
              <w:t xml:space="preserve"> (income replacement allowance)</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2DEC8A1E" w14:textId="77777777" w:rsidR="009650FE" w:rsidRDefault="009650FE">
            <w:pPr>
              <w:spacing w:before="200" w:after="360"/>
              <w:rPr>
                <w:rFonts w:eastAsia="Times New Roman"/>
                <w:sz w:val="21"/>
                <w:szCs w:val="21"/>
              </w:rPr>
            </w:pPr>
            <w:r>
              <w:rPr>
                <w:rFonts w:eastAsia="Times New Roman"/>
                <w:sz w:val="21"/>
                <w:szCs w:val="21"/>
              </w:rPr>
              <w:t>FPS Social Security / DG HAN</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667B6156" w14:textId="77777777" w:rsidR="009650FE" w:rsidRDefault="009650FE">
            <w:pPr>
              <w:spacing w:before="200" w:after="360"/>
              <w:rPr>
                <w:rFonts w:eastAsia="Times New Roman"/>
                <w:sz w:val="21"/>
                <w:szCs w:val="21"/>
              </w:rPr>
            </w:pPr>
            <w:r>
              <w:rPr>
                <w:rFonts w:eastAsia="Times New Roman"/>
                <w:sz w:val="21"/>
                <w:szCs w:val="21"/>
              </w:rPr>
              <w:t>Recognised disability + reduced earning capacity + residence in Belgium</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2652022D" w14:textId="77777777" w:rsidR="009650FE" w:rsidRDefault="009650FE">
            <w:pPr>
              <w:spacing w:before="200" w:after="360"/>
              <w:rPr>
                <w:rFonts w:eastAsia="Times New Roman"/>
                <w:sz w:val="21"/>
                <w:szCs w:val="21"/>
              </w:rPr>
            </w:pPr>
            <w:r>
              <w:rPr>
                <w:rStyle w:val="status-r1"/>
                <w:rFonts w:eastAsia="Times New Roman"/>
                <w:sz w:val="21"/>
                <w:szCs w:val="21"/>
              </w:rPr>
              <w:t>Blocked</w:t>
            </w:r>
            <w:r>
              <w:rPr>
                <w:rFonts w:eastAsia="Times New Roman"/>
                <w:sz w:val="21"/>
                <w:szCs w:val="21"/>
              </w:rPr>
              <w:t xml:space="preserve"> — residence requirement, no Belgian domicile</w:t>
            </w:r>
          </w:p>
        </w:tc>
      </w:tr>
      <w:tr w:rsidR="00000000" w14:paraId="1AAF9521" w14:textId="77777777">
        <w:trPr>
          <w:divId w:val="953290302"/>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7633148D" w14:textId="77777777" w:rsidR="009650FE" w:rsidRDefault="009650FE">
            <w:pPr>
              <w:spacing w:before="200" w:after="360"/>
              <w:rPr>
                <w:rFonts w:eastAsia="Times New Roman"/>
                <w:sz w:val="21"/>
                <w:szCs w:val="21"/>
              </w:rPr>
            </w:pPr>
            <w:r>
              <w:rPr>
                <w:rStyle w:val="Zwaar"/>
                <w:rFonts w:eastAsia="Times New Roman"/>
                <w:sz w:val="21"/>
                <w:szCs w:val="21"/>
              </w:rPr>
              <w:t>Increased tax-free allowance</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20A85BE9" w14:textId="77777777" w:rsidR="009650FE" w:rsidRDefault="009650FE">
            <w:pPr>
              <w:spacing w:before="200" w:after="360"/>
              <w:rPr>
                <w:rFonts w:eastAsia="Times New Roman"/>
                <w:sz w:val="21"/>
                <w:szCs w:val="21"/>
              </w:rPr>
            </w:pPr>
            <w:r>
              <w:rPr>
                <w:rFonts w:eastAsia="Times New Roman"/>
                <w:sz w:val="21"/>
                <w:szCs w:val="21"/>
              </w:rPr>
              <w:t>FPS Finance</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75DAC8B1" w14:textId="77777777" w:rsidR="009650FE" w:rsidRDefault="009650FE">
            <w:pPr>
              <w:spacing w:before="200" w:after="360"/>
              <w:rPr>
                <w:rFonts w:eastAsia="Times New Roman"/>
                <w:sz w:val="21"/>
                <w:szCs w:val="21"/>
              </w:rPr>
            </w:pPr>
            <w:r>
              <w:rPr>
                <w:rFonts w:eastAsia="Times New Roman"/>
                <w:sz w:val="21"/>
                <w:szCs w:val="21"/>
              </w:rPr>
              <w:t>Recognition of a severe disability (9 points)</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65522057" w14:textId="77777777" w:rsidR="009650FE" w:rsidRDefault="009650FE">
            <w:pPr>
              <w:spacing w:before="200" w:after="360"/>
              <w:rPr>
                <w:rFonts w:eastAsia="Times New Roman"/>
                <w:sz w:val="21"/>
                <w:szCs w:val="21"/>
              </w:rPr>
            </w:pPr>
            <w:r>
              <w:rPr>
                <w:rStyle w:val="status-r1"/>
                <w:rFonts w:eastAsia="Times New Roman"/>
                <w:sz w:val="21"/>
                <w:szCs w:val="21"/>
              </w:rPr>
              <w:t>Blocked</w:t>
            </w:r>
            <w:r>
              <w:rPr>
                <w:rFonts w:eastAsia="Times New Roman"/>
                <w:sz w:val="21"/>
                <w:szCs w:val="21"/>
              </w:rPr>
              <w:t xml:space="preserve"> via DG HAN, </w:t>
            </w:r>
            <w:r>
              <w:rPr>
                <w:rStyle w:val="status-g1"/>
                <w:rFonts w:eastAsia="Times New Roman"/>
                <w:sz w:val="21"/>
                <w:szCs w:val="21"/>
              </w:rPr>
              <w:t>activated</w:t>
            </w:r>
            <w:r>
              <w:rPr>
                <w:rFonts w:eastAsia="Times New Roman"/>
                <w:sz w:val="21"/>
                <w:szCs w:val="21"/>
              </w:rPr>
              <w:t xml:space="preserve"> via a tax bypass (see Chapter II — The Belgian tax route)</w:t>
            </w:r>
          </w:p>
        </w:tc>
      </w:tr>
      <w:tr w:rsidR="00000000" w14:paraId="7E220B76" w14:textId="77777777">
        <w:trPr>
          <w:divId w:val="953290302"/>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5CF8DF90" w14:textId="77777777" w:rsidR="009650FE" w:rsidRDefault="009650FE">
            <w:pPr>
              <w:spacing w:before="200" w:after="360"/>
              <w:rPr>
                <w:rFonts w:eastAsia="Times New Roman"/>
                <w:sz w:val="21"/>
                <w:szCs w:val="21"/>
              </w:rPr>
            </w:pPr>
            <w:r>
              <w:rPr>
                <w:rStyle w:val="Zwaar"/>
                <w:rFonts w:eastAsia="Times New Roman"/>
                <w:sz w:val="21"/>
                <w:szCs w:val="21"/>
              </w:rPr>
              <w:t>Child Benefit / Growth Package</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52A58994" w14:textId="77777777" w:rsidR="009650FE" w:rsidRDefault="009650FE">
            <w:pPr>
              <w:spacing w:before="200" w:after="360"/>
              <w:rPr>
                <w:rFonts w:eastAsia="Times New Roman"/>
                <w:sz w:val="21"/>
                <w:szCs w:val="21"/>
              </w:rPr>
            </w:pPr>
            <w:r>
              <w:rPr>
                <w:rFonts w:eastAsia="Times New Roman"/>
                <w:sz w:val="21"/>
                <w:szCs w:val="21"/>
              </w:rPr>
              <w:t>Parentia</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339BCCAE" w14:textId="77777777" w:rsidR="009650FE" w:rsidRDefault="009650FE">
            <w:pPr>
              <w:spacing w:before="200" w:after="360"/>
              <w:rPr>
                <w:rFonts w:eastAsia="Times New Roman"/>
                <w:sz w:val="21"/>
                <w:szCs w:val="21"/>
              </w:rPr>
            </w:pPr>
            <w:r>
              <w:rPr>
                <w:rFonts w:eastAsia="Times New Roman"/>
                <w:sz w:val="21"/>
                <w:szCs w:val="21"/>
              </w:rPr>
              <w:t>Dependent child + country-of-employment principle (mother works in Belgium)</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7B0807D9" w14:textId="77777777" w:rsidR="009650FE" w:rsidRDefault="009650FE">
            <w:pPr>
              <w:spacing w:before="200" w:after="360"/>
              <w:rPr>
                <w:rFonts w:eastAsia="Times New Roman"/>
                <w:sz w:val="21"/>
                <w:szCs w:val="21"/>
              </w:rPr>
            </w:pPr>
            <w:r>
              <w:rPr>
                <w:rStyle w:val="status-g1"/>
                <w:rFonts w:eastAsia="Times New Roman"/>
                <w:sz w:val="21"/>
                <w:szCs w:val="21"/>
              </w:rPr>
              <w:t>In work</w:t>
            </w:r>
            <w:r>
              <w:rPr>
                <w:rFonts w:eastAsia="Times New Roman"/>
                <w:sz w:val="21"/>
                <w:szCs w:val="21"/>
              </w:rPr>
              <w:t xml:space="preserve"> — main payer registered in the mother’s name, supplemented by the SVB</w:t>
            </w:r>
          </w:p>
        </w:tc>
      </w:tr>
      <w:tr w:rsidR="00000000" w14:paraId="143FE0E1" w14:textId="77777777">
        <w:trPr>
          <w:divId w:val="953290302"/>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7B1EA2FA" w14:textId="77777777" w:rsidR="009650FE" w:rsidRDefault="009650FE">
            <w:pPr>
              <w:spacing w:before="200" w:after="360"/>
              <w:rPr>
                <w:rFonts w:eastAsia="Times New Roman"/>
                <w:sz w:val="21"/>
                <w:szCs w:val="21"/>
              </w:rPr>
            </w:pPr>
            <w:r>
              <w:rPr>
                <w:rStyle w:val="Zwaar"/>
                <w:rFonts w:eastAsia="Times New Roman"/>
                <w:sz w:val="21"/>
                <w:szCs w:val="21"/>
              </w:rPr>
              <w:t>Social allowance</w:t>
            </w:r>
            <w:r>
              <w:rPr>
                <w:rFonts w:eastAsia="Times New Roman"/>
                <w:sz w:val="21"/>
                <w:szCs w:val="21"/>
              </w:rPr>
              <w:t xml:space="preserve"> (as part of the Groeipakket)</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615F4D6D" w14:textId="77777777" w:rsidR="009650FE" w:rsidRDefault="009650FE">
            <w:pPr>
              <w:spacing w:before="200" w:after="360"/>
              <w:rPr>
                <w:rFonts w:eastAsia="Times New Roman"/>
                <w:sz w:val="21"/>
                <w:szCs w:val="21"/>
              </w:rPr>
            </w:pPr>
            <w:r>
              <w:rPr>
                <w:rFonts w:eastAsia="Times New Roman"/>
                <w:sz w:val="21"/>
                <w:szCs w:val="21"/>
              </w:rPr>
              <w:t>Parentia</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202A2B23" w14:textId="77777777" w:rsidR="009650FE" w:rsidRDefault="009650FE">
            <w:pPr>
              <w:spacing w:before="200" w:after="360"/>
              <w:rPr>
                <w:rFonts w:eastAsia="Times New Roman"/>
                <w:sz w:val="21"/>
                <w:szCs w:val="21"/>
              </w:rPr>
            </w:pPr>
            <w:r>
              <w:rPr>
                <w:rFonts w:eastAsia="Times New Roman"/>
                <w:sz w:val="21"/>
                <w:szCs w:val="21"/>
              </w:rPr>
              <w:t>Household income below the threshold + 6 consecutive months</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0CC59DB5" w14:textId="77777777" w:rsidR="009650FE" w:rsidRDefault="009650FE">
            <w:pPr>
              <w:spacing w:before="200" w:after="360"/>
              <w:rPr>
                <w:rFonts w:eastAsia="Times New Roman"/>
                <w:sz w:val="21"/>
                <w:szCs w:val="21"/>
              </w:rPr>
            </w:pPr>
            <w:r>
              <w:rPr>
                <w:rStyle w:val="status-r1"/>
                <w:rFonts w:eastAsia="Times New Roman"/>
                <w:sz w:val="21"/>
                <w:szCs w:val="21"/>
              </w:rPr>
              <w:t>Blocked</w:t>
            </w:r>
            <w:r>
              <w:rPr>
                <w:rFonts w:eastAsia="Times New Roman"/>
                <w:sz w:val="21"/>
                <w:szCs w:val="21"/>
              </w:rPr>
              <w:t xml:space="preserve"> — Parentia assesses on the basis of theoretical earning capacity, not actual income</w:t>
            </w:r>
          </w:p>
        </w:tc>
      </w:tr>
      <w:tr w:rsidR="00000000" w14:paraId="245AC9B8" w14:textId="77777777">
        <w:trPr>
          <w:divId w:val="953290302"/>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71A2CD16" w14:textId="77777777" w:rsidR="009650FE" w:rsidRDefault="009650FE">
            <w:pPr>
              <w:spacing w:before="200" w:after="360"/>
              <w:rPr>
                <w:rFonts w:eastAsia="Times New Roman"/>
                <w:sz w:val="21"/>
                <w:szCs w:val="21"/>
              </w:rPr>
            </w:pPr>
            <w:r>
              <w:rPr>
                <w:rStyle w:val="Zwaar"/>
                <w:rFonts w:eastAsia="Times New Roman"/>
                <w:sz w:val="21"/>
                <w:szCs w:val="21"/>
              </w:rPr>
              <w:t>MAF</w:t>
            </w:r>
            <w:r>
              <w:rPr>
                <w:rFonts w:eastAsia="Times New Roman"/>
                <w:sz w:val="21"/>
                <w:szCs w:val="21"/>
              </w:rPr>
              <w:t xml:space="preserve"> (maximum invoice amount)</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0DA2AB6C" w14:textId="77777777" w:rsidR="009650FE" w:rsidRDefault="009650FE">
            <w:pPr>
              <w:spacing w:before="200" w:after="360"/>
              <w:rPr>
                <w:rFonts w:eastAsia="Times New Roman"/>
                <w:sz w:val="21"/>
                <w:szCs w:val="21"/>
              </w:rPr>
            </w:pPr>
            <w:r>
              <w:rPr>
                <w:rFonts w:eastAsia="Times New Roman"/>
                <w:sz w:val="21"/>
                <w:szCs w:val="21"/>
              </w:rPr>
              <w:t>CM</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34970D66" w14:textId="77777777" w:rsidR="009650FE" w:rsidRDefault="009650FE">
            <w:pPr>
              <w:spacing w:before="200" w:after="360"/>
              <w:rPr>
                <w:rFonts w:eastAsia="Times New Roman"/>
                <w:sz w:val="21"/>
                <w:szCs w:val="21"/>
              </w:rPr>
            </w:pPr>
            <w:r>
              <w:rPr>
                <w:rFonts w:eastAsia="Times New Roman"/>
                <w:sz w:val="21"/>
                <w:szCs w:val="21"/>
              </w:rPr>
              <w:t>Co-payment above the ceiling — increased ceiling upon recognition of a disability</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21E9E09E" w14:textId="77777777" w:rsidR="009650FE" w:rsidRDefault="009650FE">
            <w:pPr>
              <w:spacing w:before="200" w:after="360"/>
              <w:rPr>
                <w:rFonts w:eastAsia="Times New Roman"/>
                <w:sz w:val="21"/>
                <w:szCs w:val="21"/>
              </w:rPr>
            </w:pPr>
            <w:r>
              <w:rPr>
                <w:rStyle w:val="status-o1"/>
                <w:rFonts w:eastAsia="Times New Roman"/>
                <w:sz w:val="21"/>
                <w:szCs w:val="21"/>
              </w:rPr>
              <w:t>Partially</w:t>
            </w:r>
            <w:r>
              <w:rPr>
                <w:rFonts w:eastAsia="Times New Roman"/>
                <w:sz w:val="21"/>
                <w:szCs w:val="21"/>
              </w:rPr>
              <w:t xml:space="preserve"> — standard MAF active, enhanced MAF blocked due to disability refusal</w:t>
            </w:r>
          </w:p>
        </w:tc>
      </w:tr>
      <w:tr w:rsidR="00000000" w14:paraId="026D9B29" w14:textId="77777777">
        <w:trPr>
          <w:divId w:val="953290302"/>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49F953C9" w14:textId="77777777" w:rsidR="009650FE" w:rsidRDefault="009650FE">
            <w:pPr>
              <w:spacing w:before="200" w:after="360"/>
              <w:rPr>
                <w:rFonts w:eastAsia="Times New Roman"/>
                <w:sz w:val="21"/>
                <w:szCs w:val="21"/>
              </w:rPr>
            </w:pPr>
            <w:r>
              <w:rPr>
                <w:rStyle w:val="Zwaar"/>
                <w:rFonts w:eastAsia="Times New Roman"/>
                <w:sz w:val="21"/>
                <w:szCs w:val="21"/>
              </w:rPr>
              <w:t>Tax relief on medical expenses</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7D102BD8" w14:textId="77777777" w:rsidR="009650FE" w:rsidRDefault="009650FE">
            <w:pPr>
              <w:spacing w:before="200" w:after="360"/>
              <w:rPr>
                <w:rFonts w:eastAsia="Times New Roman"/>
                <w:sz w:val="21"/>
                <w:szCs w:val="21"/>
              </w:rPr>
            </w:pPr>
            <w:r>
              <w:rPr>
                <w:rFonts w:eastAsia="Times New Roman"/>
                <w:sz w:val="21"/>
                <w:szCs w:val="21"/>
              </w:rPr>
              <w:t>FPS Finance</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706EF7E6" w14:textId="77777777" w:rsidR="009650FE" w:rsidRDefault="009650FE">
            <w:pPr>
              <w:spacing w:before="200" w:after="360"/>
              <w:rPr>
                <w:rFonts w:eastAsia="Times New Roman"/>
                <w:sz w:val="21"/>
                <w:szCs w:val="21"/>
              </w:rPr>
            </w:pPr>
            <w:r>
              <w:rPr>
                <w:rFonts w:eastAsia="Times New Roman"/>
                <w:sz w:val="21"/>
                <w:szCs w:val="21"/>
              </w:rPr>
              <w:t>Proof of medical expenses via the annual tax return</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6C292B43" w14:textId="77777777" w:rsidR="009650FE" w:rsidRDefault="009650FE">
            <w:pPr>
              <w:spacing w:before="200" w:after="360"/>
              <w:rPr>
                <w:rFonts w:eastAsia="Times New Roman"/>
                <w:sz w:val="21"/>
                <w:szCs w:val="21"/>
              </w:rPr>
            </w:pPr>
            <w:r>
              <w:rPr>
                <w:rStyle w:val="status-o1"/>
                <w:rFonts w:eastAsia="Times New Roman"/>
                <w:sz w:val="21"/>
                <w:szCs w:val="21"/>
              </w:rPr>
              <w:t>Partially</w:t>
            </w:r>
            <w:r>
              <w:rPr>
                <w:rFonts w:eastAsia="Times New Roman"/>
                <w:sz w:val="21"/>
                <w:szCs w:val="21"/>
              </w:rPr>
              <w:t xml:space="preserve"> — tax-deductible, but with limited impact as long as other income remains low</w:t>
            </w:r>
          </w:p>
        </w:tc>
      </w:tr>
      <w:tr w:rsidR="00000000" w14:paraId="253DA475" w14:textId="77777777">
        <w:trPr>
          <w:divId w:val="953290302"/>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41E62413" w14:textId="77777777" w:rsidR="009650FE" w:rsidRDefault="009650FE">
            <w:pPr>
              <w:spacing w:before="200" w:after="360"/>
              <w:rPr>
                <w:rFonts w:eastAsia="Times New Roman"/>
                <w:sz w:val="21"/>
                <w:szCs w:val="21"/>
              </w:rPr>
            </w:pPr>
            <w:r>
              <w:rPr>
                <w:rStyle w:val="Zwaar"/>
                <w:rFonts w:eastAsia="Times New Roman"/>
                <w:sz w:val="21"/>
                <w:szCs w:val="21"/>
              </w:rPr>
              <w:t>Assistance with medical aids</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3502BEE1" w14:textId="77777777" w:rsidR="009650FE" w:rsidRDefault="009650FE">
            <w:pPr>
              <w:spacing w:before="200" w:after="360"/>
              <w:rPr>
                <w:rFonts w:eastAsia="Times New Roman"/>
                <w:sz w:val="21"/>
                <w:szCs w:val="21"/>
              </w:rPr>
            </w:pPr>
            <w:r>
              <w:rPr>
                <w:rFonts w:eastAsia="Times New Roman"/>
                <w:sz w:val="21"/>
                <w:szCs w:val="21"/>
              </w:rPr>
              <w:t>CM (under the NIHDI agreement)</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45617D47" w14:textId="77777777" w:rsidR="009650FE" w:rsidRDefault="009650FE">
            <w:pPr>
              <w:spacing w:before="200" w:after="360"/>
              <w:rPr>
                <w:rFonts w:eastAsia="Times New Roman"/>
                <w:sz w:val="21"/>
                <w:szCs w:val="21"/>
              </w:rPr>
            </w:pPr>
            <w:r>
              <w:rPr>
                <w:rFonts w:eastAsia="Times New Roman"/>
                <w:sz w:val="21"/>
                <w:szCs w:val="21"/>
              </w:rPr>
              <w:t>Medical requirements and approval by the consulting doctor</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480FE7D5" w14:textId="77777777" w:rsidR="009650FE" w:rsidRDefault="009650FE">
            <w:pPr>
              <w:spacing w:before="200" w:after="360"/>
              <w:rPr>
                <w:rFonts w:eastAsia="Times New Roman"/>
                <w:sz w:val="21"/>
                <w:szCs w:val="21"/>
              </w:rPr>
            </w:pPr>
            <w:r>
              <w:rPr>
                <w:rStyle w:val="status-g1"/>
                <w:rFonts w:eastAsia="Times New Roman"/>
                <w:sz w:val="21"/>
                <w:szCs w:val="21"/>
              </w:rPr>
              <w:t>Works</w:t>
            </w:r>
            <w:r>
              <w:rPr>
                <w:rFonts w:eastAsia="Times New Roman"/>
                <w:sz w:val="21"/>
                <w:szCs w:val="21"/>
              </w:rPr>
              <w:t xml:space="preserve"> — orthopaedic shoes approved, diabetes convention in progress</w:t>
            </w:r>
          </w:p>
        </w:tc>
      </w:tr>
      <w:tr w:rsidR="00000000" w14:paraId="3C3A308A" w14:textId="77777777">
        <w:trPr>
          <w:divId w:val="953290302"/>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48DADA52" w14:textId="77777777" w:rsidR="009650FE" w:rsidRDefault="009650FE">
            <w:pPr>
              <w:spacing w:before="200" w:after="360"/>
              <w:rPr>
                <w:rFonts w:eastAsia="Times New Roman"/>
                <w:sz w:val="21"/>
                <w:szCs w:val="21"/>
              </w:rPr>
            </w:pPr>
            <w:r>
              <w:rPr>
                <w:rStyle w:val="Zwaar"/>
                <w:rFonts w:eastAsia="Times New Roman"/>
                <w:sz w:val="21"/>
                <w:szCs w:val="21"/>
              </w:rPr>
              <w:t>Diabetic Foot Clinic, UZ Gent</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0EF65003" w14:textId="77777777" w:rsidR="009650FE" w:rsidRDefault="009650FE">
            <w:pPr>
              <w:spacing w:before="200" w:after="360"/>
              <w:rPr>
                <w:rFonts w:eastAsia="Times New Roman"/>
                <w:sz w:val="21"/>
                <w:szCs w:val="21"/>
              </w:rPr>
            </w:pPr>
            <w:r>
              <w:rPr>
                <w:rFonts w:eastAsia="Times New Roman"/>
                <w:sz w:val="21"/>
                <w:szCs w:val="21"/>
              </w:rPr>
              <w:t>CM (convention)</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1A683CDD" w14:textId="77777777" w:rsidR="009650FE" w:rsidRDefault="009650FE">
            <w:pPr>
              <w:spacing w:before="200" w:after="360"/>
              <w:rPr>
                <w:rFonts w:eastAsia="Times New Roman"/>
                <w:sz w:val="21"/>
                <w:szCs w:val="21"/>
              </w:rPr>
            </w:pPr>
            <w:r>
              <w:rPr>
                <w:rFonts w:eastAsia="Times New Roman"/>
                <w:sz w:val="21"/>
                <w:szCs w:val="21"/>
              </w:rPr>
              <w:t>Agreement with a teaching hospital</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2BF39F7C" w14:textId="77777777" w:rsidR="009650FE" w:rsidRDefault="009650FE">
            <w:pPr>
              <w:spacing w:before="200" w:after="360"/>
              <w:rPr>
                <w:rFonts w:eastAsia="Times New Roman"/>
                <w:sz w:val="21"/>
                <w:szCs w:val="21"/>
              </w:rPr>
            </w:pPr>
            <w:r>
              <w:rPr>
                <w:rStyle w:val="status-g1"/>
                <w:rFonts w:eastAsia="Times New Roman"/>
                <w:sz w:val="21"/>
                <w:szCs w:val="21"/>
              </w:rPr>
              <w:t>Valid</w:t>
            </w:r>
            <w:r>
              <w:rPr>
                <w:rFonts w:eastAsia="Times New Roman"/>
                <w:sz w:val="21"/>
                <w:szCs w:val="21"/>
              </w:rPr>
              <w:t xml:space="preserve"> — approved from 19 June 2026 to 27 May 2027</w:t>
            </w:r>
          </w:p>
        </w:tc>
      </w:tr>
      <w:tr w:rsidR="00000000" w14:paraId="4FFDE395" w14:textId="77777777">
        <w:trPr>
          <w:divId w:val="953290302"/>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1F64E578" w14:textId="77777777" w:rsidR="009650FE" w:rsidRDefault="009650FE">
            <w:pPr>
              <w:spacing w:before="200" w:after="360"/>
              <w:rPr>
                <w:rFonts w:eastAsia="Times New Roman"/>
                <w:sz w:val="21"/>
                <w:szCs w:val="21"/>
              </w:rPr>
            </w:pPr>
            <w:r>
              <w:rPr>
                <w:rStyle w:val="Zwaar"/>
                <w:rFonts w:eastAsia="Times New Roman"/>
                <w:sz w:val="21"/>
                <w:szCs w:val="21"/>
              </w:rPr>
              <w:t>European parking permit</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7CC3DD12" w14:textId="77777777" w:rsidR="009650FE" w:rsidRDefault="009650FE">
            <w:pPr>
              <w:spacing w:before="200" w:after="360"/>
              <w:rPr>
                <w:rFonts w:eastAsia="Times New Roman"/>
                <w:sz w:val="21"/>
                <w:szCs w:val="21"/>
              </w:rPr>
            </w:pPr>
            <w:r>
              <w:rPr>
                <w:rFonts w:eastAsia="Times New Roman"/>
                <w:sz w:val="21"/>
                <w:szCs w:val="21"/>
              </w:rPr>
              <w:t>FPS Social Security</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0104E963" w14:textId="77777777" w:rsidR="009650FE" w:rsidRDefault="009650FE">
            <w:pPr>
              <w:spacing w:before="200" w:after="360"/>
              <w:rPr>
                <w:rFonts w:eastAsia="Times New Roman"/>
                <w:sz w:val="21"/>
                <w:szCs w:val="21"/>
              </w:rPr>
            </w:pPr>
            <w:r>
              <w:rPr>
                <w:rFonts w:eastAsia="Times New Roman"/>
                <w:sz w:val="21"/>
                <w:szCs w:val="21"/>
              </w:rPr>
              <w:t>Recognition of disability</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347A3988" w14:textId="77777777" w:rsidR="009650FE" w:rsidRDefault="009650FE">
            <w:pPr>
              <w:spacing w:before="200" w:after="360"/>
              <w:rPr>
                <w:rFonts w:eastAsia="Times New Roman"/>
                <w:sz w:val="21"/>
                <w:szCs w:val="21"/>
              </w:rPr>
            </w:pPr>
            <w:r>
              <w:rPr>
                <w:rStyle w:val="status-g1"/>
                <w:rFonts w:eastAsia="Times New Roman"/>
                <w:sz w:val="21"/>
                <w:szCs w:val="21"/>
              </w:rPr>
              <w:t>Granted</w:t>
            </w:r>
            <w:r>
              <w:rPr>
                <w:rFonts w:eastAsia="Times New Roman"/>
                <w:sz w:val="21"/>
                <w:szCs w:val="21"/>
              </w:rPr>
              <w:t xml:space="preserve"> — 3 August 2026, indefinite duration</w:t>
            </w:r>
          </w:p>
        </w:tc>
      </w:tr>
      <w:tr w:rsidR="00000000" w14:paraId="2148C363" w14:textId="77777777">
        <w:trPr>
          <w:divId w:val="953290302"/>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5A10B3EA" w14:textId="77777777" w:rsidR="009650FE" w:rsidRDefault="009650FE">
            <w:pPr>
              <w:spacing w:before="200" w:after="360"/>
              <w:rPr>
                <w:rFonts w:eastAsia="Times New Roman"/>
                <w:sz w:val="21"/>
                <w:szCs w:val="21"/>
              </w:rPr>
            </w:pPr>
            <w:r>
              <w:rPr>
                <w:rStyle w:val="Zwaar"/>
                <w:rFonts w:eastAsia="Times New Roman"/>
                <w:sz w:val="21"/>
                <w:szCs w:val="21"/>
              </w:rPr>
              <w:t>Public transport discount card</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4DD30601" w14:textId="77777777" w:rsidR="009650FE" w:rsidRDefault="009650FE">
            <w:pPr>
              <w:spacing w:before="200" w:after="360"/>
              <w:rPr>
                <w:rFonts w:eastAsia="Times New Roman"/>
                <w:sz w:val="21"/>
                <w:szCs w:val="21"/>
              </w:rPr>
            </w:pPr>
            <w:r>
              <w:rPr>
                <w:rFonts w:eastAsia="Times New Roman"/>
                <w:sz w:val="21"/>
                <w:szCs w:val="21"/>
              </w:rPr>
              <w:t>FPS Social Security</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339A20B7" w14:textId="77777777" w:rsidR="009650FE" w:rsidRDefault="009650FE">
            <w:pPr>
              <w:spacing w:before="200" w:after="360"/>
              <w:rPr>
                <w:rFonts w:eastAsia="Times New Roman"/>
                <w:sz w:val="21"/>
                <w:szCs w:val="21"/>
              </w:rPr>
            </w:pPr>
            <w:r>
              <w:rPr>
                <w:rFonts w:eastAsia="Times New Roman"/>
                <w:sz w:val="21"/>
                <w:szCs w:val="21"/>
              </w:rPr>
              <w:t>Recognition of a disability + specific mobility barrier</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3AE5E9D7" w14:textId="77777777" w:rsidR="009650FE" w:rsidRDefault="009650FE">
            <w:pPr>
              <w:spacing w:before="200" w:after="360"/>
              <w:rPr>
                <w:rFonts w:eastAsia="Times New Roman"/>
                <w:sz w:val="21"/>
                <w:szCs w:val="21"/>
              </w:rPr>
            </w:pPr>
            <w:r>
              <w:rPr>
                <w:rStyle w:val="status-r1"/>
                <w:rFonts w:eastAsia="Times New Roman"/>
                <w:sz w:val="21"/>
                <w:szCs w:val="21"/>
              </w:rPr>
              <w:t>Rejected</w:t>
            </w:r>
            <w:r>
              <w:rPr>
                <w:rFonts w:eastAsia="Times New Roman"/>
                <w:sz w:val="21"/>
                <w:szCs w:val="21"/>
              </w:rPr>
              <w:t xml:space="preserve"> </w:t>
            </w:r>
            <w:r>
              <w:rPr>
                <w:rFonts w:eastAsia="Times New Roman"/>
                <w:sz w:val="21"/>
                <w:szCs w:val="21"/>
              </w:rPr>
              <w:t>— 21 August 2026, medical criteria not met</w:t>
            </w:r>
          </w:p>
        </w:tc>
      </w:tr>
      <w:tr w:rsidR="00000000" w14:paraId="3F18D767" w14:textId="77777777">
        <w:trPr>
          <w:divId w:val="953290302"/>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7F7C5E1D" w14:textId="77777777" w:rsidR="009650FE" w:rsidRDefault="009650FE">
            <w:pPr>
              <w:spacing w:before="200" w:after="360"/>
              <w:rPr>
                <w:rFonts w:eastAsia="Times New Roman"/>
                <w:sz w:val="21"/>
                <w:szCs w:val="21"/>
              </w:rPr>
            </w:pPr>
            <w:r>
              <w:rPr>
                <w:rStyle w:val="Zwaar"/>
                <w:rFonts w:eastAsia="Times New Roman"/>
                <w:sz w:val="21"/>
                <w:szCs w:val="21"/>
              </w:rPr>
              <w:t>Certificate of Fitness to Drive</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613384BB" w14:textId="77777777" w:rsidR="009650FE" w:rsidRDefault="009650FE">
            <w:pPr>
              <w:spacing w:before="200" w:after="360"/>
              <w:rPr>
                <w:rFonts w:eastAsia="Times New Roman"/>
                <w:sz w:val="21"/>
                <w:szCs w:val="21"/>
              </w:rPr>
            </w:pPr>
            <w:r>
              <w:rPr>
                <w:rFonts w:eastAsia="Times New Roman"/>
                <w:sz w:val="21"/>
                <w:szCs w:val="21"/>
              </w:rPr>
              <w:t>FPS Mobility / ophthalmologist</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1077E010" w14:textId="77777777" w:rsidR="009650FE" w:rsidRDefault="009650FE">
            <w:pPr>
              <w:spacing w:before="200" w:after="360"/>
              <w:rPr>
                <w:rFonts w:eastAsia="Times New Roman"/>
                <w:sz w:val="21"/>
                <w:szCs w:val="21"/>
              </w:rPr>
            </w:pPr>
            <w:r>
              <w:rPr>
                <w:rFonts w:eastAsia="Times New Roman"/>
                <w:sz w:val="21"/>
                <w:szCs w:val="21"/>
              </w:rPr>
              <w:t>Visual acuity above the statutory threshold</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61DB8F64" w14:textId="77777777" w:rsidR="009650FE" w:rsidRDefault="009650FE">
            <w:pPr>
              <w:spacing w:before="200" w:after="360"/>
              <w:rPr>
                <w:rFonts w:eastAsia="Times New Roman"/>
                <w:sz w:val="21"/>
                <w:szCs w:val="21"/>
              </w:rPr>
            </w:pPr>
            <w:r>
              <w:rPr>
                <w:rStyle w:val="status-r1"/>
                <w:rFonts w:eastAsia="Times New Roman"/>
                <w:sz w:val="21"/>
                <w:szCs w:val="21"/>
              </w:rPr>
              <w:t>Rejected</w:t>
            </w:r>
            <w:r>
              <w:rPr>
                <w:rFonts w:eastAsia="Times New Roman"/>
                <w:sz w:val="21"/>
                <w:szCs w:val="21"/>
              </w:rPr>
              <w:t xml:space="preserve"> — visual acuity below the threshold, permanent</w:t>
            </w:r>
          </w:p>
        </w:tc>
      </w:tr>
    </w:tbl>
    <w:p w14:paraId="370C6FB9" w14:textId="77777777" w:rsidR="009650FE" w:rsidRDefault="009650FE">
      <w:pPr>
        <w:pStyle w:val="Kop4"/>
        <w:divId w:val="953290302"/>
        <w:rPr>
          <w:rFonts w:eastAsia="Times New Roman"/>
          <w:lang w:val="en-GB"/>
        </w:rPr>
      </w:pPr>
      <w:r>
        <w:rPr>
          <w:rFonts w:eastAsia="Times New Roman"/>
          <w:lang w:val="en-GB"/>
        </w:rPr>
        <w:t>Dutch jars</w:t>
      </w:r>
    </w:p>
    <w:tbl>
      <w:tblPr>
        <w:tblW w:w="5000" w:type="pct"/>
        <w:tblCellMar>
          <w:top w:w="15" w:type="dxa"/>
          <w:left w:w="15" w:type="dxa"/>
          <w:bottom w:w="15" w:type="dxa"/>
          <w:right w:w="15" w:type="dxa"/>
        </w:tblCellMar>
        <w:tblLook w:val="04A0" w:firstRow="1" w:lastRow="0" w:firstColumn="1" w:lastColumn="0" w:noHBand="0" w:noVBand="1"/>
      </w:tblPr>
      <w:tblGrid>
        <w:gridCol w:w="2536"/>
        <w:gridCol w:w="1992"/>
        <w:gridCol w:w="1992"/>
        <w:gridCol w:w="2536"/>
      </w:tblGrid>
      <w:tr w:rsidR="00000000" w14:paraId="75FC0E92" w14:textId="77777777">
        <w:trPr>
          <w:divId w:val="953290302"/>
          <w:tblHeader/>
        </w:trPr>
        <w:tc>
          <w:tcPr>
            <w:tcW w:w="1400" w:type="pct"/>
            <w:tcBorders>
              <w:top w:val="single" w:sz="6" w:space="0" w:color="4A3B6B"/>
              <w:left w:val="single" w:sz="6" w:space="0" w:color="4A3B6B"/>
              <w:bottom w:val="single" w:sz="6" w:space="0" w:color="4A3B6B"/>
              <w:right w:val="single" w:sz="6" w:space="0" w:color="4A3B6B"/>
            </w:tcBorders>
            <w:shd w:val="clear" w:color="auto" w:fill="4A3B6B"/>
            <w:tcMar>
              <w:top w:w="140" w:type="dxa"/>
              <w:left w:w="180" w:type="dxa"/>
              <w:bottom w:w="140" w:type="dxa"/>
              <w:right w:w="180" w:type="dxa"/>
            </w:tcMar>
            <w:vAlign w:val="center"/>
            <w:hideMark/>
          </w:tcPr>
          <w:p w14:paraId="7326D5DC" w14:textId="77777777" w:rsidR="009650FE" w:rsidRDefault="009650FE">
            <w:pPr>
              <w:spacing w:before="200" w:after="360"/>
              <w:rPr>
                <w:rFonts w:eastAsia="Times New Roman"/>
                <w:b/>
                <w:bCs/>
                <w:color w:val="FFFFFF"/>
                <w:sz w:val="21"/>
                <w:szCs w:val="21"/>
              </w:rPr>
            </w:pPr>
            <w:r>
              <w:rPr>
                <w:rFonts w:eastAsia="Times New Roman"/>
                <w:b/>
                <w:bCs/>
                <w:color w:val="FFFFFF"/>
                <w:sz w:val="21"/>
                <w:szCs w:val="21"/>
              </w:rPr>
              <w:t>Jar</w:t>
            </w:r>
          </w:p>
        </w:tc>
        <w:tc>
          <w:tcPr>
            <w:tcW w:w="1100" w:type="pct"/>
            <w:tcBorders>
              <w:top w:val="single" w:sz="6" w:space="0" w:color="4A3B6B"/>
              <w:left w:val="single" w:sz="6" w:space="0" w:color="4A3B6B"/>
              <w:bottom w:val="single" w:sz="6" w:space="0" w:color="4A3B6B"/>
              <w:right w:val="single" w:sz="6" w:space="0" w:color="4A3B6B"/>
            </w:tcBorders>
            <w:shd w:val="clear" w:color="auto" w:fill="4A3B6B"/>
            <w:tcMar>
              <w:top w:w="140" w:type="dxa"/>
              <w:left w:w="180" w:type="dxa"/>
              <w:bottom w:w="140" w:type="dxa"/>
              <w:right w:w="180" w:type="dxa"/>
            </w:tcMar>
            <w:vAlign w:val="center"/>
            <w:hideMark/>
          </w:tcPr>
          <w:p w14:paraId="33E747F7" w14:textId="77777777" w:rsidR="009650FE" w:rsidRDefault="009650FE">
            <w:pPr>
              <w:spacing w:before="200" w:after="360"/>
              <w:rPr>
                <w:rFonts w:eastAsia="Times New Roman"/>
                <w:b/>
                <w:bCs/>
                <w:color w:val="FFFFFF"/>
                <w:sz w:val="21"/>
                <w:szCs w:val="21"/>
              </w:rPr>
            </w:pPr>
            <w:r>
              <w:rPr>
                <w:rFonts w:eastAsia="Times New Roman"/>
                <w:b/>
                <w:bCs/>
                <w:color w:val="FFFFFF"/>
                <w:sz w:val="21"/>
                <w:szCs w:val="21"/>
              </w:rPr>
              <w:t>Administrator</w:t>
            </w:r>
          </w:p>
        </w:tc>
        <w:tc>
          <w:tcPr>
            <w:tcW w:w="1100" w:type="pct"/>
            <w:tcBorders>
              <w:top w:val="single" w:sz="6" w:space="0" w:color="4A3B6B"/>
              <w:left w:val="single" w:sz="6" w:space="0" w:color="4A3B6B"/>
              <w:bottom w:val="single" w:sz="6" w:space="0" w:color="4A3B6B"/>
              <w:right w:val="single" w:sz="6" w:space="0" w:color="4A3B6B"/>
            </w:tcBorders>
            <w:shd w:val="clear" w:color="auto" w:fill="4A3B6B"/>
            <w:tcMar>
              <w:top w:w="140" w:type="dxa"/>
              <w:left w:w="180" w:type="dxa"/>
              <w:bottom w:w="140" w:type="dxa"/>
              <w:right w:w="180" w:type="dxa"/>
            </w:tcMar>
            <w:vAlign w:val="center"/>
            <w:hideMark/>
          </w:tcPr>
          <w:p w14:paraId="4AC0B010" w14:textId="77777777" w:rsidR="009650FE" w:rsidRDefault="009650FE">
            <w:pPr>
              <w:spacing w:before="200" w:after="360"/>
              <w:rPr>
                <w:rFonts w:eastAsia="Times New Roman"/>
                <w:b/>
                <w:bCs/>
                <w:color w:val="FFFFFF"/>
                <w:sz w:val="21"/>
                <w:szCs w:val="21"/>
              </w:rPr>
            </w:pPr>
            <w:r>
              <w:rPr>
                <w:rFonts w:eastAsia="Times New Roman"/>
                <w:b/>
                <w:bCs/>
                <w:color w:val="FFFFFF"/>
                <w:sz w:val="21"/>
                <w:szCs w:val="21"/>
              </w:rPr>
              <w:t>Condition</w:t>
            </w:r>
          </w:p>
        </w:tc>
        <w:tc>
          <w:tcPr>
            <w:tcW w:w="1400" w:type="pct"/>
            <w:tcBorders>
              <w:top w:val="single" w:sz="6" w:space="0" w:color="4A3B6B"/>
              <w:left w:val="single" w:sz="6" w:space="0" w:color="4A3B6B"/>
              <w:bottom w:val="single" w:sz="6" w:space="0" w:color="4A3B6B"/>
              <w:right w:val="single" w:sz="6" w:space="0" w:color="4A3B6B"/>
            </w:tcBorders>
            <w:shd w:val="clear" w:color="auto" w:fill="4A3B6B"/>
            <w:tcMar>
              <w:top w:w="140" w:type="dxa"/>
              <w:left w:w="180" w:type="dxa"/>
              <w:bottom w:w="140" w:type="dxa"/>
              <w:right w:w="180" w:type="dxa"/>
            </w:tcMar>
            <w:vAlign w:val="center"/>
            <w:hideMark/>
          </w:tcPr>
          <w:p w14:paraId="5D2F2DC7" w14:textId="77777777" w:rsidR="009650FE" w:rsidRDefault="009650FE">
            <w:pPr>
              <w:spacing w:before="200" w:after="360"/>
              <w:rPr>
                <w:rFonts w:eastAsia="Times New Roman"/>
                <w:b/>
                <w:bCs/>
                <w:color w:val="FFFFFF"/>
                <w:sz w:val="21"/>
                <w:szCs w:val="21"/>
              </w:rPr>
            </w:pPr>
            <w:r>
              <w:rPr>
                <w:rFonts w:eastAsia="Times New Roman"/>
                <w:b/>
                <w:bCs/>
                <w:color w:val="FFFFFF"/>
                <w:sz w:val="21"/>
                <w:szCs w:val="21"/>
              </w:rPr>
              <w:t>Status</w:t>
            </w:r>
          </w:p>
        </w:tc>
      </w:tr>
      <w:tr w:rsidR="00000000" w14:paraId="6CE29BC4" w14:textId="77777777">
        <w:trPr>
          <w:divId w:val="953290302"/>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61C7EABA" w14:textId="77777777" w:rsidR="009650FE" w:rsidRDefault="009650FE">
            <w:pPr>
              <w:spacing w:before="200" w:after="360"/>
              <w:rPr>
                <w:rFonts w:eastAsia="Times New Roman"/>
                <w:sz w:val="21"/>
                <w:szCs w:val="21"/>
              </w:rPr>
            </w:pPr>
            <w:r>
              <w:rPr>
                <w:rStyle w:val="Zwaar"/>
                <w:rFonts w:eastAsia="Times New Roman"/>
                <w:sz w:val="21"/>
                <w:szCs w:val="21"/>
              </w:rPr>
              <w:t>WIA benefit</w:t>
            </w:r>
            <w:r>
              <w:rPr>
                <w:rFonts w:eastAsia="Times New Roman"/>
                <w:sz w:val="21"/>
                <w:szCs w:val="21"/>
              </w:rPr>
              <w:t xml:space="preserve"> (incapacity for work)</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4D84CCCB" w14:textId="77777777" w:rsidR="009650FE" w:rsidRDefault="009650FE">
            <w:pPr>
              <w:spacing w:before="200" w:after="360"/>
              <w:rPr>
                <w:rFonts w:eastAsia="Times New Roman"/>
                <w:sz w:val="21"/>
                <w:szCs w:val="21"/>
              </w:rPr>
            </w:pPr>
            <w:r>
              <w:rPr>
                <w:rFonts w:eastAsia="Times New Roman"/>
                <w:sz w:val="21"/>
                <w:szCs w:val="21"/>
              </w:rPr>
              <w:t>UWV</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7AB15ECF" w14:textId="77777777" w:rsidR="009650FE" w:rsidRDefault="009650FE">
            <w:pPr>
              <w:spacing w:before="200" w:after="360"/>
              <w:rPr>
                <w:rFonts w:eastAsia="Times New Roman"/>
                <w:sz w:val="21"/>
                <w:szCs w:val="21"/>
              </w:rPr>
            </w:pPr>
            <w:r>
              <w:rPr>
                <w:rFonts w:eastAsia="Times New Roman"/>
                <w:sz w:val="21"/>
                <w:szCs w:val="21"/>
              </w:rPr>
              <w:t>104-week qualifying period + insurance cover on the reference date</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018F2DF4" w14:textId="77777777" w:rsidR="009650FE" w:rsidRDefault="009650FE">
            <w:pPr>
              <w:spacing w:before="200" w:after="360"/>
              <w:rPr>
                <w:rFonts w:eastAsia="Times New Roman"/>
                <w:sz w:val="21"/>
                <w:szCs w:val="21"/>
              </w:rPr>
            </w:pPr>
            <w:r>
              <w:rPr>
                <w:rStyle w:val="status-r1"/>
                <w:rFonts w:eastAsia="Times New Roman"/>
                <w:sz w:val="21"/>
                <w:szCs w:val="21"/>
              </w:rPr>
              <w:t>Blocked</w:t>
            </w:r>
            <w:r>
              <w:rPr>
                <w:rFonts w:eastAsia="Times New Roman"/>
                <w:sz w:val="21"/>
                <w:szCs w:val="21"/>
              </w:rPr>
              <w:t xml:space="preserve"> — incorrect reference date, Vester judgement not applied</w:t>
            </w:r>
          </w:p>
        </w:tc>
      </w:tr>
      <w:tr w:rsidR="00000000" w14:paraId="63A4FCB0" w14:textId="77777777">
        <w:trPr>
          <w:divId w:val="953290302"/>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4C7E9BE6" w14:textId="77777777" w:rsidR="009650FE" w:rsidRDefault="009650FE">
            <w:pPr>
              <w:spacing w:before="200" w:after="360"/>
              <w:rPr>
                <w:rFonts w:eastAsia="Times New Roman"/>
                <w:sz w:val="21"/>
                <w:szCs w:val="21"/>
              </w:rPr>
            </w:pPr>
            <w:r>
              <w:rPr>
                <w:rStyle w:val="Zwaar"/>
                <w:rFonts w:eastAsia="Times New Roman"/>
                <w:sz w:val="21"/>
                <w:szCs w:val="21"/>
              </w:rPr>
              <w:t>Social assistance benefit</w:t>
            </w:r>
            <w:r>
              <w:rPr>
                <w:rFonts w:eastAsia="Times New Roman"/>
                <w:sz w:val="21"/>
                <w:szCs w:val="21"/>
              </w:rPr>
              <w:t xml:space="preserve"> (Participation Act)</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302FA8F0" w14:textId="77777777" w:rsidR="009650FE" w:rsidRDefault="009650FE">
            <w:pPr>
              <w:spacing w:before="200" w:after="360"/>
              <w:rPr>
                <w:rFonts w:eastAsia="Times New Roman"/>
                <w:sz w:val="21"/>
                <w:szCs w:val="21"/>
              </w:rPr>
            </w:pPr>
            <w:r>
              <w:rPr>
                <w:rFonts w:eastAsia="Times New Roman"/>
                <w:sz w:val="21"/>
                <w:szCs w:val="21"/>
              </w:rPr>
              <w:t>Municipality of Hulst</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2F70C59F" w14:textId="77777777" w:rsidR="009650FE" w:rsidRDefault="009650FE">
            <w:pPr>
              <w:spacing w:before="200" w:after="360"/>
              <w:rPr>
                <w:rFonts w:eastAsia="Times New Roman"/>
                <w:sz w:val="21"/>
                <w:szCs w:val="21"/>
              </w:rPr>
            </w:pPr>
            <w:r>
              <w:rPr>
                <w:rFonts w:eastAsia="Times New Roman"/>
                <w:sz w:val="21"/>
                <w:szCs w:val="21"/>
              </w:rPr>
              <w:t>Insufficient income + assets below the threshold</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145A34B7" w14:textId="77777777" w:rsidR="009650FE" w:rsidRDefault="009650FE">
            <w:pPr>
              <w:spacing w:before="200" w:after="360"/>
              <w:rPr>
                <w:rFonts w:eastAsia="Times New Roman"/>
                <w:sz w:val="21"/>
                <w:szCs w:val="21"/>
              </w:rPr>
            </w:pPr>
            <w:r>
              <w:rPr>
                <w:rStyle w:val="status-r1"/>
                <w:rFonts w:eastAsia="Times New Roman"/>
                <w:sz w:val="21"/>
                <w:szCs w:val="21"/>
              </w:rPr>
              <w:t>Blocked</w:t>
            </w:r>
            <w:r>
              <w:rPr>
                <w:rFonts w:eastAsia="Times New Roman"/>
                <w:sz w:val="21"/>
                <w:szCs w:val="21"/>
              </w:rPr>
              <w:t xml:space="preserve"> — request for help deleted after 73 days without being read</w:t>
            </w:r>
          </w:p>
        </w:tc>
      </w:tr>
      <w:tr w:rsidR="00000000" w14:paraId="42CF30E5" w14:textId="77777777">
        <w:trPr>
          <w:divId w:val="953290302"/>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4B7ECC38" w14:textId="77777777" w:rsidR="009650FE" w:rsidRDefault="009650FE">
            <w:pPr>
              <w:spacing w:before="200" w:after="360"/>
              <w:rPr>
                <w:rFonts w:eastAsia="Times New Roman"/>
                <w:sz w:val="21"/>
                <w:szCs w:val="21"/>
              </w:rPr>
            </w:pPr>
            <w:r>
              <w:rPr>
                <w:rStyle w:val="Zwaar"/>
                <w:rFonts w:eastAsia="Times New Roman"/>
                <w:sz w:val="21"/>
                <w:szCs w:val="21"/>
              </w:rPr>
              <w:t>Special assistance</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5A6D69D7" w14:textId="77777777" w:rsidR="009650FE" w:rsidRDefault="009650FE">
            <w:pPr>
              <w:spacing w:before="200" w:after="360"/>
              <w:rPr>
                <w:rFonts w:eastAsia="Times New Roman"/>
                <w:sz w:val="21"/>
                <w:szCs w:val="21"/>
              </w:rPr>
            </w:pPr>
            <w:r>
              <w:rPr>
                <w:rFonts w:eastAsia="Times New Roman"/>
                <w:sz w:val="21"/>
                <w:szCs w:val="21"/>
              </w:rPr>
              <w:t>Municipality of Hulst</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328253B8" w14:textId="77777777" w:rsidR="009650FE" w:rsidRDefault="009650FE">
            <w:pPr>
              <w:spacing w:before="200" w:after="360"/>
              <w:rPr>
                <w:rFonts w:eastAsia="Times New Roman"/>
                <w:sz w:val="21"/>
                <w:szCs w:val="21"/>
              </w:rPr>
            </w:pPr>
            <w:r>
              <w:rPr>
                <w:rFonts w:eastAsia="Times New Roman"/>
                <w:sz w:val="21"/>
                <w:szCs w:val="21"/>
              </w:rPr>
              <w:t>Special expenses + income below the threshold</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4CD281ED" w14:textId="77777777" w:rsidR="009650FE" w:rsidRDefault="009650FE">
            <w:pPr>
              <w:spacing w:before="200" w:after="360"/>
              <w:rPr>
                <w:rFonts w:eastAsia="Times New Roman"/>
                <w:sz w:val="21"/>
                <w:szCs w:val="21"/>
              </w:rPr>
            </w:pPr>
            <w:r>
              <w:rPr>
                <w:rStyle w:val="status-r1"/>
                <w:rFonts w:eastAsia="Times New Roman"/>
                <w:sz w:val="21"/>
                <w:szCs w:val="21"/>
              </w:rPr>
              <w:t>Blocked</w:t>
            </w:r>
            <w:r>
              <w:rPr>
                <w:rFonts w:eastAsia="Times New Roman"/>
                <w:sz w:val="21"/>
                <w:szCs w:val="21"/>
              </w:rPr>
              <w:t xml:space="preserve"> — no substantive assessment</w:t>
            </w:r>
          </w:p>
        </w:tc>
      </w:tr>
      <w:tr w:rsidR="00000000" w14:paraId="0016BFBC" w14:textId="77777777">
        <w:trPr>
          <w:divId w:val="953290302"/>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2193AC31" w14:textId="77777777" w:rsidR="009650FE" w:rsidRDefault="009650FE">
            <w:pPr>
              <w:spacing w:before="200" w:after="360"/>
              <w:rPr>
                <w:rFonts w:eastAsia="Times New Roman"/>
                <w:sz w:val="21"/>
                <w:szCs w:val="21"/>
              </w:rPr>
            </w:pPr>
            <w:r>
              <w:rPr>
                <w:rStyle w:val="Zwaar"/>
                <w:rFonts w:eastAsia="Times New Roman"/>
                <w:sz w:val="21"/>
                <w:szCs w:val="21"/>
              </w:rPr>
              <w:t>Healthcare allowance</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394195F7" w14:textId="77777777" w:rsidR="009650FE" w:rsidRDefault="009650FE">
            <w:pPr>
              <w:spacing w:before="200" w:after="360"/>
              <w:rPr>
                <w:rFonts w:eastAsia="Times New Roman"/>
                <w:sz w:val="21"/>
                <w:szCs w:val="21"/>
              </w:rPr>
            </w:pPr>
            <w:r>
              <w:rPr>
                <w:rFonts w:eastAsia="Times New Roman"/>
                <w:sz w:val="21"/>
                <w:szCs w:val="21"/>
              </w:rPr>
              <w:t>Benefits Department</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2422E71E" w14:textId="77777777" w:rsidR="009650FE" w:rsidRDefault="009650FE">
            <w:pPr>
              <w:spacing w:before="200" w:after="360"/>
              <w:rPr>
                <w:rFonts w:eastAsia="Times New Roman"/>
                <w:sz w:val="21"/>
                <w:szCs w:val="21"/>
              </w:rPr>
            </w:pPr>
            <w:r>
              <w:rPr>
                <w:rFonts w:eastAsia="Times New Roman"/>
                <w:sz w:val="21"/>
                <w:szCs w:val="21"/>
              </w:rPr>
              <w:t>Insured in the Netherlands + income below the threshold</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6A094130" w14:textId="77777777" w:rsidR="009650FE" w:rsidRDefault="009650FE">
            <w:pPr>
              <w:spacing w:before="200" w:after="360"/>
              <w:rPr>
                <w:rFonts w:eastAsia="Times New Roman"/>
                <w:sz w:val="21"/>
                <w:szCs w:val="21"/>
              </w:rPr>
            </w:pPr>
            <w:r>
              <w:rPr>
                <w:rStyle w:val="status-r1"/>
                <w:rFonts w:eastAsia="Times New Roman"/>
                <w:sz w:val="21"/>
                <w:szCs w:val="21"/>
              </w:rPr>
              <w:t>Blocked</w:t>
            </w:r>
            <w:r>
              <w:rPr>
                <w:rFonts w:eastAsia="Times New Roman"/>
                <w:sz w:val="21"/>
                <w:szCs w:val="21"/>
              </w:rPr>
              <w:t xml:space="preserve"> — The RIV register does not contain any treaty policies</w:t>
            </w:r>
          </w:p>
        </w:tc>
      </w:tr>
      <w:tr w:rsidR="00000000" w14:paraId="03D3DB10" w14:textId="77777777">
        <w:trPr>
          <w:divId w:val="953290302"/>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03C634FD" w14:textId="77777777" w:rsidR="009650FE" w:rsidRDefault="009650FE">
            <w:pPr>
              <w:spacing w:before="200" w:after="360"/>
              <w:rPr>
                <w:rFonts w:eastAsia="Times New Roman"/>
                <w:sz w:val="21"/>
                <w:szCs w:val="21"/>
              </w:rPr>
            </w:pPr>
            <w:r>
              <w:rPr>
                <w:rStyle w:val="Zwaar"/>
                <w:rFonts w:eastAsia="Times New Roman"/>
                <w:sz w:val="21"/>
                <w:szCs w:val="21"/>
              </w:rPr>
              <w:t>Housing benefit</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65EB8F66" w14:textId="77777777" w:rsidR="009650FE" w:rsidRDefault="009650FE">
            <w:pPr>
              <w:spacing w:before="200" w:after="360"/>
              <w:rPr>
                <w:rFonts w:eastAsia="Times New Roman"/>
                <w:sz w:val="21"/>
                <w:szCs w:val="21"/>
              </w:rPr>
            </w:pPr>
            <w:r>
              <w:rPr>
                <w:rFonts w:eastAsia="Times New Roman"/>
                <w:sz w:val="21"/>
                <w:szCs w:val="21"/>
              </w:rPr>
              <w:t>Benefits Department</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18E91A1C" w14:textId="77777777" w:rsidR="009650FE" w:rsidRDefault="009650FE">
            <w:pPr>
              <w:spacing w:before="200" w:after="360"/>
              <w:rPr>
                <w:rFonts w:eastAsia="Times New Roman"/>
                <w:sz w:val="21"/>
                <w:szCs w:val="21"/>
              </w:rPr>
            </w:pPr>
            <w:r>
              <w:rPr>
                <w:rFonts w:eastAsia="Times New Roman"/>
                <w:sz w:val="21"/>
                <w:szCs w:val="21"/>
              </w:rPr>
              <w:t>Rent above the threshold + income below the threshold</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419B7492" w14:textId="77777777" w:rsidR="009650FE" w:rsidRDefault="009650FE">
            <w:pPr>
              <w:spacing w:before="200" w:after="360"/>
              <w:rPr>
                <w:rFonts w:eastAsia="Times New Roman"/>
                <w:sz w:val="21"/>
                <w:szCs w:val="21"/>
              </w:rPr>
            </w:pPr>
            <w:r>
              <w:rPr>
                <w:rStyle w:val="status-o1"/>
                <w:rFonts w:eastAsia="Times New Roman"/>
                <w:sz w:val="21"/>
                <w:szCs w:val="21"/>
              </w:rPr>
              <w:t>Partially</w:t>
            </w:r>
            <w:r>
              <w:rPr>
                <w:rFonts w:eastAsia="Times New Roman"/>
                <w:sz w:val="21"/>
                <w:szCs w:val="21"/>
              </w:rPr>
              <w:t xml:space="preserve"> — granted, amount revised on the basis of incomplete income details</w:t>
            </w:r>
          </w:p>
        </w:tc>
      </w:tr>
      <w:tr w:rsidR="00000000" w14:paraId="0E4CE6BB" w14:textId="77777777">
        <w:trPr>
          <w:divId w:val="953290302"/>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71879601" w14:textId="77777777" w:rsidR="009650FE" w:rsidRDefault="009650FE">
            <w:pPr>
              <w:spacing w:before="200" w:after="360"/>
              <w:rPr>
                <w:rFonts w:eastAsia="Times New Roman"/>
                <w:sz w:val="21"/>
                <w:szCs w:val="21"/>
              </w:rPr>
            </w:pPr>
            <w:r>
              <w:rPr>
                <w:rStyle w:val="Zwaar"/>
                <w:rFonts w:eastAsia="Times New Roman"/>
                <w:sz w:val="21"/>
                <w:szCs w:val="21"/>
              </w:rPr>
              <w:t>Child-based budget</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7992901B" w14:textId="77777777" w:rsidR="009650FE" w:rsidRDefault="009650FE">
            <w:pPr>
              <w:spacing w:before="200" w:after="360"/>
              <w:rPr>
                <w:rFonts w:eastAsia="Times New Roman"/>
                <w:sz w:val="21"/>
                <w:szCs w:val="21"/>
              </w:rPr>
            </w:pPr>
            <w:r>
              <w:rPr>
                <w:rFonts w:eastAsia="Times New Roman"/>
                <w:sz w:val="21"/>
                <w:szCs w:val="21"/>
              </w:rPr>
              <w:t>Benefits Department</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06AF63CF" w14:textId="77777777" w:rsidR="009650FE" w:rsidRDefault="009650FE">
            <w:pPr>
              <w:spacing w:before="200" w:after="360"/>
              <w:rPr>
                <w:rFonts w:eastAsia="Times New Roman"/>
                <w:sz w:val="21"/>
                <w:szCs w:val="21"/>
              </w:rPr>
            </w:pPr>
            <w:r>
              <w:rPr>
                <w:rFonts w:eastAsia="Times New Roman"/>
                <w:sz w:val="21"/>
                <w:szCs w:val="21"/>
              </w:rPr>
              <w:t>Child + income below the threshold</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1194A364" w14:textId="77777777" w:rsidR="009650FE" w:rsidRDefault="009650FE">
            <w:pPr>
              <w:spacing w:before="200" w:after="360"/>
              <w:rPr>
                <w:rFonts w:eastAsia="Times New Roman"/>
                <w:sz w:val="21"/>
                <w:szCs w:val="21"/>
              </w:rPr>
            </w:pPr>
            <w:r>
              <w:rPr>
                <w:rStyle w:val="status-o1"/>
                <w:rFonts w:eastAsia="Times New Roman"/>
                <w:sz w:val="21"/>
                <w:szCs w:val="21"/>
              </w:rPr>
              <w:t>Partially</w:t>
            </w:r>
            <w:r>
              <w:rPr>
                <w:rFonts w:eastAsia="Times New Roman"/>
                <w:sz w:val="21"/>
                <w:szCs w:val="21"/>
              </w:rPr>
              <w:t xml:space="preserve"> — granted following SVB linkage</w:t>
            </w:r>
          </w:p>
        </w:tc>
      </w:tr>
      <w:tr w:rsidR="00000000" w14:paraId="79AAA6CE" w14:textId="77777777">
        <w:trPr>
          <w:divId w:val="953290302"/>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373C5EA3" w14:textId="77777777" w:rsidR="009650FE" w:rsidRDefault="009650FE">
            <w:pPr>
              <w:spacing w:before="200" w:after="360"/>
              <w:rPr>
                <w:rFonts w:eastAsia="Times New Roman"/>
                <w:sz w:val="21"/>
                <w:szCs w:val="21"/>
              </w:rPr>
            </w:pPr>
            <w:r>
              <w:rPr>
                <w:rStyle w:val="Zwaar"/>
                <w:rFonts w:eastAsia="Times New Roman"/>
                <w:sz w:val="21"/>
                <w:szCs w:val="21"/>
              </w:rPr>
              <w:t>Child benefit</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220770BA" w14:textId="77777777" w:rsidR="009650FE" w:rsidRDefault="009650FE">
            <w:pPr>
              <w:spacing w:before="200" w:after="360"/>
              <w:rPr>
                <w:rFonts w:eastAsia="Times New Roman"/>
                <w:sz w:val="21"/>
                <w:szCs w:val="21"/>
              </w:rPr>
            </w:pPr>
            <w:r>
              <w:rPr>
                <w:rFonts w:eastAsia="Times New Roman"/>
                <w:sz w:val="21"/>
                <w:szCs w:val="21"/>
              </w:rPr>
              <w:t>SVB</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127C5D6D" w14:textId="77777777" w:rsidR="009650FE" w:rsidRDefault="009650FE">
            <w:pPr>
              <w:spacing w:before="200" w:after="360"/>
              <w:rPr>
                <w:rFonts w:eastAsia="Times New Roman"/>
                <w:sz w:val="21"/>
                <w:szCs w:val="21"/>
              </w:rPr>
            </w:pPr>
            <w:r>
              <w:rPr>
                <w:rFonts w:eastAsia="Times New Roman"/>
                <w:sz w:val="21"/>
                <w:szCs w:val="21"/>
              </w:rPr>
              <w:t>Dependent child + country of residence principle</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4818C782" w14:textId="77777777" w:rsidR="009650FE" w:rsidRDefault="009650FE">
            <w:pPr>
              <w:spacing w:before="200" w:after="360"/>
              <w:rPr>
                <w:rFonts w:eastAsia="Times New Roman"/>
                <w:sz w:val="21"/>
                <w:szCs w:val="21"/>
              </w:rPr>
            </w:pPr>
            <w:r>
              <w:rPr>
                <w:rStyle w:val="status-g1"/>
                <w:rFonts w:eastAsia="Times New Roman"/>
                <w:sz w:val="21"/>
                <w:szCs w:val="21"/>
              </w:rPr>
              <w:t>Granted</w:t>
            </w:r>
            <w:r>
              <w:rPr>
                <w:rFonts w:eastAsia="Times New Roman"/>
                <w:sz w:val="21"/>
                <w:szCs w:val="21"/>
              </w:rPr>
              <w:t xml:space="preserve"> — small amount, active since 20 April 2026</w:t>
            </w:r>
          </w:p>
        </w:tc>
      </w:tr>
    </w:tbl>
    <w:p w14:paraId="22CE3236" w14:textId="77777777" w:rsidR="009650FE" w:rsidRDefault="009650FE">
      <w:pPr>
        <w:pStyle w:val="Kop4"/>
        <w:divId w:val="953290302"/>
        <w:rPr>
          <w:rFonts w:eastAsia="Times New Roman"/>
          <w:lang w:val="en-GB"/>
        </w:rPr>
      </w:pPr>
      <w:r>
        <w:rPr>
          <w:rFonts w:eastAsia="Times New Roman"/>
          <w:lang w:val="en-GB"/>
        </w:rPr>
        <w:t>Cross-border claims</w:t>
      </w:r>
    </w:p>
    <w:tbl>
      <w:tblPr>
        <w:tblW w:w="5000" w:type="pct"/>
        <w:tblCellMar>
          <w:top w:w="15" w:type="dxa"/>
          <w:left w:w="15" w:type="dxa"/>
          <w:bottom w:w="15" w:type="dxa"/>
          <w:right w:w="15" w:type="dxa"/>
        </w:tblCellMar>
        <w:tblLook w:val="04A0" w:firstRow="1" w:lastRow="0" w:firstColumn="1" w:lastColumn="0" w:noHBand="0" w:noVBand="1"/>
      </w:tblPr>
      <w:tblGrid>
        <w:gridCol w:w="2536"/>
        <w:gridCol w:w="1992"/>
        <w:gridCol w:w="1992"/>
        <w:gridCol w:w="2536"/>
      </w:tblGrid>
      <w:tr w:rsidR="00000000" w14:paraId="29AB07CF" w14:textId="77777777">
        <w:trPr>
          <w:divId w:val="953290302"/>
          <w:tblHeader/>
        </w:trPr>
        <w:tc>
          <w:tcPr>
            <w:tcW w:w="1400" w:type="pct"/>
            <w:tcBorders>
              <w:top w:val="single" w:sz="6" w:space="0" w:color="4A3B6B"/>
              <w:left w:val="single" w:sz="6" w:space="0" w:color="4A3B6B"/>
              <w:bottom w:val="single" w:sz="6" w:space="0" w:color="4A3B6B"/>
              <w:right w:val="single" w:sz="6" w:space="0" w:color="4A3B6B"/>
            </w:tcBorders>
            <w:shd w:val="clear" w:color="auto" w:fill="4A3B6B"/>
            <w:tcMar>
              <w:top w:w="140" w:type="dxa"/>
              <w:left w:w="180" w:type="dxa"/>
              <w:bottom w:w="140" w:type="dxa"/>
              <w:right w:w="180" w:type="dxa"/>
            </w:tcMar>
            <w:vAlign w:val="center"/>
            <w:hideMark/>
          </w:tcPr>
          <w:p w14:paraId="5B690161" w14:textId="77777777" w:rsidR="009650FE" w:rsidRDefault="009650FE">
            <w:pPr>
              <w:spacing w:before="200" w:after="360"/>
              <w:rPr>
                <w:rFonts w:eastAsia="Times New Roman"/>
                <w:b/>
                <w:bCs/>
                <w:color w:val="FFFFFF"/>
                <w:sz w:val="21"/>
                <w:szCs w:val="21"/>
              </w:rPr>
            </w:pPr>
            <w:r>
              <w:rPr>
                <w:rFonts w:eastAsia="Times New Roman"/>
                <w:b/>
                <w:bCs/>
                <w:color w:val="FFFFFF"/>
                <w:sz w:val="21"/>
                <w:szCs w:val="21"/>
              </w:rPr>
              <w:t>Claim</w:t>
            </w:r>
          </w:p>
        </w:tc>
        <w:tc>
          <w:tcPr>
            <w:tcW w:w="1100" w:type="pct"/>
            <w:tcBorders>
              <w:top w:val="single" w:sz="6" w:space="0" w:color="4A3B6B"/>
              <w:left w:val="single" w:sz="6" w:space="0" w:color="4A3B6B"/>
              <w:bottom w:val="single" w:sz="6" w:space="0" w:color="4A3B6B"/>
              <w:right w:val="single" w:sz="6" w:space="0" w:color="4A3B6B"/>
            </w:tcBorders>
            <w:shd w:val="clear" w:color="auto" w:fill="4A3B6B"/>
            <w:tcMar>
              <w:top w:w="140" w:type="dxa"/>
              <w:left w:w="180" w:type="dxa"/>
              <w:bottom w:w="140" w:type="dxa"/>
              <w:right w:w="180" w:type="dxa"/>
            </w:tcMar>
            <w:vAlign w:val="center"/>
            <w:hideMark/>
          </w:tcPr>
          <w:p w14:paraId="6666D62E" w14:textId="77777777" w:rsidR="009650FE" w:rsidRDefault="009650FE">
            <w:pPr>
              <w:spacing w:before="200" w:after="360"/>
              <w:rPr>
                <w:rFonts w:eastAsia="Times New Roman"/>
                <w:b/>
                <w:bCs/>
                <w:color w:val="FFFFFF"/>
                <w:sz w:val="21"/>
                <w:szCs w:val="21"/>
              </w:rPr>
            </w:pPr>
            <w:r>
              <w:rPr>
                <w:rFonts w:eastAsia="Times New Roman"/>
                <w:b/>
                <w:bCs/>
                <w:color w:val="FFFFFF"/>
                <w:sz w:val="21"/>
                <w:szCs w:val="21"/>
              </w:rPr>
              <w:t>Basis</w:t>
            </w:r>
          </w:p>
        </w:tc>
        <w:tc>
          <w:tcPr>
            <w:tcW w:w="1100" w:type="pct"/>
            <w:tcBorders>
              <w:top w:val="single" w:sz="6" w:space="0" w:color="4A3B6B"/>
              <w:left w:val="single" w:sz="6" w:space="0" w:color="4A3B6B"/>
              <w:bottom w:val="single" w:sz="6" w:space="0" w:color="4A3B6B"/>
              <w:right w:val="single" w:sz="6" w:space="0" w:color="4A3B6B"/>
            </w:tcBorders>
            <w:shd w:val="clear" w:color="auto" w:fill="4A3B6B"/>
            <w:tcMar>
              <w:top w:w="140" w:type="dxa"/>
              <w:left w:w="180" w:type="dxa"/>
              <w:bottom w:w="140" w:type="dxa"/>
              <w:right w:w="180" w:type="dxa"/>
            </w:tcMar>
            <w:vAlign w:val="center"/>
            <w:hideMark/>
          </w:tcPr>
          <w:p w14:paraId="12338ACA" w14:textId="77777777" w:rsidR="009650FE" w:rsidRDefault="009650FE">
            <w:pPr>
              <w:spacing w:before="200" w:after="360"/>
              <w:rPr>
                <w:rFonts w:eastAsia="Times New Roman"/>
                <w:b/>
                <w:bCs/>
                <w:color w:val="FFFFFF"/>
                <w:sz w:val="21"/>
                <w:szCs w:val="21"/>
              </w:rPr>
            </w:pPr>
            <w:r>
              <w:rPr>
                <w:rFonts w:eastAsia="Times New Roman"/>
                <w:b/>
                <w:bCs/>
                <w:color w:val="FFFFFF"/>
                <w:sz w:val="21"/>
                <w:szCs w:val="21"/>
              </w:rPr>
              <w:t>Condition</w:t>
            </w:r>
          </w:p>
        </w:tc>
        <w:tc>
          <w:tcPr>
            <w:tcW w:w="1400" w:type="pct"/>
            <w:tcBorders>
              <w:top w:val="single" w:sz="6" w:space="0" w:color="4A3B6B"/>
              <w:left w:val="single" w:sz="6" w:space="0" w:color="4A3B6B"/>
              <w:bottom w:val="single" w:sz="6" w:space="0" w:color="4A3B6B"/>
              <w:right w:val="single" w:sz="6" w:space="0" w:color="4A3B6B"/>
            </w:tcBorders>
            <w:shd w:val="clear" w:color="auto" w:fill="4A3B6B"/>
            <w:tcMar>
              <w:top w:w="140" w:type="dxa"/>
              <w:left w:w="180" w:type="dxa"/>
              <w:bottom w:w="140" w:type="dxa"/>
              <w:right w:w="180" w:type="dxa"/>
            </w:tcMar>
            <w:vAlign w:val="center"/>
            <w:hideMark/>
          </w:tcPr>
          <w:p w14:paraId="5E602652" w14:textId="77777777" w:rsidR="009650FE" w:rsidRDefault="009650FE">
            <w:pPr>
              <w:spacing w:before="200" w:after="360"/>
              <w:rPr>
                <w:rFonts w:eastAsia="Times New Roman"/>
                <w:b/>
                <w:bCs/>
                <w:color w:val="FFFFFF"/>
                <w:sz w:val="21"/>
                <w:szCs w:val="21"/>
              </w:rPr>
            </w:pPr>
            <w:r>
              <w:rPr>
                <w:rFonts w:eastAsia="Times New Roman"/>
                <w:b/>
                <w:bCs/>
                <w:color w:val="FFFFFF"/>
                <w:sz w:val="21"/>
                <w:szCs w:val="21"/>
              </w:rPr>
              <w:t>Status</w:t>
            </w:r>
          </w:p>
        </w:tc>
      </w:tr>
      <w:tr w:rsidR="00000000" w14:paraId="4CBB3F5D" w14:textId="77777777">
        <w:trPr>
          <w:divId w:val="953290302"/>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215758E2" w14:textId="77777777" w:rsidR="009650FE" w:rsidRDefault="009650FE">
            <w:pPr>
              <w:spacing w:before="200" w:after="360"/>
              <w:rPr>
                <w:rFonts w:eastAsia="Times New Roman"/>
                <w:sz w:val="21"/>
                <w:szCs w:val="21"/>
              </w:rPr>
            </w:pPr>
            <w:r>
              <w:rPr>
                <w:rStyle w:val="Zwaar"/>
                <w:rFonts w:eastAsia="Times New Roman"/>
                <w:sz w:val="21"/>
                <w:szCs w:val="21"/>
              </w:rPr>
              <w:t>Aggregation of insurance periods</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2EF990EC" w14:textId="77777777" w:rsidR="009650FE" w:rsidRDefault="009650FE">
            <w:pPr>
              <w:spacing w:before="200" w:after="360"/>
              <w:rPr>
                <w:rFonts w:eastAsia="Times New Roman"/>
                <w:sz w:val="21"/>
                <w:szCs w:val="21"/>
              </w:rPr>
            </w:pPr>
            <w:r>
              <w:rPr>
                <w:rFonts w:eastAsia="Times New Roman"/>
                <w:sz w:val="21"/>
                <w:szCs w:val="21"/>
              </w:rPr>
              <w:t>Regulation 883/2004, Article 6</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373977C4" w14:textId="77777777" w:rsidR="009650FE" w:rsidRDefault="009650FE">
            <w:pPr>
              <w:spacing w:before="200" w:after="360"/>
              <w:rPr>
                <w:rFonts w:eastAsia="Times New Roman"/>
                <w:sz w:val="21"/>
                <w:szCs w:val="21"/>
              </w:rPr>
            </w:pPr>
            <w:r>
              <w:rPr>
                <w:rFonts w:eastAsia="Times New Roman"/>
                <w:sz w:val="21"/>
                <w:szCs w:val="21"/>
              </w:rPr>
              <w:t>Periods of insurance in several EU Member States</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32B45F5D" w14:textId="77777777" w:rsidR="009650FE" w:rsidRDefault="009650FE">
            <w:pPr>
              <w:spacing w:before="200" w:after="360"/>
              <w:rPr>
                <w:rFonts w:eastAsia="Times New Roman"/>
                <w:sz w:val="21"/>
                <w:szCs w:val="21"/>
              </w:rPr>
            </w:pPr>
            <w:r>
              <w:rPr>
                <w:rStyle w:val="status-r1"/>
                <w:rFonts w:eastAsia="Times New Roman"/>
                <w:sz w:val="21"/>
                <w:szCs w:val="21"/>
              </w:rPr>
              <w:t>Not applied</w:t>
            </w:r>
            <w:r>
              <w:rPr>
                <w:rFonts w:eastAsia="Times New Roman"/>
                <w:sz w:val="21"/>
                <w:szCs w:val="21"/>
              </w:rPr>
              <w:t xml:space="preserve"> — CM and UWV apply national reference periods</w:t>
            </w:r>
          </w:p>
        </w:tc>
      </w:tr>
      <w:tr w:rsidR="00000000" w14:paraId="191322B1" w14:textId="77777777">
        <w:trPr>
          <w:divId w:val="953290302"/>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467A9EB0" w14:textId="77777777" w:rsidR="009650FE" w:rsidRDefault="009650FE">
            <w:pPr>
              <w:spacing w:before="200" w:after="360"/>
              <w:rPr>
                <w:rFonts w:eastAsia="Times New Roman"/>
                <w:sz w:val="21"/>
                <w:szCs w:val="21"/>
              </w:rPr>
            </w:pPr>
            <w:r>
              <w:rPr>
                <w:rStyle w:val="Zwaar"/>
                <w:rFonts w:eastAsia="Times New Roman"/>
                <w:sz w:val="21"/>
                <w:szCs w:val="21"/>
              </w:rPr>
              <w:t>Pro-rata calculation</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69269FD9" w14:textId="77777777" w:rsidR="009650FE" w:rsidRDefault="009650FE">
            <w:pPr>
              <w:spacing w:before="200" w:after="360"/>
              <w:rPr>
                <w:rFonts w:eastAsia="Times New Roman"/>
                <w:sz w:val="21"/>
                <w:szCs w:val="21"/>
              </w:rPr>
            </w:pPr>
            <w:r>
              <w:rPr>
                <w:rFonts w:eastAsia="Times New Roman"/>
                <w:sz w:val="21"/>
                <w:szCs w:val="21"/>
              </w:rPr>
              <w:t>Regulation 883/2004, Article 52</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09CF46D7" w14:textId="77777777" w:rsidR="009650FE" w:rsidRDefault="009650FE">
            <w:pPr>
              <w:spacing w:before="200" w:after="360"/>
              <w:rPr>
                <w:rFonts w:eastAsia="Times New Roman"/>
                <w:sz w:val="21"/>
                <w:szCs w:val="21"/>
              </w:rPr>
            </w:pPr>
            <w:r>
              <w:rPr>
                <w:rFonts w:eastAsia="Times New Roman"/>
                <w:sz w:val="21"/>
                <w:szCs w:val="21"/>
              </w:rPr>
              <w:t>Entitlement to benefits under the aggregation rule</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6FDD5502" w14:textId="77777777" w:rsidR="009650FE" w:rsidRDefault="009650FE">
            <w:pPr>
              <w:spacing w:before="200" w:after="360"/>
              <w:rPr>
                <w:rFonts w:eastAsia="Times New Roman"/>
                <w:sz w:val="21"/>
                <w:szCs w:val="21"/>
              </w:rPr>
            </w:pPr>
            <w:r>
              <w:rPr>
                <w:rStyle w:val="status-r1"/>
                <w:rFonts w:eastAsia="Times New Roman"/>
                <w:sz w:val="21"/>
                <w:szCs w:val="21"/>
              </w:rPr>
              <w:t>Not applied</w:t>
            </w:r>
            <w:r>
              <w:rPr>
                <w:rFonts w:eastAsia="Times New Roman"/>
                <w:sz w:val="21"/>
                <w:szCs w:val="21"/>
              </w:rPr>
              <w:t xml:space="preserve"> </w:t>
            </w:r>
            <w:r>
              <w:rPr>
                <w:rFonts w:eastAsia="Times New Roman"/>
                <w:sz w:val="21"/>
                <w:szCs w:val="21"/>
              </w:rPr>
              <w:t>— condition: recognition of entitlement to benefits</w:t>
            </w:r>
          </w:p>
        </w:tc>
      </w:tr>
      <w:tr w:rsidR="00000000" w14:paraId="6A54C59D" w14:textId="77777777">
        <w:trPr>
          <w:divId w:val="953290302"/>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0E26A89C" w14:textId="77777777" w:rsidR="009650FE" w:rsidRDefault="009650FE">
            <w:pPr>
              <w:spacing w:before="200" w:after="360"/>
              <w:rPr>
                <w:rFonts w:eastAsia="Times New Roman"/>
                <w:sz w:val="21"/>
                <w:szCs w:val="21"/>
              </w:rPr>
            </w:pPr>
            <w:r>
              <w:rPr>
                <w:rStyle w:val="Zwaar"/>
                <w:rFonts w:eastAsia="Times New Roman"/>
                <w:sz w:val="21"/>
                <w:szCs w:val="21"/>
              </w:rPr>
              <w:t>Application of the Vester judgement</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7C1F2702" w14:textId="77777777" w:rsidR="009650FE" w:rsidRDefault="009650FE">
            <w:pPr>
              <w:spacing w:before="200" w:after="360"/>
              <w:rPr>
                <w:rFonts w:eastAsia="Times New Roman"/>
                <w:sz w:val="21"/>
                <w:szCs w:val="21"/>
              </w:rPr>
            </w:pPr>
            <w:r>
              <w:rPr>
                <w:rFonts w:eastAsia="Times New Roman"/>
                <w:sz w:val="21"/>
                <w:szCs w:val="21"/>
              </w:rPr>
              <w:t>ECJ C-134/18</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52287CB9" w14:textId="77777777" w:rsidR="009650FE" w:rsidRDefault="009650FE">
            <w:pPr>
              <w:spacing w:before="200" w:after="360"/>
              <w:rPr>
                <w:rFonts w:eastAsia="Times New Roman"/>
                <w:sz w:val="21"/>
                <w:szCs w:val="21"/>
              </w:rPr>
            </w:pPr>
            <w:r>
              <w:rPr>
                <w:rFonts w:eastAsia="Times New Roman"/>
                <w:sz w:val="21"/>
                <w:szCs w:val="21"/>
              </w:rPr>
              <w:t>Income gap arising from successive insurance policies in two Member States</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7645AEEE" w14:textId="77777777" w:rsidR="009650FE" w:rsidRDefault="009650FE">
            <w:pPr>
              <w:spacing w:before="200" w:after="360"/>
              <w:rPr>
                <w:rFonts w:eastAsia="Times New Roman"/>
                <w:sz w:val="21"/>
                <w:szCs w:val="21"/>
              </w:rPr>
            </w:pPr>
            <w:r>
              <w:rPr>
                <w:rStyle w:val="status-r1"/>
                <w:rFonts w:eastAsia="Times New Roman"/>
                <w:sz w:val="21"/>
                <w:szCs w:val="21"/>
              </w:rPr>
              <w:t>Not applied</w:t>
            </w:r>
            <w:r>
              <w:rPr>
                <w:rFonts w:eastAsia="Times New Roman"/>
                <w:sz w:val="21"/>
                <w:szCs w:val="21"/>
              </w:rPr>
              <w:t xml:space="preserve"> — UWV refuses, CM refuses</w:t>
            </w:r>
          </w:p>
        </w:tc>
      </w:tr>
    </w:tbl>
    <w:p w14:paraId="512DFA44" w14:textId="77777777" w:rsidR="009650FE" w:rsidRDefault="009650FE">
      <w:pPr>
        <w:divId w:val="953290302"/>
        <w:rPr>
          <w:rFonts w:eastAsia="Times New Roman"/>
          <w:vanish/>
          <w:lang w:val="en-GB"/>
        </w:rPr>
      </w:pPr>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1E0D0BC3" w14:textId="77777777">
        <w:trPr>
          <w:divId w:val="953290302"/>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6BE6E18F" w14:textId="77777777" w:rsidR="009650FE" w:rsidRDefault="009650FE">
            <w:pPr>
              <w:pStyle w:val="Normaalweb"/>
              <w:spacing w:before="120"/>
              <w:jc w:val="center"/>
              <w:rPr>
                <w:sz w:val="21"/>
                <w:szCs w:val="21"/>
              </w:rPr>
            </w:pPr>
            <w:r>
              <w:rPr>
                <w:noProof/>
                <w:sz w:val="21"/>
                <w:szCs w:val="21"/>
              </w:rPr>
              <w:drawing>
                <wp:inline distT="0" distB="0" distL="0" distR="0" wp14:anchorId="2C3D3004" wp14:editId="0C651779">
                  <wp:extent cx="3810000" cy="1644650"/>
                  <wp:effectExtent l="0" t="0" r="0" b="0"/>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810000" cy="1644650"/>
                          </a:xfrm>
                          <a:prstGeom prst="rect">
                            <a:avLst/>
                          </a:prstGeom>
                          <a:noFill/>
                          <a:ln>
                            <a:noFill/>
                          </a:ln>
                        </pic:spPr>
                      </pic:pic>
                    </a:graphicData>
                  </a:graphic>
                </wp:inline>
              </w:drawing>
            </w:r>
          </w:p>
          <w:p w14:paraId="13682982" w14:textId="77777777" w:rsidR="009650FE" w:rsidRDefault="009650FE">
            <w:pPr>
              <w:pStyle w:val="caption"/>
              <w:spacing w:after="120" w:afterAutospacing="0"/>
            </w:pPr>
            <w:r>
              <w:rPr>
                <w:rStyle w:val="Zwaar"/>
              </w:rPr>
              <w:t>Figure II.1 — The inventory.</w:t>
            </w:r>
            <w:r>
              <w:t xml:space="preserve"> Surrounding the family are the benefits to which they are entitled or might be entitled. Green = active. Orange = partially active or via a roundabout route. Red = blocked or not claimed. On the left are the Belgian funds, on the right the Dutch ones. The green funds are small or indirect. The large income funds are all red.</w:t>
            </w:r>
          </w:p>
        </w:tc>
      </w:tr>
    </w:tbl>
    <w:p w14:paraId="7588FFC5" w14:textId="77777777" w:rsidR="009650FE" w:rsidRDefault="009650FE">
      <w:pPr>
        <w:pStyle w:val="Kop3"/>
        <w:divId w:val="953290302"/>
        <w:rPr>
          <w:rFonts w:eastAsia="Times New Roman"/>
          <w:lang w:val="en-GB"/>
        </w:rPr>
      </w:pPr>
      <w:bookmarkStart w:id="27" w:name="_Toc242103165"/>
      <w:r>
        <w:rPr>
          <w:rFonts w:eastAsia="Times New Roman"/>
          <w:lang w:val="en-GB"/>
        </w:rPr>
        <w:t>Part II-B — Tying</w:t>
      </w:r>
      <w:bookmarkEnd w:id="27"/>
    </w:p>
    <w:p w14:paraId="23C910CB" w14:textId="77777777" w:rsidR="009650FE" w:rsidRDefault="009650FE">
      <w:pPr>
        <w:pStyle w:val="Normaalweb"/>
        <w:divId w:val="953290302"/>
        <w:rPr>
          <w:lang w:val="en-GB"/>
        </w:rPr>
      </w:pPr>
      <w:r>
        <w:rPr>
          <w:lang w:val="en-GB"/>
        </w:rPr>
        <w:t xml:space="preserve">The schemes are not independent of one another. In both countries, there is a </w:t>
      </w:r>
      <w:r>
        <w:rPr>
          <w:rStyle w:val="Zwaar"/>
          <w:lang w:val="en-GB"/>
        </w:rPr>
        <w:t>link between them</w:t>
      </w:r>
      <w:r>
        <w:rPr>
          <w:lang w:val="en-GB"/>
        </w:rPr>
        <w:t>: a medical assessment leads to two possible outcomes — a benefit payment and a tax relief — but the tax relief is only granted once the entitlement to the benefit has been recognised. Legally, they are two separate processes. Administratively, they are linked.</w:t>
      </w:r>
    </w:p>
    <w:p w14:paraId="739608B2" w14:textId="77777777" w:rsidR="009650FE" w:rsidRDefault="009650FE">
      <w:pPr>
        <w:pStyle w:val="Kop4"/>
        <w:divId w:val="953290302"/>
        <w:rPr>
          <w:rFonts w:eastAsia="Times New Roman"/>
          <w:lang w:val="en-GB"/>
        </w:rPr>
      </w:pPr>
      <w:r>
        <w:rPr>
          <w:rFonts w:eastAsia="Times New Roman"/>
          <w:lang w:val="en-GB"/>
        </w:rPr>
        <w:t>How tie-in sales work</w:t>
      </w:r>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745AB464" w14:textId="77777777">
        <w:trPr>
          <w:divId w:val="953290302"/>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5DD88368" w14:textId="77777777" w:rsidR="009650FE" w:rsidRDefault="009650FE">
            <w:pPr>
              <w:pStyle w:val="Normaalweb"/>
              <w:spacing w:before="120"/>
              <w:jc w:val="center"/>
              <w:rPr>
                <w:sz w:val="21"/>
                <w:szCs w:val="21"/>
              </w:rPr>
            </w:pPr>
            <w:r>
              <w:rPr>
                <w:noProof/>
                <w:sz w:val="21"/>
                <w:szCs w:val="21"/>
              </w:rPr>
              <w:drawing>
                <wp:inline distT="0" distB="0" distL="0" distR="0" wp14:anchorId="268D45A9" wp14:editId="0F8C1743">
                  <wp:extent cx="3810000" cy="1454150"/>
                  <wp:effectExtent l="0" t="0" r="0" b="0"/>
                  <wp:docPr id="11"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810000" cy="1454150"/>
                          </a:xfrm>
                          <a:prstGeom prst="rect">
                            <a:avLst/>
                          </a:prstGeom>
                          <a:noFill/>
                          <a:ln>
                            <a:noFill/>
                          </a:ln>
                        </pic:spPr>
                      </pic:pic>
                    </a:graphicData>
                  </a:graphic>
                </wp:inline>
              </w:drawing>
            </w:r>
          </w:p>
          <w:p w14:paraId="5636189A" w14:textId="77777777" w:rsidR="009650FE" w:rsidRDefault="009650FE">
            <w:pPr>
              <w:pStyle w:val="caption"/>
              <w:spacing w:after="120" w:afterAutospacing="0"/>
            </w:pPr>
            <w:r>
              <w:rPr>
                <w:rStyle w:val="Zwaar"/>
              </w:rPr>
              <w:t>Figure II.2 — Tied sales.</w:t>
            </w:r>
            <w:r>
              <w:t xml:space="preserve"> One medical assessment, two routes. The tax route is not assessed independently, but is linked to the benefit route. Applied in both countries, with their own administrative variations.</w:t>
            </w:r>
          </w:p>
        </w:tc>
      </w:tr>
    </w:tbl>
    <w:p w14:paraId="56C76879" w14:textId="77777777" w:rsidR="009650FE" w:rsidRDefault="009650FE">
      <w:pPr>
        <w:pStyle w:val="Kop4"/>
        <w:divId w:val="953290302"/>
        <w:rPr>
          <w:rFonts w:eastAsia="Times New Roman"/>
          <w:lang w:val="en-GB"/>
        </w:rPr>
      </w:pPr>
      <w:r>
        <w:rPr>
          <w:rFonts w:eastAsia="Times New Roman"/>
          <w:lang w:val="en-GB"/>
        </w:rPr>
        <w:t>Why this is fatal for a cross-border worker</w:t>
      </w:r>
    </w:p>
    <w:p w14:paraId="3AFFC572" w14:textId="77777777" w:rsidR="009650FE" w:rsidRDefault="009650FE">
      <w:pPr>
        <w:pStyle w:val="Normaalweb"/>
        <w:divId w:val="953290302"/>
        <w:rPr>
          <w:lang w:val="en-GB"/>
        </w:rPr>
      </w:pPr>
      <w:r>
        <w:rPr>
          <w:lang w:val="en-GB"/>
        </w:rPr>
        <w:t>A national citizen has a single system. If they encounter problems with tied sales, they can take legal action through a single point of contact. A cross-border worker has two national systems which do not recognise them as a single person.</w:t>
      </w:r>
    </w:p>
    <w:p w14:paraId="014677F1" w14:textId="77777777" w:rsidR="009650FE" w:rsidRDefault="009650FE">
      <w:pPr>
        <w:pStyle w:val="Normaalweb"/>
        <w:divId w:val="953290302"/>
        <w:rPr>
          <w:lang w:val="en-GB"/>
        </w:rPr>
      </w:pPr>
      <w:r>
        <w:rPr>
          <w:lang w:val="en-GB"/>
        </w:rPr>
        <w:t xml:space="preserve">In your country of residence (the Netherlands): </w:t>
      </w:r>
      <w:r>
        <w:rPr>
          <w:rStyle w:val="Nadruk"/>
          <w:lang w:val="en-GB"/>
        </w:rPr>
        <w:t>you live here, so we are not authorised to pay the benefit, as you were working in Belgium.</w:t>
      </w:r>
      <w:r>
        <w:rPr>
          <w:lang w:val="en-GB"/>
        </w:rPr>
        <w:t xml:space="preserve"> In your country of employment (Belgium): </w:t>
      </w:r>
      <w:r>
        <w:rPr>
          <w:rStyle w:val="Nadruk"/>
          <w:lang w:val="en-GB"/>
        </w:rPr>
        <w:t>you work here, but you live in the Netherlands, so we do not have to grant the tax benefits.</w:t>
      </w:r>
      <w:r>
        <w:rPr>
          <w:lang w:val="en-GB"/>
        </w:rPr>
        <w:t xml:space="preserve"> Each system applies its own tie-in, and no system resolves this by decoupling it from the medical assessment.</w:t>
      </w:r>
    </w:p>
    <w:p w14:paraId="0773FDA5" w14:textId="77777777" w:rsidR="009650FE" w:rsidRDefault="009650FE">
      <w:pPr>
        <w:pStyle w:val="Normaalweb"/>
        <w:divId w:val="953290302"/>
        <w:rPr>
          <w:lang w:val="en-GB"/>
        </w:rPr>
      </w:pPr>
      <w:r>
        <w:rPr>
          <w:lang w:val="en-GB"/>
        </w:rPr>
        <w:t xml:space="preserve">The EESSI network and Regulation 883/2004 provide for the aggregation of periods (Article 6) and pro rata calculation (Article 52). However, they do not provide for the </w:t>
      </w:r>
      <w:r>
        <w:rPr>
          <w:rStyle w:val="Nadruk"/>
          <w:lang w:val="en-GB"/>
        </w:rPr>
        <w:t>decoupling</w:t>
      </w:r>
      <w:r>
        <w:rPr>
          <w:lang w:val="en-GB"/>
        </w:rPr>
        <w:t xml:space="preserve"> of the medical assessment from the conditions for entitlement to benefits. Such decoupling falls within national competence, and neither state applies it to cross-border workers.</w:t>
      </w:r>
    </w:p>
    <w:p w14:paraId="07D6530D" w14:textId="77777777" w:rsidR="009650FE" w:rsidRDefault="009650FE">
      <w:pPr>
        <w:pStyle w:val="Kop3"/>
        <w:divId w:val="953290302"/>
        <w:rPr>
          <w:rFonts w:eastAsia="Times New Roman"/>
          <w:lang w:val="en-GB"/>
        </w:rPr>
      </w:pPr>
      <w:bookmarkStart w:id="28" w:name="_Toc242103166"/>
      <w:r>
        <w:rPr>
          <w:rFonts w:eastAsia="Times New Roman"/>
          <w:lang w:val="en-GB"/>
        </w:rPr>
        <w:t>Part II-C — The four catch-22s</w:t>
      </w:r>
      <w:bookmarkEnd w:id="28"/>
    </w:p>
    <w:p w14:paraId="443CC9DD" w14:textId="77777777" w:rsidR="009650FE" w:rsidRDefault="009650FE">
      <w:pPr>
        <w:pStyle w:val="Normaalweb"/>
        <w:divId w:val="953290302"/>
        <w:rPr>
          <w:lang w:val="en-GB"/>
        </w:rPr>
      </w:pPr>
      <w:r>
        <w:rPr>
          <w:lang w:val="en-GB"/>
        </w:rPr>
        <w:t>In practice, tying leads to a series of circular arguments. Below are the four most common ones.</w:t>
      </w:r>
    </w:p>
    <w:p w14:paraId="6B1904F4" w14:textId="77777777" w:rsidR="009650FE" w:rsidRDefault="009650FE">
      <w:pPr>
        <w:pStyle w:val="Kop4"/>
        <w:divId w:val="953290302"/>
        <w:rPr>
          <w:rFonts w:eastAsia="Times New Roman"/>
          <w:lang w:val="en-GB"/>
        </w:rPr>
      </w:pPr>
      <w:r>
        <w:rPr>
          <w:rFonts w:eastAsia="Times New Roman"/>
          <w:lang w:val="en-GB"/>
        </w:rPr>
        <w:t>Catch-22 No. 1 — The waiting time that doesn’t count</w:t>
      </w:r>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764EB577" w14:textId="77777777">
        <w:trPr>
          <w:divId w:val="953290302"/>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39DFE8BF" w14:textId="77777777" w:rsidR="009650FE" w:rsidRDefault="009650FE">
            <w:pPr>
              <w:pStyle w:val="Normaalweb"/>
              <w:spacing w:before="120"/>
              <w:jc w:val="center"/>
              <w:rPr>
                <w:sz w:val="21"/>
                <w:szCs w:val="21"/>
              </w:rPr>
            </w:pPr>
            <w:r>
              <w:rPr>
                <w:noProof/>
                <w:sz w:val="21"/>
                <w:szCs w:val="21"/>
              </w:rPr>
              <w:drawing>
                <wp:inline distT="0" distB="0" distL="0" distR="0" wp14:anchorId="2D30E479" wp14:editId="01BECB5B">
                  <wp:extent cx="3810000" cy="990600"/>
                  <wp:effectExtent l="0" t="0" r="0" b="0"/>
                  <wp:docPr id="12" name="Afbeeldi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810000" cy="990600"/>
                          </a:xfrm>
                          <a:prstGeom prst="rect">
                            <a:avLst/>
                          </a:prstGeom>
                          <a:noFill/>
                          <a:ln>
                            <a:noFill/>
                          </a:ln>
                        </pic:spPr>
                      </pic:pic>
                    </a:graphicData>
                  </a:graphic>
                </wp:inline>
              </w:drawing>
            </w:r>
          </w:p>
          <w:p w14:paraId="5DF0B4A3" w14:textId="77777777" w:rsidR="009650FE" w:rsidRDefault="009650FE">
            <w:pPr>
              <w:pStyle w:val="caption"/>
              <w:spacing w:after="120" w:afterAutospacing="0"/>
            </w:pPr>
            <w:r>
              <w:t>CM has refused because the national waiting period has not been met. The UWV is awaiting a decision from the Belgian authorities before applying the Vester judgement. The citizen is caught between two authorities, each of which imposes its own condition that the other authority has made impossible to fulfil.</w:t>
            </w:r>
          </w:p>
        </w:tc>
      </w:tr>
    </w:tbl>
    <w:p w14:paraId="449497C8" w14:textId="77777777" w:rsidR="009650FE" w:rsidRDefault="009650FE">
      <w:pPr>
        <w:pStyle w:val="Kop4"/>
        <w:divId w:val="953290302"/>
        <w:rPr>
          <w:rFonts w:eastAsia="Times New Roman"/>
          <w:lang w:val="en-GB"/>
        </w:rPr>
      </w:pPr>
      <w:r>
        <w:rPr>
          <w:rFonts w:eastAsia="Times New Roman"/>
          <w:lang w:val="en-GB"/>
        </w:rPr>
        <w:t>Catch-22 No. 2 — The 8 versus 9 points</w:t>
      </w:r>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1DBBF150" w14:textId="77777777">
        <w:trPr>
          <w:divId w:val="953290302"/>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138FAFBF" w14:textId="77777777" w:rsidR="009650FE" w:rsidRDefault="009650FE">
            <w:pPr>
              <w:pStyle w:val="Normaalweb"/>
              <w:spacing w:before="120"/>
              <w:jc w:val="center"/>
              <w:rPr>
                <w:sz w:val="21"/>
                <w:szCs w:val="21"/>
              </w:rPr>
            </w:pPr>
            <w:r>
              <w:rPr>
                <w:noProof/>
                <w:sz w:val="21"/>
                <w:szCs w:val="21"/>
              </w:rPr>
              <w:drawing>
                <wp:inline distT="0" distB="0" distL="0" distR="0" wp14:anchorId="3B3AFB40" wp14:editId="448D7498">
                  <wp:extent cx="3810000" cy="990600"/>
                  <wp:effectExtent l="0" t="0" r="0" b="0"/>
                  <wp:docPr id="13" name="Afbeelding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810000" cy="990600"/>
                          </a:xfrm>
                          <a:prstGeom prst="rect">
                            <a:avLst/>
                          </a:prstGeom>
                          <a:noFill/>
                          <a:ln>
                            <a:noFill/>
                          </a:ln>
                        </pic:spPr>
                      </pic:pic>
                    </a:graphicData>
                  </a:graphic>
                </wp:inline>
              </w:drawing>
            </w:r>
          </w:p>
          <w:p w14:paraId="0A55EEEF" w14:textId="77777777" w:rsidR="009650FE" w:rsidRDefault="009650FE">
            <w:pPr>
              <w:pStyle w:val="caption"/>
              <w:spacing w:after="120" w:afterAutospacing="0"/>
            </w:pPr>
            <w:r>
              <w:t>One federal body grants formal recognition of a disability. Another federal body imposes a stricter threshold for tax purposes. The citizen must reopen the case with the first body in order to score one more point — for a physical condition that has already been established by five independent healthcare professionals.</w:t>
            </w:r>
          </w:p>
        </w:tc>
      </w:tr>
    </w:tbl>
    <w:p w14:paraId="4E253D2A" w14:textId="77777777" w:rsidR="009650FE" w:rsidRDefault="009650FE">
      <w:pPr>
        <w:pStyle w:val="Kop4"/>
        <w:divId w:val="953290302"/>
        <w:rPr>
          <w:rFonts w:eastAsia="Times New Roman"/>
          <w:lang w:val="en-GB"/>
        </w:rPr>
      </w:pPr>
      <w:r>
        <w:rPr>
          <w:rFonts w:eastAsia="Times New Roman"/>
          <w:lang w:val="en-GB"/>
        </w:rPr>
        <w:t>Catch-22 No. 3 — Data that doesn’t flow</w:t>
      </w:r>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153BAE49" w14:textId="77777777">
        <w:trPr>
          <w:divId w:val="953290302"/>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05A84975" w14:textId="77777777" w:rsidR="009650FE" w:rsidRDefault="009650FE">
            <w:pPr>
              <w:pStyle w:val="Normaalweb"/>
              <w:spacing w:before="120"/>
              <w:jc w:val="center"/>
              <w:rPr>
                <w:sz w:val="21"/>
                <w:szCs w:val="21"/>
              </w:rPr>
            </w:pPr>
            <w:r>
              <w:rPr>
                <w:noProof/>
                <w:sz w:val="21"/>
                <w:szCs w:val="21"/>
              </w:rPr>
              <w:drawing>
                <wp:inline distT="0" distB="0" distL="0" distR="0" wp14:anchorId="1A395168" wp14:editId="56EC5BE0">
                  <wp:extent cx="3810000" cy="1143000"/>
                  <wp:effectExtent l="0" t="0" r="0" b="0"/>
                  <wp:docPr id="14" name="Afbeelding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810000" cy="1143000"/>
                          </a:xfrm>
                          <a:prstGeom prst="rect">
                            <a:avLst/>
                          </a:prstGeom>
                          <a:noFill/>
                          <a:ln>
                            <a:noFill/>
                          </a:ln>
                        </pic:spPr>
                      </pic:pic>
                    </a:graphicData>
                  </a:graphic>
                </wp:inline>
              </w:drawing>
            </w:r>
          </w:p>
          <w:p w14:paraId="2416AEC6" w14:textId="77777777" w:rsidR="009650FE" w:rsidRDefault="009650FE">
            <w:pPr>
              <w:pStyle w:val="caption"/>
              <w:spacing w:after="120" w:afterAutospacing="0"/>
            </w:pPr>
            <w:r>
              <w:t>The CM does not record sickness status in the Cross-Sectoral Social Security Database. Parentia, the SVB and the Dutch Benefits Agency all access data via this same database or a derivative thereof. A single block on data from one agency halts six other benefit payments.</w:t>
            </w:r>
          </w:p>
        </w:tc>
      </w:tr>
    </w:tbl>
    <w:p w14:paraId="2D99DD85" w14:textId="77777777" w:rsidR="009650FE" w:rsidRDefault="009650FE">
      <w:pPr>
        <w:pStyle w:val="Kop4"/>
        <w:divId w:val="953290302"/>
        <w:rPr>
          <w:rFonts w:eastAsia="Times New Roman"/>
          <w:lang w:val="en-GB"/>
        </w:rPr>
      </w:pPr>
      <w:r>
        <w:rPr>
          <w:rFonts w:eastAsia="Times New Roman"/>
          <w:lang w:val="en-GB"/>
        </w:rPr>
        <w:t>Catch-22 No. 4 — The MAF that neither rises nor falls</w:t>
      </w:r>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28AD6F1D" w14:textId="77777777">
        <w:trPr>
          <w:divId w:val="953290302"/>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02D3F73C" w14:textId="77777777" w:rsidR="009650FE" w:rsidRDefault="009650FE">
            <w:pPr>
              <w:pStyle w:val="Normaalweb"/>
              <w:spacing w:before="120"/>
              <w:jc w:val="center"/>
              <w:rPr>
                <w:sz w:val="21"/>
                <w:szCs w:val="21"/>
              </w:rPr>
            </w:pPr>
            <w:r>
              <w:rPr>
                <w:noProof/>
                <w:sz w:val="21"/>
                <w:szCs w:val="21"/>
              </w:rPr>
              <w:drawing>
                <wp:inline distT="0" distB="0" distL="0" distR="0" wp14:anchorId="00FD7140" wp14:editId="20A4375B">
                  <wp:extent cx="3810000" cy="1219200"/>
                  <wp:effectExtent l="0" t="0" r="0" b="0"/>
                  <wp:docPr id="15" name="Afbeelding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810000" cy="1219200"/>
                          </a:xfrm>
                          <a:prstGeom prst="rect">
                            <a:avLst/>
                          </a:prstGeom>
                          <a:noFill/>
                          <a:ln>
                            <a:noFill/>
                          </a:ln>
                        </pic:spPr>
                      </pic:pic>
                    </a:graphicData>
                  </a:graphic>
                </wp:inline>
              </w:drawing>
            </w:r>
          </w:p>
          <w:p w14:paraId="18C069F4" w14:textId="77777777" w:rsidR="009650FE" w:rsidRDefault="009650FE">
            <w:pPr>
              <w:pStyle w:val="caption"/>
              <w:spacing w:after="120" w:afterAutospacing="0"/>
            </w:pPr>
            <w:r>
              <w:t>The health insurance fund administers both the maximum invoice (MAF) and the recognition of disability. Anyone recognised as disabled is subject to a lower excess threshold — lower co-payments, higher reimbursements. Because the same health insurance fund refuses to grant this recognition, the family remains subject to the standard threshold. The patient therefore pays more co-payments than a person with a disability in the same physical condition. The same body has established the medical reality through t</w:t>
            </w:r>
            <w:r>
              <w:t>he approval of medical aids, but refuses to use that reality to increase the financial safety net.</w:t>
            </w:r>
          </w:p>
        </w:tc>
      </w:tr>
    </w:tbl>
    <w:p w14:paraId="208C823B" w14:textId="77777777" w:rsidR="009650FE" w:rsidRDefault="009650FE">
      <w:pPr>
        <w:pStyle w:val="Kop3"/>
        <w:divId w:val="953290302"/>
        <w:rPr>
          <w:rFonts w:eastAsia="Times New Roman"/>
          <w:lang w:val="en-GB"/>
        </w:rPr>
      </w:pPr>
      <w:bookmarkStart w:id="29" w:name="_Toc242103167"/>
      <w:r>
        <w:rPr>
          <w:rFonts w:eastAsia="Times New Roman"/>
          <w:lang w:val="en-GB"/>
        </w:rPr>
        <w:t>What this chapter sets out</w:t>
      </w:r>
      <w:bookmarkEnd w:id="29"/>
    </w:p>
    <w:p w14:paraId="496CCAFA" w14:textId="77777777" w:rsidR="009650FE" w:rsidRDefault="009650FE">
      <w:pPr>
        <w:pStyle w:val="Normaalweb"/>
        <w:divId w:val="953290302"/>
        <w:rPr>
          <w:lang w:val="en-GB"/>
        </w:rPr>
      </w:pPr>
      <w:r>
        <w:rPr>
          <w:lang w:val="en-GB"/>
        </w:rPr>
        <w:t>The family is entitled to a wide range of benefits. In theory, the combined network of the two welfare states covers almost every aspect of their medical and financial situation. In practice, however, more than half of the funds remain inaccessible. Not because the eligibility criteria are impossible to meet, but because the pathways to accessing them are structured in such a way that they block one another.</w:t>
      </w:r>
    </w:p>
    <w:p w14:paraId="6DB3C5D7" w14:textId="77777777" w:rsidR="009650FE" w:rsidRDefault="009650FE">
      <w:pPr>
        <w:pStyle w:val="Normaalweb"/>
        <w:divId w:val="953290302"/>
        <w:rPr>
          <w:lang w:val="en-GB"/>
        </w:rPr>
      </w:pPr>
      <w:r>
        <w:rPr>
          <w:lang w:val="en-GB"/>
        </w:rPr>
        <w:t>The linking of the benefits route and the tax route is the most common mechanism. The catch-22s are the result of this: circular arguments between two national systems that do not communicate with one another, and between federal authorities within the same system that do not recognise each other’s thresholds.</w:t>
      </w:r>
    </w:p>
    <w:p w14:paraId="24B9ADF6" w14:textId="77777777" w:rsidR="009650FE" w:rsidRDefault="009650FE">
      <w:pPr>
        <w:pStyle w:val="Normaalweb"/>
        <w:divId w:val="953290302"/>
        <w:rPr>
          <w:lang w:val="en-GB"/>
        </w:rPr>
      </w:pPr>
      <w:r>
        <w:rPr>
          <w:lang w:val="en-GB"/>
        </w:rPr>
        <w:t>The following chapter focuses on the actors that perpetuate these catch-22s — not as individuals, but as roles within a system.</w:t>
      </w:r>
    </w:p>
    <w:p w14:paraId="02537CBB" w14:textId="77777777" w:rsidR="009650FE" w:rsidRDefault="009650FE">
      <w:pPr>
        <w:pStyle w:val="noot"/>
        <w:spacing w:after="120" w:afterAutospacing="0"/>
        <w:divId w:val="953290302"/>
        <w:rPr>
          <w:lang w:val="en-GB"/>
        </w:rPr>
      </w:pPr>
      <w:r>
        <w:rPr>
          <w:lang w:val="en-GB"/>
        </w:rPr>
        <w:t>All organisations in this chapter are legal entities. Natural persons are referred to solely by their role or by a symbol (</w:t>
      </w:r>
      <w:r>
        <w:rPr>
          <w:rFonts w:ascii="Segoe UI Symbol" w:hAnsi="Segoe UI Symbol" w:cs="Segoe UI Symbol"/>
          <w:lang w:val="en-GB"/>
        </w:rPr>
        <w:t>♂</w:t>
      </w:r>
      <w:r>
        <w:rPr>
          <w:lang w:val="en-GB"/>
        </w:rPr>
        <w:t xml:space="preserve">, </w:t>
      </w:r>
      <w:r>
        <w:rPr>
          <w:rFonts w:ascii="Segoe UI Symbol" w:hAnsi="Segoe UI Symbol" w:cs="Segoe UI Symbol"/>
          <w:lang w:val="en-GB"/>
        </w:rPr>
        <w:t>♀</w:t>
      </w:r>
      <w:r>
        <w:rPr>
          <w:lang w:val="en-GB"/>
        </w:rPr>
        <w:t xml:space="preserve">). This is both a methodological choice and a requirement under the General Data Protection Regulation. The </w:t>
      </w:r>
      <w:r>
        <w:rPr>
          <w:rFonts w:cs="Aptos"/>
          <w:lang w:val="en-GB"/>
        </w:rPr>
        <w:t>‘</w:t>
      </w:r>
      <w:r>
        <w:rPr>
          <w:lang w:val="en-GB"/>
        </w:rPr>
        <w:t>pots</w:t>
      </w:r>
      <w:r>
        <w:rPr>
          <w:rFonts w:cs="Aptos"/>
          <w:lang w:val="en-GB"/>
        </w:rPr>
        <w:t>’</w:t>
      </w:r>
      <w:r>
        <w:rPr>
          <w:lang w:val="en-GB"/>
        </w:rPr>
        <w:t xml:space="preserve"> inventory is based on Document B, which records the actual applications, statuses and refusals for each organisation.</w:t>
      </w:r>
    </w:p>
    <w:p w14:paraId="16162280" w14:textId="77777777" w:rsidR="009650FE" w:rsidRDefault="009650FE">
      <w:pPr>
        <w:pStyle w:val="marker"/>
        <w:ind w:left="800" w:right="800"/>
        <w:divId w:val="953290302"/>
        <w:rPr>
          <w:lang w:val="en-GB"/>
        </w:rPr>
      </w:pPr>
      <w:r>
        <w:br w:type="page"/>
      </w:r>
    </w:p>
    <w:p w14:paraId="7BEF5BEA" w14:textId="77777777" w:rsidR="009650FE" w:rsidRDefault="009650FE">
      <w:pPr>
        <w:pStyle w:val="Kop2"/>
        <w:divId w:val="953290302"/>
        <w:rPr>
          <w:rFonts w:eastAsia="Times New Roman"/>
          <w:lang w:val="en-GB"/>
        </w:rPr>
      </w:pPr>
      <w:bookmarkStart w:id="30" w:name="_Toc242103168"/>
      <w:r>
        <w:rPr>
          <w:rFonts w:eastAsia="Times New Roman"/>
          <w:lang w:val="en-GB"/>
        </w:rPr>
        <w:t>Determination and decision</w:t>
      </w:r>
      <w:bookmarkEnd w:id="30"/>
    </w:p>
    <w:p w14:paraId="28A616EC" w14:textId="77777777" w:rsidR="009650FE" w:rsidRDefault="009650FE">
      <w:pPr>
        <w:pStyle w:val="lead"/>
        <w:divId w:val="953290302"/>
        <w:rPr>
          <w:lang w:val="en-GB"/>
        </w:rPr>
      </w:pPr>
      <w:r>
        <w:rPr>
          <w:lang w:val="en-GB"/>
        </w:rPr>
        <w:t>Five healthcare professionals examined the body. Two medical officers made the decision. This chapter shows that both bodies — the Belgian health insurance fund and the Belgian Federal Public Service — apply the same mechanism, each with its own variation.</w:t>
      </w:r>
    </w:p>
    <w:p w14:paraId="06CA1967" w14:textId="77777777" w:rsidR="009650FE" w:rsidRDefault="009650FE">
      <w:pPr>
        <w:pStyle w:val="Kop3"/>
        <w:divId w:val="953290302"/>
        <w:rPr>
          <w:rFonts w:eastAsia="Times New Roman"/>
          <w:lang w:val="en-GB"/>
        </w:rPr>
      </w:pPr>
      <w:bookmarkStart w:id="31" w:name="_Toc242103169"/>
      <w:r>
        <w:rPr>
          <w:rFonts w:eastAsia="Times New Roman"/>
          <w:lang w:val="en-GB"/>
        </w:rPr>
        <w:t>The five votes</w:t>
      </w:r>
      <w:bookmarkEnd w:id="31"/>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54679D67" w14:textId="77777777">
        <w:trPr>
          <w:divId w:val="953290302"/>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123D4AB4" w14:textId="77777777" w:rsidR="009650FE" w:rsidRDefault="009650FE">
            <w:pPr>
              <w:pStyle w:val="Normaalweb"/>
              <w:spacing w:before="120"/>
              <w:jc w:val="center"/>
              <w:rPr>
                <w:sz w:val="21"/>
                <w:szCs w:val="21"/>
              </w:rPr>
            </w:pPr>
            <w:r>
              <w:rPr>
                <w:noProof/>
                <w:sz w:val="21"/>
                <w:szCs w:val="21"/>
              </w:rPr>
              <w:drawing>
                <wp:inline distT="0" distB="0" distL="0" distR="0" wp14:anchorId="7609B0D3" wp14:editId="79071B03">
                  <wp:extent cx="3810000" cy="1524000"/>
                  <wp:effectExtent l="0" t="0" r="0" b="0"/>
                  <wp:docPr id="16" name="Afbeeld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810000" cy="1524000"/>
                          </a:xfrm>
                          <a:prstGeom prst="rect">
                            <a:avLst/>
                          </a:prstGeom>
                          <a:noFill/>
                          <a:ln>
                            <a:noFill/>
                          </a:ln>
                        </pic:spPr>
                      </pic:pic>
                    </a:graphicData>
                  </a:graphic>
                </wp:inline>
              </w:drawing>
            </w:r>
          </w:p>
        </w:tc>
      </w:tr>
    </w:tbl>
    <w:p w14:paraId="260E533C" w14:textId="77777777" w:rsidR="009650FE" w:rsidRDefault="009650FE">
      <w:pPr>
        <w:pStyle w:val="Normaalweb"/>
        <w:divId w:val="953290302"/>
        <w:rPr>
          <w:sz w:val="24"/>
          <w:lang w:val="en-GB"/>
        </w:rPr>
      </w:pPr>
      <w:r>
        <w:rPr>
          <w:lang w:val="en-GB"/>
        </w:rPr>
        <w:t>Five healthcare professionals, working in two countries, examined the body. All five identified the same permanent disability.</w:t>
      </w:r>
    </w:p>
    <w:p w14:paraId="0E9BDDF8" w14:textId="77777777" w:rsidR="009650FE" w:rsidRDefault="009650FE">
      <w:pPr>
        <w:pStyle w:val="Kop3"/>
        <w:divId w:val="953290302"/>
        <w:rPr>
          <w:rFonts w:eastAsia="Times New Roman"/>
          <w:lang w:val="en-GB"/>
        </w:rPr>
      </w:pPr>
      <w:bookmarkStart w:id="32" w:name="_Toc242103170"/>
      <w:r>
        <w:rPr>
          <w:rFonts w:eastAsia="Times New Roman"/>
          <w:lang w:val="en-GB"/>
        </w:rPr>
        <w:t>Two decision-makers, one mechanism</w:t>
      </w:r>
      <w:bookmarkEnd w:id="32"/>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6488F460" w14:textId="77777777">
        <w:trPr>
          <w:divId w:val="953290302"/>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0C9F3D47" w14:textId="77777777" w:rsidR="009650FE" w:rsidRDefault="009650FE">
            <w:pPr>
              <w:pStyle w:val="Normaalweb"/>
              <w:spacing w:before="120"/>
              <w:jc w:val="center"/>
              <w:rPr>
                <w:sz w:val="21"/>
                <w:szCs w:val="21"/>
              </w:rPr>
            </w:pPr>
            <w:r>
              <w:rPr>
                <w:noProof/>
                <w:sz w:val="21"/>
                <w:szCs w:val="21"/>
              </w:rPr>
              <w:drawing>
                <wp:inline distT="0" distB="0" distL="0" distR="0" wp14:anchorId="3B97E97B" wp14:editId="45416687">
                  <wp:extent cx="3810000" cy="1905000"/>
                  <wp:effectExtent l="0" t="0" r="0" b="0"/>
                  <wp:docPr id="17" name="Afbeelding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810000" cy="1905000"/>
                          </a:xfrm>
                          <a:prstGeom prst="rect">
                            <a:avLst/>
                          </a:prstGeom>
                          <a:noFill/>
                          <a:ln>
                            <a:noFill/>
                          </a:ln>
                        </pic:spPr>
                      </pic:pic>
                    </a:graphicData>
                  </a:graphic>
                </wp:inline>
              </w:drawing>
            </w:r>
          </w:p>
          <w:p w14:paraId="53FE7986" w14:textId="77777777" w:rsidR="009650FE" w:rsidRDefault="009650FE">
            <w:pPr>
              <w:pStyle w:val="caption"/>
              <w:spacing w:after="120" w:afterAutospacing="0"/>
            </w:pPr>
            <w:r>
              <w:rPr>
                <w:rStyle w:val="Zwaar"/>
              </w:rPr>
              <w:t>Figure III.1 — Two variants, one mechanism.</w:t>
            </w:r>
            <w:r>
              <w:t xml:space="preserve"> The health insurance fund (variant A) allows its own doctor to make the decision without examining the patient. The federal public service (variant B) allows its own doctor to make the decision on the basis of a measurement that falls one point below the tax threshold. In both cases, the administrative threshold takes precedence over the medical assessment.</w:t>
            </w:r>
          </w:p>
        </w:tc>
      </w:tr>
    </w:tbl>
    <w:p w14:paraId="7513F9E3" w14:textId="77777777" w:rsidR="009650FE" w:rsidRDefault="009650FE">
      <w:pPr>
        <w:pStyle w:val="Kop3"/>
        <w:divId w:val="953290302"/>
        <w:rPr>
          <w:rFonts w:eastAsia="Times New Roman"/>
          <w:lang w:val="en-GB"/>
        </w:rPr>
      </w:pPr>
      <w:bookmarkStart w:id="33" w:name="_Toc242103171"/>
      <w:r>
        <w:rPr>
          <w:rFonts w:eastAsia="Times New Roman"/>
          <w:lang w:val="en-GB"/>
        </w:rPr>
        <w:t>The common pattern</w:t>
      </w:r>
      <w:bookmarkEnd w:id="33"/>
    </w:p>
    <w:p w14:paraId="1A6672B4" w14:textId="77777777" w:rsidR="009650FE" w:rsidRDefault="009650FE">
      <w:pPr>
        <w:pStyle w:val="Normaalweb"/>
        <w:divId w:val="953290302"/>
        <w:rPr>
          <w:lang w:val="en-GB"/>
        </w:rPr>
      </w:pPr>
      <w:r>
        <w:rPr>
          <w:lang w:val="en-GB"/>
        </w:rPr>
        <w:t xml:space="preserve">In both cases, the doctor making the decision is </w:t>
      </w:r>
      <w:r>
        <w:rPr>
          <w:rStyle w:val="Zwaar"/>
          <w:lang w:val="en-GB"/>
        </w:rPr>
        <w:t>on the agency’s payroll</w:t>
      </w:r>
      <w:r>
        <w:rPr>
          <w:lang w:val="en-GB"/>
        </w:rPr>
        <w:t>. In both cases, an administrative threshold is applied which does not exist in clinical practice. In both cases, five independent medical assessments carry less weight than a single administrative decision.</w:t>
      </w:r>
    </w:p>
    <w:p w14:paraId="674B12F8" w14:textId="77777777" w:rsidR="009650FE" w:rsidRDefault="009650FE">
      <w:pPr>
        <w:pStyle w:val="Normaalweb"/>
        <w:divId w:val="953290302"/>
        <w:rPr>
          <w:lang w:val="en-GB"/>
        </w:rPr>
      </w:pPr>
      <w:r>
        <w:rPr>
          <w:lang w:val="en-GB"/>
        </w:rPr>
        <w:t xml:space="preserve">That is not the personal fault of any individual doctor. It is the system: the doctor carrying out the assessment is not a better doctor, has not undergone more training, nor does he possess deeper knowledge. He is the </w:t>
      </w:r>
      <w:r>
        <w:rPr>
          <w:rStyle w:val="Nadruk"/>
          <w:lang w:val="en-GB"/>
        </w:rPr>
        <w:t>gatekeeper</w:t>
      </w:r>
      <w:r>
        <w:rPr>
          <w:lang w:val="en-GB"/>
        </w:rPr>
        <w:t xml:space="preserve"> of an administrative hurdle. The gate is closed, not because the body isn’t unwell — that has been proven five times over — but because the algorithm behind the gate says: </w:t>
      </w:r>
      <w:r>
        <w:rPr>
          <w:rStyle w:val="Nadruk"/>
          <w:lang w:val="en-GB"/>
        </w:rPr>
        <w:t>the benefit isn’t being paid, so the recognition isn’t granted, so the tax route isn’t available.</w:t>
      </w:r>
    </w:p>
    <w:p w14:paraId="46239B0C" w14:textId="77777777" w:rsidR="009650FE" w:rsidRDefault="009650FE">
      <w:pPr>
        <w:pStyle w:val="noot"/>
        <w:spacing w:after="120" w:afterAutospacing="0"/>
        <w:divId w:val="953290302"/>
        <w:rPr>
          <w:lang w:val="en-GB"/>
        </w:rPr>
      </w:pPr>
      <w:r>
        <w:rPr>
          <w:lang w:val="en-GB"/>
        </w:rPr>
        <w:t>All organisations mentioned in this chapter are legal entities. Natural persons are referred to solely by their position. The facts are based on Document B.</w:t>
      </w:r>
    </w:p>
    <w:p w14:paraId="3D431C05" w14:textId="77777777" w:rsidR="009650FE" w:rsidRDefault="009650FE">
      <w:pPr>
        <w:pStyle w:val="marker"/>
        <w:ind w:left="800" w:right="800"/>
        <w:divId w:val="953290302"/>
        <w:rPr>
          <w:lang w:val="en-GB"/>
        </w:rPr>
      </w:pPr>
      <w:r>
        <w:br w:type="page"/>
      </w:r>
    </w:p>
    <w:p w14:paraId="19FBD365" w14:textId="77777777" w:rsidR="009650FE" w:rsidRDefault="009650FE">
      <w:pPr>
        <w:pStyle w:val="Kop2"/>
        <w:divId w:val="953290302"/>
        <w:rPr>
          <w:rFonts w:eastAsia="Times New Roman"/>
          <w:lang w:val="en-GB"/>
        </w:rPr>
      </w:pPr>
      <w:bookmarkStart w:id="34" w:name="_Toc242103172"/>
      <w:r>
        <w:rPr>
          <w:rFonts w:eastAsia="Times New Roman"/>
          <w:lang w:val="en-GB"/>
        </w:rPr>
        <w:t>The Parentia Staircase</w:t>
      </w:r>
      <w:bookmarkEnd w:id="34"/>
    </w:p>
    <w:p w14:paraId="6CE98CC0" w14:textId="77777777" w:rsidR="009650FE" w:rsidRDefault="009650FE">
      <w:pPr>
        <w:pStyle w:val="lead"/>
        <w:divId w:val="953290302"/>
        <w:rPr>
          <w:lang w:val="en-GB"/>
        </w:rPr>
      </w:pPr>
      <w:r>
        <w:rPr>
          <w:lang w:val="en-GB"/>
        </w:rPr>
        <w:t>An organisation that accepts the medical reality, but then stumbles over its own revenue model. Three levels, one outcome. And the pattern repeats itself at another organisation.</w:t>
      </w:r>
    </w:p>
    <w:p w14:paraId="56C99164" w14:textId="77777777" w:rsidR="009650FE" w:rsidRDefault="009650FE">
      <w:pPr>
        <w:pStyle w:val="Kop3"/>
        <w:divId w:val="953290302"/>
        <w:rPr>
          <w:rFonts w:eastAsia="Times New Roman"/>
          <w:lang w:val="en-GB"/>
        </w:rPr>
      </w:pPr>
      <w:bookmarkStart w:id="35" w:name="_Toc242103173"/>
      <w:r>
        <w:rPr>
          <w:rFonts w:eastAsia="Times New Roman"/>
          <w:lang w:val="en-GB"/>
        </w:rPr>
        <w:t>Level 1 — The KSZ blockade</w:t>
      </w:r>
      <w:bookmarkEnd w:id="35"/>
    </w:p>
    <w:p w14:paraId="0DDB9C0C" w14:textId="77777777" w:rsidR="009650FE" w:rsidRDefault="009650FE">
      <w:pPr>
        <w:pStyle w:val="tijd"/>
        <w:divId w:val="953290302"/>
        <w:rPr>
          <w:lang w:val="en-GB"/>
        </w:rPr>
      </w:pPr>
      <w:r>
        <w:rPr>
          <w:lang w:val="en-GB"/>
        </w:rPr>
        <w:t>September 2025 — April 2026</w:t>
      </w:r>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7E6B9C55" w14:textId="77777777">
        <w:trPr>
          <w:divId w:val="953290302"/>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3CFE2F5B" w14:textId="77777777" w:rsidR="009650FE" w:rsidRDefault="009650FE">
            <w:pPr>
              <w:pStyle w:val="Normaalweb"/>
              <w:spacing w:before="120"/>
              <w:jc w:val="center"/>
              <w:rPr>
                <w:sz w:val="21"/>
                <w:szCs w:val="21"/>
              </w:rPr>
            </w:pPr>
            <w:r>
              <w:rPr>
                <w:noProof/>
                <w:sz w:val="21"/>
                <w:szCs w:val="21"/>
              </w:rPr>
              <w:drawing>
                <wp:inline distT="0" distB="0" distL="0" distR="0" wp14:anchorId="6239C232" wp14:editId="0516582D">
                  <wp:extent cx="3810000" cy="990600"/>
                  <wp:effectExtent l="0" t="0" r="0" b="0"/>
                  <wp:docPr id="18" name="Afbeelding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810000" cy="990600"/>
                          </a:xfrm>
                          <a:prstGeom prst="rect">
                            <a:avLst/>
                          </a:prstGeom>
                          <a:noFill/>
                          <a:ln>
                            <a:noFill/>
                          </a:ln>
                        </pic:spPr>
                      </pic:pic>
                    </a:graphicData>
                  </a:graphic>
                </wp:inline>
              </w:drawing>
            </w:r>
          </w:p>
        </w:tc>
      </w:tr>
    </w:tbl>
    <w:p w14:paraId="015966C3" w14:textId="77777777" w:rsidR="009650FE" w:rsidRDefault="009650FE">
      <w:pPr>
        <w:pStyle w:val="Kop3"/>
        <w:divId w:val="953290302"/>
        <w:rPr>
          <w:rFonts w:eastAsia="Times New Roman"/>
          <w:lang w:val="en-GB"/>
        </w:rPr>
      </w:pPr>
      <w:bookmarkStart w:id="36" w:name="_Toc242103174"/>
      <w:r>
        <w:rPr>
          <w:rFonts w:eastAsia="Times New Roman"/>
          <w:lang w:val="en-GB"/>
        </w:rPr>
        <w:t>Level 2 — The bypass is accepted</w:t>
      </w:r>
      <w:bookmarkEnd w:id="36"/>
    </w:p>
    <w:p w14:paraId="5DC8004F" w14:textId="77777777" w:rsidR="009650FE" w:rsidRDefault="009650FE">
      <w:pPr>
        <w:pStyle w:val="tijd"/>
        <w:divId w:val="953290302"/>
        <w:rPr>
          <w:lang w:val="en-GB"/>
        </w:rPr>
      </w:pPr>
      <w:r>
        <w:rPr>
          <w:lang w:val="en-GB"/>
        </w:rPr>
        <w:t>April — September 2026</w:t>
      </w:r>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69160630" w14:textId="77777777">
        <w:trPr>
          <w:divId w:val="953290302"/>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5CC0BCC0" w14:textId="77777777" w:rsidR="009650FE" w:rsidRDefault="009650FE">
            <w:pPr>
              <w:pStyle w:val="Normaalweb"/>
              <w:spacing w:before="120"/>
              <w:jc w:val="center"/>
              <w:rPr>
                <w:sz w:val="21"/>
                <w:szCs w:val="21"/>
              </w:rPr>
            </w:pPr>
            <w:r>
              <w:rPr>
                <w:noProof/>
                <w:sz w:val="21"/>
                <w:szCs w:val="21"/>
              </w:rPr>
              <w:drawing>
                <wp:inline distT="0" distB="0" distL="0" distR="0" wp14:anchorId="7A19AAC1" wp14:editId="6C2C9328">
                  <wp:extent cx="3810000" cy="1066800"/>
                  <wp:effectExtent l="0" t="0" r="0" b="0"/>
                  <wp:docPr id="19" name="Afbeelding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810000" cy="1066800"/>
                          </a:xfrm>
                          <a:prstGeom prst="rect">
                            <a:avLst/>
                          </a:prstGeom>
                          <a:noFill/>
                          <a:ln>
                            <a:noFill/>
                          </a:ln>
                        </pic:spPr>
                      </pic:pic>
                    </a:graphicData>
                  </a:graphic>
                </wp:inline>
              </w:drawing>
            </w:r>
          </w:p>
        </w:tc>
      </w:tr>
    </w:tbl>
    <w:p w14:paraId="0CF8439F" w14:textId="77777777" w:rsidR="009650FE" w:rsidRDefault="009650FE">
      <w:pPr>
        <w:pStyle w:val="Kop3"/>
        <w:divId w:val="953290302"/>
        <w:rPr>
          <w:rFonts w:eastAsia="Times New Roman"/>
          <w:lang w:val="en-GB"/>
        </w:rPr>
      </w:pPr>
      <w:bookmarkStart w:id="37" w:name="_Toc242103175"/>
      <w:r>
        <w:rPr>
          <w:rFonts w:eastAsia="Times New Roman"/>
          <w:lang w:val="en-GB"/>
        </w:rPr>
        <w:t>Level 3 — Refusal on income grounds</w:t>
      </w:r>
      <w:bookmarkEnd w:id="37"/>
    </w:p>
    <w:p w14:paraId="2B46D89F" w14:textId="77777777" w:rsidR="009650FE" w:rsidRDefault="009650FE">
      <w:pPr>
        <w:pStyle w:val="tijd"/>
        <w:divId w:val="953290302"/>
        <w:rPr>
          <w:lang w:val="en-GB"/>
        </w:rPr>
      </w:pPr>
      <w:r>
        <w:rPr>
          <w:lang w:val="en-GB"/>
        </w:rPr>
        <w:t>September 2026</w:t>
      </w:r>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1D1ABB96" w14:textId="77777777">
        <w:trPr>
          <w:divId w:val="953290302"/>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57F10588" w14:textId="77777777" w:rsidR="009650FE" w:rsidRDefault="009650FE">
            <w:pPr>
              <w:pStyle w:val="Normaalweb"/>
              <w:spacing w:before="120"/>
              <w:jc w:val="center"/>
              <w:rPr>
                <w:sz w:val="21"/>
                <w:szCs w:val="21"/>
              </w:rPr>
            </w:pPr>
            <w:r>
              <w:rPr>
                <w:noProof/>
                <w:sz w:val="21"/>
                <w:szCs w:val="21"/>
              </w:rPr>
              <w:drawing>
                <wp:inline distT="0" distB="0" distL="0" distR="0" wp14:anchorId="57048231" wp14:editId="199E6244">
                  <wp:extent cx="3810000" cy="1295400"/>
                  <wp:effectExtent l="0" t="0" r="0" b="0"/>
                  <wp:docPr id="20" name="Afbeelding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810000" cy="1295400"/>
                          </a:xfrm>
                          <a:prstGeom prst="rect">
                            <a:avLst/>
                          </a:prstGeom>
                          <a:noFill/>
                          <a:ln>
                            <a:noFill/>
                          </a:ln>
                        </pic:spPr>
                      </pic:pic>
                    </a:graphicData>
                  </a:graphic>
                </wp:inline>
              </w:drawing>
            </w:r>
          </w:p>
          <w:p w14:paraId="546E0DF8" w14:textId="77777777" w:rsidR="009650FE" w:rsidRDefault="009650FE">
            <w:pPr>
              <w:pStyle w:val="caption"/>
              <w:spacing w:after="120" w:afterAutospacing="0"/>
            </w:pPr>
            <w:r>
              <w:t>The medical route has been cleared. The evidence has been accepted. It then transpires that the income model does not reflect the actual situation. The figures add up, but the family falls outside the criteria.</w:t>
            </w:r>
          </w:p>
        </w:tc>
      </w:tr>
    </w:tbl>
    <w:p w14:paraId="259B30D3" w14:textId="77777777" w:rsidR="009650FE" w:rsidRDefault="009650FE">
      <w:pPr>
        <w:pStyle w:val="Kop3"/>
        <w:divId w:val="953290302"/>
        <w:rPr>
          <w:rFonts w:eastAsia="Times New Roman"/>
          <w:lang w:val="en-GB"/>
        </w:rPr>
      </w:pPr>
      <w:bookmarkStart w:id="38" w:name="_Toc242103176"/>
      <w:r>
        <w:rPr>
          <w:rFonts w:eastAsia="Times New Roman"/>
          <w:lang w:val="en-GB"/>
        </w:rPr>
        <w:t>The pattern is repeating itself</w:t>
      </w:r>
      <w:bookmarkEnd w:id="38"/>
    </w:p>
    <w:p w14:paraId="4DACE57E" w14:textId="77777777" w:rsidR="009650FE" w:rsidRDefault="009650FE">
      <w:pPr>
        <w:pStyle w:val="tijd"/>
        <w:divId w:val="953290302"/>
        <w:rPr>
          <w:lang w:val="en-GB"/>
        </w:rPr>
      </w:pPr>
      <w:r>
        <w:rPr>
          <w:lang w:val="en-GB"/>
        </w:rPr>
        <w:t>Municipality of Hulst · 2026</w:t>
      </w:r>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741DAE06" w14:textId="77777777">
        <w:trPr>
          <w:divId w:val="953290302"/>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7CED009D" w14:textId="77777777" w:rsidR="009650FE" w:rsidRDefault="009650FE">
            <w:pPr>
              <w:pStyle w:val="Normaalweb"/>
              <w:spacing w:before="120"/>
              <w:jc w:val="center"/>
              <w:rPr>
                <w:sz w:val="21"/>
                <w:szCs w:val="21"/>
              </w:rPr>
            </w:pPr>
            <w:r>
              <w:rPr>
                <w:noProof/>
                <w:sz w:val="21"/>
                <w:szCs w:val="21"/>
              </w:rPr>
              <w:drawing>
                <wp:inline distT="0" distB="0" distL="0" distR="0" wp14:anchorId="16F190FC" wp14:editId="7A89F58F">
                  <wp:extent cx="3810000" cy="1066800"/>
                  <wp:effectExtent l="0" t="0" r="0" b="0"/>
                  <wp:docPr id="2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810000" cy="1066800"/>
                          </a:xfrm>
                          <a:prstGeom prst="rect">
                            <a:avLst/>
                          </a:prstGeom>
                          <a:noFill/>
                          <a:ln>
                            <a:noFill/>
                          </a:ln>
                        </pic:spPr>
                      </pic:pic>
                    </a:graphicData>
                  </a:graphic>
                </wp:inline>
              </w:drawing>
            </w:r>
          </w:p>
          <w:p w14:paraId="2B3D922E" w14:textId="77777777" w:rsidR="009650FE" w:rsidRDefault="009650FE">
            <w:pPr>
              <w:pStyle w:val="caption"/>
              <w:spacing w:after="120" w:afterAutospacing="0"/>
            </w:pPr>
            <w:r>
              <w:t>What happened at Parentia is happening again at the local authority. Each organisation has its own medical portal and its own second hurdle. Citizens have to go through the same process all over again.</w:t>
            </w:r>
          </w:p>
        </w:tc>
      </w:tr>
    </w:tbl>
    <w:p w14:paraId="31AA08AD" w14:textId="77777777" w:rsidR="009650FE" w:rsidRDefault="009650FE">
      <w:pPr>
        <w:divId w:val="953290302"/>
        <w:rPr>
          <w:rFonts w:eastAsia="Times New Roman"/>
          <w:vanish/>
          <w:lang w:val="en-GB"/>
        </w:rPr>
      </w:pPr>
    </w:p>
    <w:tbl>
      <w:tblPr>
        <w:tblW w:w="5000" w:type="pct"/>
        <w:tblCellMar>
          <w:top w:w="15" w:type="dxa"/>
          <w:left w:w="15" w:type="dxa"/>
          <w:bottom w:w="15" w:type="dxa"/>
          <w:right w:w="15" w:type="dxa"/>
        </w:tblCellMar>
        <w:tblLook w:val="04A0" w:firstRow="1" w:lastRow="0" w:firstColumn="1" w:lastColumn="0" w:noHBand="0" w:noVBand="1"/>
      </w:tblPr>
      <w:tblGrid>
        <w:gridCol w:w="9019"/>
      </w:tblGrid>
      <w:tr w:rsidR="00000000" w14:paraId="38206693" w14:textId="77777777">
        <w:trPr>
          <w:divId w:val="953290302"/>
        </w:trPr>
        <w:tc>
          <w:tcPr>
            <w:tcW w:w="0" w:type="auto"/>
            <w:tcBorders>
              <w:top w:val="single" w:sz="6" w:space="0" w:color="D5D0C5"/>
              <w:left w:val="single" w:sz="36" w:space="0" w:color="4A3B6B"/>
              <w:bottom w:val="single" w:sz="6" w:space="0" w:color="D5D0C5"/>
              <w:right w:val="single" w:sz="6" w:space="0" w:color="D5D0C5"/>
            </w:tcBorders>
            <w:shd w:val="clear" w:color="auto" w:fill="F4F1F8"/>
            <w:tcMar>
              <w:top w:w="200" w:type="dxa"/>
              <w:left w:w="280" w:type="dxa"/>
              <w:bottom w:w="200" w:type="dxa"/>
              <w:right w:w="280" w:type="dxa"/>
            </w:tcMar>
            <w:hideMark/>
          </w:tcPr>
          <w:p w14:paraId="631BAF49" w14:textId="77777777" w:rsidR="009650FE" w:rsidRDefault="009650FE">
            <w:pPr>
              <w:spacing w:before="240" w:after="240"/>
              <w:rPr>
                <w:rFonts w:eastAsia="Times New Roman"/>
                <w:szCs w:val="22"/>
              </w:rPr>
            </w:pPr>
            <w:r>
              <w:rPr>
                <w:rFonts w:eastAsia="Times New Roman"/>
                <w:szCs w:val="22"/>
              </w:rPr>
              <w:t xml:space="preserve">The Parentia process consists of three stages. First, the medical route is blocked by a data issue at another agency. The citizen is then forced to use a workaround — the same manual evidence that also worked with the tax authorities. Once the medical evidence has been accepted, it turns out that the income model fails to reflect the actual situation. And when the citizen approaches the next agency, the cycle starts all over again. </w:t>
            </w:r>
          </w:p>
        </w:tc>
      </w:tr>
    </w:tbl>
    <w:p w14:paraId="4E0BF430" w14:textId="77777777" w:rsidR="009650FE" w:rsidRDefault="009650FE">
      <w:pPr>
        <w:pStyle w:val="noot"/>
        <w:spacing w:after="120" w:afterAutospacing="0"/>
        <w:divId w:val="953290302"/>
        <w:rPr>
          <w:lang w:val="en-GB"/>
        </w:rPr>
      </w:pPr>
      <w:r>
        <w:rPr>
          <w:lang w:val="en-GB"/>
        </w:rPr>
        <w:t>Facts based on Document B. Natural persons are identified by symbols; organisations by their public names.</w:t>
      </w:r>
    </w:p>
    <w:p w14:paraId="7BB6C062" w14:textId="77777777" w:rsidR="009650FE" w:rsidRDefault="009650FE">
      <w:pPr>
        <w:pStyle w:val="marker"/>
        <w:ind w:left="800" w:right="800"/>
        <w:divId w:val="953290302"/>
        <w:rPr>
          <w:lang w:val="en-GB"/>
        </w:rPr>
      </w:pPr>
      <w:r>
        <w:br w:type="page"/>
      </w:r>
    </w:p>
    <w:p w14:paraId="103D7757" w14:textId="77777777" w:rsidR="009650FE" w:rsidRDefault="009650FE">
      <w:pPr>
        <w:pStyle w:val="Kop2"/>
        <w:divId w:val="953290302"/>
        <w:rPr>
          <w:rFonts w:eastAsia="Times New Roman"/>
          <w:lang w:val="en-GB"/>
        </w:rPr>
      </w:pPr>
      <w:bookmarkStart w:id="39" w:name="_Toc242103177"/>
      <w:r>
        <w:rPr>
          <w:rFonts w:eastAsia="Times New Roman"/>
          <w:lang w:val="en-GB"/>
        </w:rPr>
        <w:t>The Belgian tax route</w:t>
      </w:r>
      <w:bookmarkEnd w:id="39"/>
    </w:p>
    <w:p w14:paraId="21180532" w14:textId="77777777" w:rsidR="009650FE" w:rsidRDefault="009650FE">
      <w:pPr>
        <w:pStyle w:val="lead"/>
        <w:divId w:val="953290302"/>
        <w:rPr>
          <w:lang w:val="en-GB"/>
        </w:rPr>
      </w:pPr>
      <w:r>
        <w:rPr>
          <w:lang w:val="en-GB"/>
        </w:rPr>
        <w:t>So far, this case study has mainly highlighted what goes wrong. This chapter shows the opposite: the Belgian tax route works, and provides the family with a substantial annual benefit. Four tax deductions and allowances, one of which was achieved via a workaround. This workaround has now been confirmed twice — once by the submission of the tax return itself, and once by an independent written confirmation from the tax authorities that the chosen approach is legally sound.</w:t>
      </w:r>
    </w:p>
    <w:p w14:paraId="318C18AC" w14:textId="77777777" w:rsidR="009650FE" w:rsidRDefault="009650FE">
      <w:pPr>
        <w:pStyle w:val="Kop3"/>
        <w:divId w:val="953290302"/>
        <w:rPr>
          <w:rFonts w:eastAsia="Times New Roman"/>
          <w:lang w:val="en-GB"/>
        </w:rPr>
      </w:pPr>
      <w:bookmarkStart w:id="40" w:name="_Toc242103178"/>
      <w:r>
        <w:rPr>
          <w:rFonts w:eastAsia="Times New Roman"/>
          <w:lang w:val="en-GB"/>
        </w:rPr>
        <w:t>Part A — What works</w:t>
      </w:r>
      <w:bookmarkEnd w:id="40"/>
    </w:p>
    <w:tbl>
      <w:tblPr>
        <w:tblW w:w="5000" w:type="pct"/>
        <w:tblCellMar>
          <w:top w:w="15" w:type="dxa"/>
          <w:left w:w="15" w:type="dxa"/>
          <w:bottom w:w="15" w:type="dxa"/>
          <w:right w:w="15" w:type="dxa"/>
        </w:tblCellMar>
        <w:tblLook w:val="04A0" w:firstRow="1" w:lastRow="0" w:firstColumn="1" w:lastColumn="0" w:noHBand="0" w:noVBand="1"/>
      </w:tblPr>
      <w:tblGrid>
        <w:gridCol w:w="2898"/>
        <w:gridCol w:w="3260"/>
        <w:gridCol w:w="2898"/>
      </w:tblGrid>
      <w:tr w:rsidR="00000000" w14:paraId="0BE9C93A" w14:textId="77777777">
        <w:trPr>
          <w:divId w:val="953290302"/>
          <w:tblHeader/>
        </w:trPr>
        <w:tc>
          <w:tcPr>
            <w:tcW w:w="1600" w:type="pct"/>
            <w:tcBorders>
              <w:top w:val="single" w:sz="6" w:space="0" w:color="4A3B6B"/>
              <w:left w:val="single" w:sz="6" w:space="0" w:color="4A3B6B"/>
              <w:bottom w:val="single" w:sz="6" w:space="0" w:color="4A3B6B"/>
              <w:right w:val="single" w:sz="6" w:space="0" w:color="4A3B6B"/>
            </w:tcBorders>
            <w:shd w:val="clear" w:color="auto" w:fill="4A3B6B"/>
            <w:tcMar>
              <w:top w:w="140" w:type="dxa"/>
              <w:left w:w="180" w:type="dxa"/>
              <w:bottom w:w="140" w:type="dxa"/>
              <w:right w:w="180" w:type="dxa"/>
            </w:tcMar>
            <w:vAlign w:val="center"/>
            <w:hideMark/>
          </w:tcPr>
          <w:p w14:paraId="669B393A" w14:textId="77777777" w:rsidR="009650FE" w:rsidRDefault="009650FE">
            <w:pPr>
              <w:spacing w:before="200" w:after="360"/>
              <w:rPr>
                <w:rFonts w:eastAsia="Times New Roman"/>
                <w:b/>
                <w:bCs/>
                <w:color w:val="FFFFFF"/>
                <w:sz w:val="21"/>
                <w:szCs w:val="21"/>
              </w:rPr>
            </w:pPr>
            <w:r>
              <w:rPr>
                <w:rFonts w:eastAsia="Times New Roman"/>
                <w:b/>
                <w:bCs/>
                <w:color w:val="FFFFFF"/>
                <w:sz w:val="21"/>
                <w:szCs w:val="21"/>
              </w:rPr>
              <w:t>Tax benefit</w:t>
            </w:r>
          </w:p>
        </w:tc>
        <w:tc>
          <w:tcPr>
            <w:tcW w:w="1800" w:type="pct"/>
            <w:tcBorders>
              <w:top w:val="single" w:sz="6" w:space="0" w:color="4A3B6B"/>
              <w:left w:val="single" w:sz="6" w:space="0" w:color="4A3B6B"/>
              <w:bottom w:val="single" w:sz="6" w:space="0" w:color="4A3B6B"/>
              <w:right w:val="single" w:sz="6" w:space="0" w:color="4A3B6B"/>
            </w:tcBorders>
            <w:shd w:val="clear" w:color="auto" w:fill="4A3B6B"/>
            <w:tcMar>
              <w:top w:w="140" w:type="dxa"/>
              <w:left w:w="180" w:type="dxa"/>
              <w:bottom w:w="140" w:type="dxa"/>
              <w:right w:w="180" w:type="dxa"/>
            </w:tcMar>
            <w:vAlign w:val="center"/>
            <w:hideMark/>
          </w:tcPr>
          <w:p w14:paraId="6BEF4F7E" w14:textId="77777777" w:rsidR="009650FE" w:rsidRDefault="009650FE">
            <w:pPr>
              <w:spacing w:before="200" w:after="360"/>
              <w:rPr>
                <w:rFonts w:eastAsia="Times New Roman"/>
                <w:b/>
                <w:bCs/>
                <w:color w:val="FFFFFF"/>
                <w:sz w:val="21"/>
                <w:szCs w:val="21"/>
              </w:rPr>
            </w:pPr>
            <w:r>
              <w:rPr>
                <w:rFonts w:eastAsia="Times New Roman"/>
                <w:b/>
                <w:bCs/>
                <w:color w:val="FFFFFF"/>
                <w:sz w:val="21"/>
                <w:szCs w:val="21"/>
              </w:rPr>
              <w:t>Basis</w:t>
            </w:r>
          </w:p>
        </w:tc>
        <w:tc>
          <w:tcPr>
            <w:tcW w:w="1600" w:type="pct"/>
            <w:tcBorders>
              <w:top w:val="single" w:sz="6" w:space="0" w:color="4A3B6B"/>
              <w:left w:val="single" w:sz="6" w:space="0" w:color="4A3B6B"/>
              <w:bottom w:val="single" w:sz="6" w:space="0" w:color="4A3B6B"/>
              <w:right w:val="single" w:sz="6" w:space="0" w:color="4A3B6B"/>
            </w:tcBorders>
            <w:shd w:val="clear" w:color="auto" w:fill="4A3B6B"/>
            <w:tcMar>
              <w:top w:w="140" w:type="dxa"/>
              <w:left w:w="180" w:type="dxa"/>
              <w:bottom w:w="140" w:type="dxa"/>
              <w:right w:w="180" w:type="dxa"/>
            </w:tcMar>
            <w:vAlign w:val="center"/>
            <w:hideMark/>
          </w:tcPr>
          <w:p w14:paraId="56C9846A" w14:textId="77777777" w:rsidR="009650FE" w:rsidRDefault="009650FE">
            <w:pPr>
              <w:spacing w:before="200" w:after="360"/>
              <w:rPr>
                <w:rFonts w:eastAsia="Times New Roman"/>
                <w:b/>
                <w:bCs/>
                <w:color w:val="FFFFFF"/>
                <w:sz w:val="21"/>
                <w:szCs w:val="21"/>
              </w:rPr>
            </w:pPr>
            <w:r>
              <w:rPr>
                <w:rFonts w:eastAsia="Times New Roman"/>
                <w:b/>
                <w:bCs/>
                <w:color w:val="FFFFFF"/>
                <w:sz w:val="21"/>
                <w:szCs w:val="21"/>
              </w:rPr>
              <w:t>Status in this case</w:t>
            </w:r>
          </w:p>
        </w:tc>
      </w:tr>
      <w:tr w:rsidR="00000000" w14:paraId="084864DE" w14:textId="77777777">
        <w:trPr>
          <w:divId w:val="953290302"/>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22D96D12" w14:textId="77777777" w:rsidR="009650FE" w:rsidRDefault="009650FE">
            <w:pPr>
              <w:spacing w:before="200" w:after="360"/>
              <w:rPr>
                <w:rFonts w:eastAsia="Times New Roman"/>
                <w:sz w:val="21"/>
                <w:szCs w:val="21"/>
              </w:rPr>
            </w:pPr>
            <w:r>
              <w:rPr>
                <w:rStyle w:val="Zwaar"/>
                <w:rFonts w:eastAsia="Times New Roman"/>
                <w:sz w:val="21"/>
                <w:szCs w:val="21"/>
              </w:rPr>
              <w:t>Increased tax-free allowance</w:t>
            </w:r>
            <w:r>
              <w:rPr>
                <w:rFonts w:eastAsia="Times New Roman"/>
                <w:sz w:val="21"/>
                <w:szCs w:val="21"/>
              </w:rPr>
              <w:t xml:space="preserve"> (disability code)</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0A3A0B75" w14:textId="77777777" w:rsidR="009650FE" w:rsidRDefault="009650FE">
            <w:pPr>
              <w:spacing w:before="200" w:after="360"/>
              <w:rPr>
                <w:rFonts w:eastAsia="Times New Roman"/>
                <w:sz w:val="21"/>
                <w:szCs w:val="21"/>
              </w:rPr>
            </w:pPr>
            <w:r>
              <w:rPr>
                <w:rFonts w:eastAsia="Times New Roman"/>
                <w:sz w:val="21"/>
                <w:szCs w:val="21"/>
              </w:rPr>
              <w:t>Sections 131 and 135 of the WIB 92 · permanent disability of ≥66% · earning capacity less than one-third</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6FD638A7" w14:textId="77777777" w:rsidR="009650FE" w:rsidRDefault="009650FE">
            <w:pPr>
              <w:spacing w:before="200" w:after="360"/>
              <w:rPr>
                <w:rFonts w:eastAsia="Times New Roman"/>
                <w:sz w:val="21"/>
                <w:szCs w:val="21"/>
              </w:rPr>
            </w:pPr>
            <w:r>
              <w:rPr>
                <w:rFonts w:eastAsia="Times New Roman"/>
                <w:sz w:val="21"/>
                <w:szCs w:val="21"/>
              </w:rPr>
              <w:t>Activated via a bypass, confirmed twice. Benefit: €2,669.97 on the joint tax return for 2026.</w:t>
            </w:r>
          </w:p>
        </w:tc>
      </w:tr>
      <w:tr w:rsidR="00000000" w14:paraId="4A85197A" w14:textId="77777777">
        <w:trPr>
          <w:divId w:val="953290302"/>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5C525869" w14:textId="77777777" w:rsidR="009650FE" w:rsidRDefault="009650FE">
            <w:pPr>
              <w:spacing w:before="200" w:after="360"/>
              <w:rPr>
                <w:rFonts w:eastAsia="Times New Roman"/>
                <w:sz w:val="21"/>
                <w:szCs w:val="21"/>
              </w:rPr>
            </w:pPr>
            <w:r>
              <w:rPr>
                <w:rStyle w:val="Zwaar"/>
                <w:rFonts w:eastAsia="Times New Roman"/>
                <w:sz w:val="21"/>
                <w:szCs w:val="21"/>
              </w:rPr>
              <w:t>Marriage ratio</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5E16A416" w14:textId="77777777" w:rsidR="009650FE" w:rsidRDefault="009650FE">
            <w:pPr>
              <w:spacing w:before="200" w:after="360"/>
              <w:rPr>
                <w:rFonts w:eastAsia="Times New Roman"/>
                <w:sz w:val="21"/>
                <w:szCs w:val="21"/>
              </w:rPr>
            </w:pPr>
            <w:r>
              <w:rPr>
                <w:rFonts w:eastAsia="Times New Roman"/>
                <w:sz w:val="21"/>
                <w:szCs w:val="21"/>
              </w:rPr>
              <w:t>Section 87 of the WIB 92 · allocation of part of the earned income to the partner with the lower income</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25A1C812" w14:textId="77777777" w:rsidR="009650FE" w:rsidRDefault="009650FE">
            <w:pPr>
              <w:spacing w:before="200" w:after="360"/>
              <w:rPr>
                <w:rFonts w:eastAsia="Times New Roman"/>
                <w:sz w:val="21"/>
                <w:szCs w:val="21"/>
              </w:rPr>
            </w:pPr>
            <w:r>
              <w:rPr>
                <w:rFonts w:eastAsia="Times New Roman"/>
                <w:sz w:val="21"/>
                <w:szCs w:val="21"/>
              </w:rPr>
              <w:t>Applied automatically when filing a joint tax return. Reduces the tax burden on family income.</w:t>
            </w:r>
          </w:p>
        </w:tc>
      </w:tr>
      <w:tr w:rsidR="00000000" w14:paraId="183ED32A" w14:textId="77777777">
        <w:trPr>
          <w:divId w:val="953290302"/>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6F2F4D56" w14:textId="77777777" w:rsidR="009650FE" w:rsidRDefault="009650FE">
            <w:pPr>
              <w:spacing w:before="200" w:after="360"/>
              <w:rPr>
                <w:rFonts w:eastAsia="Times New Roman"/>
                <w:sz w:val="21"/>
                <w:szCs w:val="21"/>
              </w:rPr>
            </w:pPr>
            <w:r>
              <w:rPr>
                <w:rStyle w:val="Zwaar"/>
                <w:rFonts w:eastAsia="Times New Roman"/>
                <w:sz w:val="21"/>
                <w:szCs w:val="21"/>
              </w:rPr>
              <w:t>Childcare tax relief</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04B6CB4A" w14:textId="77777777" w:rsidR="009650FE" w:rsidRDefault="009650FE">
            <w:pPr>
              <w:spacing w:before="200" w:after="360"/>
              <w:rPr>
                <w:rFonts w:eastAsia="Times New Roman"/>
                <w:sz w:val="21"/>
                <w:szCs w:val="21"/>
              </w:rPr>
            </w:pPr>
            <w:r>
              <w:rPr>
                <w:rFonts w:eastAsia="Times New Roman"/>
                <w:sz w:val="21"/>
                <w:szCs w:val="21"/>
              </w:rPr>
              <w:t>Art. 14535 WIB 92 · costs for the care of children under the age of 14</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73A190D9" w14:textId="77777777" w:rsidR="009650FE" w:rsidRDefault="009650FE">
            <w:pPr>
              <w:spacing w:before="200" w:after="360"/>
              <w:rPr>
                <w:rFonts w:eastAsia="Times New Roman"/>
                <w:sz w:val="21"/>
                <w:szCs w:val="21"/>
              </w:rPr>
            </w:pPr>
            <w:r>
              <w:rPr>
                <w:rFonts w:eastAsia="Times New Roman"/>
                <w:sz w:val="21"/>
                <w:szCs w:val="21"/>
              </w:rPr>
              <w:t>The holiday childcare certificate has been added manually to the 2026 tax return.</w:t>
            </w:r>
          </w:p>
        </w:tc>
      </w:tr>
      <w:tr w:rsidR="00000000" w14:paraId="11DA723B" w14:textId="77777777">
        <w:trPr>
          <w:divId w:val="953290302"/>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3D37AF53" w14:textId="77777777" w:rsidR="009650FE" w:rsidRDefault="009650FE">
            <w:pPr>
              <w:spacing w:before="200" w:after="360"/>
              <w:rPr>
                <w:rFonts w:eastAsia="Times New Roman"/>
                <w:sz w:val="21"/>
                <w:szCs w:val="21"/>
              </w:rPr>
            </w:pPr>
            <w:r>
              <w:rPr>
                <w:rStyle w:val="Zwaar"/>
                <w:rFonts w:eastAsia="Times New Roman"/>
                <w:sz w:val="21"/>
                <w:szCs w:val="21"/>
              </w:rPr>
              <w:t>Tax relief on medical expenses</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1C4DDE6B" w14:textId="77777777" w:rsidR="009650FE" w:rsidRDefault="009650FE">
            <w:pPr>
              <w:spacing w:before="200" w:after="360"/>
              <w:rPr>
                <w:rFonts w:eastAsia="Times New Roman"/>
                <w:sz w:val="21"/>
                <w:szCs w:val="21"/>
              </w:rPr>
            </w:pPr>
            <w:r>
              <w:rPr>
                <w:rFonts w:eastAsia="Times New Roman"/>
                <w:sz w:val="21"/>
                <w:szCs w:val="21"/>
              </w:rPr>
              <w:t>Sections 140–145 of the WIB 92 · medical expenses exceeding a certain percentage of income</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725A6B7C" w14:textId="77777777" w:rsidR="009650FE" w:rsidRDefault="009650FE">
            <w:pPr>
              <w:spacing w:before="200" w:after="360"/>
              <w:rPr>
                <w:rFonts w:eastAsia="Times New Roman"/>
                <w:sz w:val="21"/>
                <w:szCs w:val="21"/>
              </w:rPr>
            </w:pPr>
            <w:r>
              <w:rPr>
                <w:rFonts w:eastAsia="Times New Roman"/>
                <w:sz w:val="21"/>
                <w:szCs w:val="21"/>
              </w:rPr>
              <w:t>Partially tax-deductible. Limited impact as long as income remains low.</w:t>
            </w:r>
          </w:p>
        </w:tc>
      </w:tr>
    </w:tbl>
    <w:p w14:paraId="045CF06B" w14:textId="77777777" w:rsidR="009650FE" w:rsidRDefault="009650FE">
      <w:pPr>
        <w:divId w:val="953290302"/>
        <w:rPr>
          <w:rFonts w:eastAsia="Times New Roman"/>
          <w:vanish/>
          <w:lang w:val="en-GB"/>
        </w:rPr>
      </w:pPr>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0D7C4010" w14:textId="77777777">
        <w:trPr>
          <w:divId w:val="953290302"/>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7C7FE813" w14:textId="77777777" w:rsidR="009650FE" w:rsidRDefault="009650FE">
            <w:pPr>
              <w:pStyle w:val="Normaalweb"/>
              <w:spacing w:before="120"/>
              <w:jc w:val="center"/>
              <w:rPr>
                <w:sz w:val="21"/>
                <w:szCs w:val="21"/>
              </w:rPr>
            </w:pPr>
            <w:r>
              <w:rPr>
                <w:noProof/>
                <w:sz w:val="21"/>
                <w:szCs w:val="21"/>
              </w:rPr>
              <w:drawing>
                <wp:inline distT="0" distB="0" distL="0" distR="0" wp14:anchorId="44ED2404" wp14:editId="71C7014E">
                  <wp:extent cx="3810000" cy="1460500"/>
                  <wp:effectExtent l="0" t="0" r="0" b="6350"/>
                  <wp:docPr id="22" name="Afbeelding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810000" cy="1460500"/>
                          </a:xfrm>
                          <a:prstGeom prst="rect">
                            <a:avLst/>
                          </a:prstGeom>
                          <a:noFill/>
                          <a:ln>
                            <a:noFill/>
                          </a:ln>
                        </pic:spPr>
                      </pic:pic>
                    </a:graphicData>
                  </a:graphic>
                </wp:inline>
              </w:drawing>
            </w:r>
          </w:p>
          <w:p w14:paraId="51F70B60" w14:textId="77777777" w:rsidR="009650FE" w:rsidRDefault="009650FE">
            <w:pPr>
              <w:pStyle w:val="caption"/>
              <w:spacing w:after="120" w:afterAutospacing="0"/>
            </w:pPr>
            <w:r>
              <w:rPr>
                <w:rStyle w:val="Zwaar"/>
              </w:rPr>
              <w:t>Figure VI.1 — The four tax relief streams.</w:t>
            </w:r>
            <w:r>
              <w:t xml:space="preserve"> Three green streams: increased tax-free allowance, marriage allowance and childcare allowance. One orange stream: medical expenses (threshold). Together, they determine the tax relief shown on the annual Belgian tax return.</w:t>
            </w:r>
          </w:p>
        </w:tc>
      </w:tr>
    </w:tbl>
    <w:p w14:paraId="72B265A6" w14:textId="77777777" w:rsidR="009650FE" w:rsidRDefault="009650FE">
      <w:pPr>
        <w:pStyle w:val="Kop3"/>
        <w:divId w:val="953290302"/>
        <w:rPr>
          <w:rFonts w:eastAsia="Times New Roman"/>
          <w:lang w:val="en-GB"/>
        </w:rPr>
      </w:pPr>
      <w:bookmarkStart w:id="41" w:name="_Toc242103179"/>
      <w:r>
        <w:rPr>
          <w:rFonts w:eastAsia="Times New Roman"/>
          <w:lang w:val="en-GB"/>
        </w:rPr>
        <w:t>Part B — The bypass for the increased tax-free allowance</w:t>
      </w:r>
      <w:bookmarkEnd w:id="41"/>
    </w:p>
    <w:p w14:paraId="40F28837" w14:textId="77777777" w:rsidR="009650FE" w:rsidRDefault="009650FE">
      <w:pPr>
        <w:pStyle w:val="Kop4"/>
        <w:divId w:val="953290302"/>
        <w:rPr>
          <w:rFonts w:eastAsia="Times New Roman"/>
          <w:lang w:val="en-GB"/>
        </w:rPr>
      </w:pPr>
      <w:r>
        <w:rPr>
          <w:rFonts w:eastAsia="Times New Roman"/>
          <w:lang w:val="en-GB"/>
        </w:rPr>
        <w:t>The problem</w:t>
      </w:r>
    </w:p>
    <w:p w14:paraId="33608A03" w14:textId="77777777" w:rsidR="009650FE" w:rsidRDefault="009650FE">
      <w:pPr>
        <w:pStyle w:val="Normaalweb"/>
        <w:divId w:val="953290302"/>
        <w:rPr>
          <w:lang w:val="en-GB"/>
        </w:rPr>
      </w:pPr>
      <w:r>
        <w:rPr>
          <w:lang w:val="en-GB"/>
        </w:rPr>
        <w:t>Three roadblocks on the main road:</w:t>
      </w:r>
    </w:p>
    <w:p w14:paraId="199B5B60" w14:textId="77777777" w:rsidR="009650FE" w:rsidRDefault="009650FE">
      <w:pPr>
        <w:numPr>
          <w:ilvl w:val="0"/>
          <w:numId w:val="7"/>
        </w:numPr>
        <w:spacing w:before="100" w:beforeAutospacing="1" w:after="100" w:afterAutospacing="1"/>
        <w:divId w:val="953290302"/>
        <w:rPr>
          <w:rFonts w:eastAsia="Times New Roman"/>
          <w:lang w:val="en-GB"/>
        </w:rPr>
      </w:pPr>
      <w:r>
        <w:rPr>
          <w:rFonts w:eastAsia="Times New Roman"/>
          <w:lang w:val="en-GB"/>
        </w:rPr>
        <w:t>The sickness benefit has been refused, so incapacity for work has not been recognised.</w:t>
      </w:r>
    </w:p>
    <w:p w14:paraId="780D33E2" w14:textId="77777777" w:rsidR="009650FE" w:rsidRDefault="009650FE">
      <w:pPr>
        <w:numPr>
          <w:ilvl w:val="0"/>
          <w:numId w:val="7"/>
        </w:numPr>
        <w:spacing w:before="100" w:beforeAutospacing="1" w:after="100" w:afterAutospacing="1"/>
        <w:divId w:val="953290302"/>
        <w:rPr>
          <w:rFonts w:eastAsia="Times New Roman"/>
          <w:lang w:val="en-GB"/>
        </w:rPr>
      </w:pPr>
      <w:r>
        <w:rPr>
          <w:rFonts w:eastAsia="Times New Roman"/>
          <w:lang w:val="en-GB"/>
        </w:rPr>
        <w:t>The Cross-Reference Database is not being updated, so other organisations cannot see the sickness status.</w:t>
      </w:r>
    </w:p>
    <w:p w14:paraId="2D8C6648" w14:textId="77777777" w:rsidR="009650FE" w:rsidRDefault="009650FE">
      <w:pPr>
        <w:numPr>
          <w:ilvl w:val="0"/>
          <w:numId w:val="7"/>
        </w:numPr>
        <w:spacing w:before="100" w:beforeAutospacing="1" w:after="100" w:afterAutospacing="1"/>
        <w:divId w:val="953290302"/>
        <w:rPr>
          <w:rFonts w:eastAsia="Times New Roman"/>
          <w:lang w:val="en-GB"/>
        </w:rPr>
      </w:pPr>
      <w:r>
        <w:rPr>
          <w:rFonts w:eastAsia="Times New Roman"/>
          <w:lang w:val="en-GB"/>
        </w:rPr>
        <w:t>The Federal Disability Service awards 8 points. The tax threshold is 9.</w:t>
      </w:r>
    </w:p>
    <w:p w14:paraId="7E3C9153" w14:textId="77777777" w:rsidR="009650FE" w:rsidRDefault="009650FE">
      <w:pPr>
        <w:pStyle w:val="Kop4"/>
        <w:divId w:val="953290302"/>
        <w:rPr>
          <w:rFonts w:eastAsia="Times New Roman"/>
          <w:lang w:val="en-GB"/>
        </w:rPr>
      </w:pPr>
      <w:r>
        <w:rPr>
          <w:rFonts w:eastAsia="Times New Roman"/>
          <w:lang w:val="en-GB"/>
        </w:rPr>
        <w:t>The solution</w:t>
      </w:r>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43A614FE" w14:textId="77777777">
        <w:trPr>
          <w:divId w:val="953290302"/>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74A00DB1" w14:textId="77777777" w:rsidR="009650FE" w:rsidRDefault="009650FE">
            <w:pPr>
              <w:pStyle w:val="Normaalweb"/>
              <w:spacing w:before="120"/>
              <w:jc w:val="center"/>
              <w:rPr>
                <w:sz w:val="21"/>
                <w:szCs w:val="21"/>
              </w:rPr>
            </w:pPr>
            <w:r>
              <w:rPr>
                <w:noProof/>
                <w:sz w:val="21"/>
                <w:szCs w:val="21"/>
              </w:rPr>
              <w:drawing>
                <wp:inline distT="0" distB="0" distL="0" distR="0" wp14:anchorId="7B8FFCE4" wp14:editId="5120C8DF">
                  <wp:extent cx="3810000" cy="2139950"/>
                  <wp:effectExtent l="0" t="0" r="0" b="0"/>
                  <wp:docPr id="23" name="Afbeelding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810000" cy="2139950"/>
                          </a:xfrm>
                          <a:prstGeom prst="rect">
                            <a:avLst/>
                          </a:prstGeom>
                          <a:noFill/>
                          <a:ln>
                            <a:noFill/>
                          </a:ln>
                        </pic:spPr>
                      </pic:pic>
                    </a:graphicData>
                  </a:graphic>
                </wp:inline>
              </w:drawing>
            </w:r>
          </w:p>
          <w:p w14:paraId="3B3A38E9" w14:textId="77777777" w:rsidR="009650FE" w:rsidRDefault="009650FE">
            <w:pPr>
              <w:pStyle w:val="caption"/>
              <w:spacing w:after="120" w:afterAutospacing="0"/>
            </w:pPr>
            <w:r>
              <w:rPr>
                <w:rStyle w:val="Zwaar"/>
              </w:rPr>
              <w:t>Figure VI.2 — The tax bypass.</w:t>
            </w:r>
            <w:r>
              <w:t xml:space="preserve"> Three obstacles on the standard route. The tax authorities are legally separate from the benefits system and are permitted to accept their own medical evidence. A single document from the GP, drawn up in the language of the tax authorities, triggers the increased tax-free allowance without the need to amend the central database.</w:t>
            </w:r>
          </w:p>
        </w:tc>
      </w:tr>
    </w:tbl>
    <w:p w14:paraId="55801FA6" w14:textId="77777777" w:rsidR="009650FE" w:rsidRDefault="009650FE">
      <w:pPr>
        <w:pStyle w:val="Kop3"/>
        <w:divId w:val="953290302"/>
        <w:rPr>
          <w:rFonts w:eastAsia="Times New Roman"/>
          <w:lang w:val="en-GB"/>
        </w:rPr>
      </w:pPr>
      <w:bookmarkStart w:id="42" w:name="_Toc242103180"/>
      <w:r>
        <w:rPr>
          <w:rFonts w:eastAsia="Times New Roman"/>
          <w:lang w:val="en-GB"/>
        </w:rPr>
        <w:t>Part C — The double confirmation</w:t>
      </w:r>
      <w:bookmarkEnd w:id="42"/>
    </w:p>
    <w:p w14:paraId="2F4B192B" w14:textId="77777777" w:rsidR="009650FE" w:rsidRDefault="009650FE">
      <w:pPr>
        <w:pStyle w:val="Normaalweb"/>
        <w:divId w:val="953290302"/>
        <w:rPr>
          <w:lang w:val="en-GB"/>
        </w:rPr>
      </w:pPr>
      <w:r>
        <w:rPr>
          <w:lang w:val="en-GB"/>
        </w:rPr>
        <w:t>The bypass is based on a single assumption: that the tax authorities will accept a medical certificate from the GP without the involvement of the FPS Social Security. This assumption has been confirmed in this case in two independent ways.</w:t>
      </w:r>
    </w:p>
    <w:p w14:paraId="6F1155BE" w14:textId="77777777" w:rsidR="009650FE" w:rsidRDefault="009650FE">
      <w:pPr>
        <w:pStyle w:val="Kop4"/>
        <w:divId w:val="953290302"/>
        <w:rPr>
          <w:rFonts w:eastAsia="Times New Roman"/>
          <w:lang w:val="en-GB"/>
        </w:rPr>
      </w:pPr>
      <w:r>
        <w:rPr>
          <w:rFonts w:eastAsia="Times New Roman"/>
          <w:lang w:val="en-GB"/>
        </w:rPr>
        <w:t>Initial confirmation — the submission itself</w:t>
      </w:r>
    </w:p>
    <w:p w14:paraId="07135309" w14:textId="77777777" w:rsidR="009650FE" w:rsidRDefault="009650FE">
      <w:pPr>
        <w:pStyle w:val="Normaalweb"/>
        <w:divId w:val="953290302"/>
        <w:rPr>
          <w:lang w:val="en-GB"/>
        </w:rPr>
      </w:pPr>
      <w:r>
        <w:rPr>
          <w:lang w:val="en-GB"/>
        </w:rPr>
        <w:t>On 25 September 2026, the final Non-Resident Tax Return (tax year 2026, income year 2025) was submitted by the ACV’s tax department. The return includes:</w:t>
      </w:r>
    </w:p>
    <w:p w14:paraId="0B65413C" w14:textId="77777777" w:rsidR="009650FE" w:rsidRDefault="009650FE">
      <w:pPr>
        <w:numPr>
          <w:ilvl w:val="0"/>
          <w:numId w:val="8"/>
        </w:numPr>
        <w:spacing w:before="100" w:beforeAutospacing="1" w:after="100" w:afterAutospacing="1"/>
        <w:divId w:val="953290302"/>
        <w:rPr>
          <w:rFonts w:eastAsia="Times New Roman"/>
          <w:lang w:val="en-GB"/>
        </w:rPr>
      </w:pPr>
      <w:r>
        <w:rPr>
          <w:rFonts w:eastAsia="Times New Roman"/>
          <w:lang w:val="en-GB"/>
        </w:rPr>
        <w:t>The disability code for the dependent partner, based on the medical certificate provided by the GP.</w:t>
      </w:r>
    </w:p>
    <w:p w14:paraId="468460C8" w14:textId="77777777" w:rsidR="009650FE" w:rsidRDefault="009650FE">
      <w:pPr>
        <w:numPr>
          <w:ilvl w:val="0"/>
          <w:numId w:val="8"/>
        </w:numPr>
        <w:spacing w:before="100" w:beforeAutospacing="1" w:after="100" w:afterAutospacing="1"/>
        <w:divId w:val="953290302"/>
        <w:rPr>
          <w:rFonts w:eastAsia="Times New Roman"/>
          <w:lang w:val="en-GB"/>
        </w:rPr>
      </w:pPr>
      <w:r>
        <w:rPr>
          <w:rFonts w:eastAsia="Times New Roman"/>
          <w:lang w:val="en-GB"/>
        </w:rPr>
        <w:t>1 dependent child.</w:t>
      </w:r>
    </w:p>
    <w:p w14:paraId="5F81A528" w14:textId="77777777" w:rsidR="009650FE" w:rsidRDefault="009650FE">
      <w:pPr>
        <w:numPr>
          <w:ilvl w:val="0"/>
          <w:numId w:val="8"/>
        </w:numPr>
        <w:spacing w:before="100" w:beforeAutospacing="1" w:after="100" w:afterAutospacing="1"/>
        <w:divId w:val="953290302"/>
        <w:rPr>
          <w:rFonts w:eastAsia="Times New Roman"/>
          <w:lang w:val="en-GB"/>
        </w:rPr>
      </w:pPr>
      <w:r>
        <w:rPr>
          <w:rFonts w:eastAsia="Times New Roman"/>
          <w:lang w:val="en-GB"/>
        </w:rPr>
        <w:t>2 receipts for childcare costs, added manually.</w:t>
      </w:r>
    </w:p>
    <w:p w14:paraId="0BA9DAD5" w14:textId="77777777" w:rsidR="009650FE" w:rsidRDefault="009650FE">
      <w:pPr>
        <w:numPr>
          <w:ilvl w:val="0"/>
          <w:numId w:val="8"/>
        </w:numPr>
        <w:spacing w:before="100" w:beforeAutospacing="1" w:after="100" w:afterAutospacing="1"/>
        <w:divId w:val="953290302"/>
        <w:rPr>
          <w:rFonts w:eastAsia="Times New Roman"/>
          <w:lang w:val="en-GB"/>
        </w:rPr>
      </w:pPr>
      <w:r>
        <w:rPr>
          <w:rFonts w:eastAsia="Times New Roman"/>
          <w:lang w:val="en-GB"/>
        </w:rPr>
        <w:t>Confirmation of €0.00 in Dutch income or benefits.</w:t>
      </w:r>
    </w:p>
    <w:p w14:paraId="0E3CD50E" w14:textId="77777777" w:rsidR="009650FE" w:rsidRDefault="009650FE">
      <w:pPr>
        <w:pStyle w:val="Normaalweb"/>
        <w:divId w:val="953290302"/>
        <w:rPr>
          <w:lang w:val="en-GB"/>
        </w:rPr>
      </w:pPr>
      <w:r>
        <w:rPr>
          <w:lang w:val="en-GB"/>
        </w:rPr>
        <w:t xml:space="preserve">The result: </w:t>
      </w:r>
      <w:r>
        <w:rPr>
          <w:rStyle w:val="Zwaar"/>
          <w:lang w:val="en-GB"/>
        </w:rPr>
        <w:t>€2,669.97 in the family’s favour</w:t>
      </w:r>
      <w:r>
        <w:rPr>
          <w:lang w:val="en-GB"/>
        </w:rPr>
        <w:t>. The tax return was submitted on 25 September 2026 with a calculated balance; we are awaiting final processing and the tax assessment notice from the FPS Finance.</w:t>
      </w:r>
    </w:p>
    <w:p w14:paraId="4EC62BFD" w14:textId="77777777" w:rsidR="009650FE" w:rsidRDefault="009650FE">
      <w:pPr>
        <w:pStyle w:val="Kop4"/>
        <w:divId w:val="953290302"/>
        <w:rPr>
          <w:rFonts w:eastAsia="Times New Roman"/>
          <w:lang w:val="en-GB"/>
        </w:rPr>
      </w:pPr>
      <w:r>
        <w:rPr>
          <w:rFonts w:eastAsia="Times New Roman"/>
          <w:lang w:val="en-GB"/>
        </w:rPr>
        <w:t>Second confirmation — the independent assessment</w:t>
      </w:r>
    </w:p>
    <w:p w14:paraId="239261B4" w14:textId="77777777" w:rsidR="009650FE" w:rsidRDefault="009650FE">
      <w:pPr>
        <w:pStyle w:val="Normaalweb"/>
        <w:divId w:val="953290302"/>
        <w:rPr>
          <w:lang w:val="en-GB"/>
        </w:rPr>
      </w:pPr>
      <w:r>
        <w:rPr>
          <w:lang w:val="en-GB"/>
        </w:rPr>
        <w:t>In parallel with the submission, an independent researcher specialising in cross-border employment — employed at an academic institution and not involved in the case — made an anonymous enquiry to the FPS Finance. The question was whether the voluntary inclusion of medical certificates with the tax return is a valid means of demonstrating tax disability status under Belgian law.</w:t>
      </w:r>
    </w:p>
    <w:p w14:paraId="41BAF33C" w14:textId="77777777" w:rsidR="009650FE" w:rsidRDefault="009650FE">
      <w:pPr>
        <w:pStyle w:val="Normaalweb"/>
        <w:divId w:val="953290302"/>
        <w:rPr>
          <w:lang w:val="en-GB"/>
        </w:rPr>
      </w:pPr>
      <w:r>
        <w:rPr>
          <w:lang w:val="en-GB"/>
        </w:rPr>
        <w:t>The FPS Finance, Non-Resident Tax Management and Services Team (PG15 Ledeberg), has confirmed this in writing. In two successive replies, the tax authorities state that:</w:t>
      </w:r>
    </w:p>
    <w:p w14:paraId="3C120B28" w14:textId="77777777" w:rsidR="009650FE" w:rsidRDefault="009650FE">
      <w:pPr>
        <w:numPr>
          <w:ilvl w:val="0"/>
          <w:numId w:val="9"/>
        </w:numPr>
        <w:spacing w:before="100" w:beforeAutospacing="1" w:after="100" w:afterAutospacing="1"/>
        <w:divId w:val="953290302"/>
        <w:rPr>
          <w:rFonts w:eastAsia="Times New Roman"/>
          <w:lang w:val="en-GB"/>
        </w:rPr>
      </w:pPr>
      <w:r>
        <w:rPr>
          <w:rFonts w:eastAsia="Times New Roman"/>
          <w:lang w:val="en-GB"/>
        </w:rPr>
        <w:t>If there is no replacement income in excess of €13,460, a tax discrepancy arises.</w:t>
      </w:r>
    </w:p>
    <w:p w14:paraId="1B42C684" w14:textId="77777777" w:rsidR="009650FE" w:rsidRDefault="009650FE">
      <w:pPr>
        <w:numPr>
          <w:ilvl w:val="0"/>
          <w:numId w:val="9"/>
        </w:numPr>
        <w:spacing w:before="100" w:beforeAutospacing="1" w:after="100" w:afterAutospacing="1"/>
        <w:divId w:val="953290302"/>
        <w:rPr>
          <w:rFonts w:eastAsia="Times New Roman"/>
          <w:lang w:val="en-GB"/>
        </w:rPr>
      </w:pPr>
      <w:r>
        <w:rPr>
          <w:rFonts w:eastAsia="Times New Roman"/>
          <w:lang w:val="en-GB"/>
        </w:rPr>
        <w:t>It is advisable to include the medical certificates with the tax return of your own accord.</w:t>
      </w:r>
    </w:p>
    <w:p w14:paraId="6BC66648" w14:textId="77777777" w:rsidR="009650FE" w:rsidRDefault="009650FE">
      <w:pPr>
        <w:numPr>
          <w:ilvl w:val="0"/>
          <w:numId w:val="9"/>
        </w:numPr>
        <w:spacing w:before="100" w:beforeAutospacing="1" w:after="100" w:afterAutospacing="1"/>
        <w:divId w:val="953290302"/>
        <w:rPr>
          <w:rFonts w:eastAsia="Times New Roman"/>
          <w:lang w:val="en-GB"/>
        </w:rPr>
      </w:pPr>
      <w:r>
        <w:rPr>
          <w:rFonts w:eastAsia="Times New Roman"/>
          <w:lang w:val="en-GB"/>
        </w:rPr>
        <w:t>The tax authorities may conclude from this that, under Belgian law, the person concerned must be regarded as disabled for tax purposes.</w:t>
      </w:r>
    </w:p>
    <w:p w14:paraId="354EB811" w14:textId="77777777" w:rsidR="009650FE" w:rsidRDefault="009650FE">
      <w:pPr>
        <w:pStyle w:val="Normaalweb"/>
        <w:divId w:val="953290302"/>
        <w:rPr>
          <w:lang w:val="en-GB"/>
        </w:rPr>
      </w:pPr>
      <w:r>
        <w:rPr>
          <w:lang w:val="en-GB"/>
        </w:rPr>
        <w:t>The result is that not only does the bypass work in practice, but the tax authorities themselves confirm that the chosen approach is legally sound. It is no longer a matter of guesswork or favour. It is formal confirmation that the approach the family has found is the right one.</w:t>
      </w:r>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10184E02" w14:textId="77777777">
        <w:trPr>
          <w:divId w:val="953290302"/>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27F82AD6" w14:textId="77777777" w:rsidR="009650FE" w:rsidRDefault="009650FE">
            <w:pPr>
              <w:pStyle w:val="Normaalweb"/>
              <w:spacing w:before="120"/>
              <w:jc w:val="center"/>
              <w:rPr>
                <w:sz w:val="21"/>
                <w:szCs w:val="21"/>
              </w:rPr>
            </w:pPr>
            <w:r>
              <w:rPr>
                <w:noProof/>
                <w:sz w:val="21"/>
                <w:szCs w:val="21"/>
              </w:rPr>
              <w:drawing>
                <wp:inline distT="0" distB="0" distL="0" distR="0" wp14:anchorId="4D8F438D" wp14:editId="1D0B2F42">
                  <wp:extent cx="3810000" cy="1079500"/>
                  <wp:effectExtent l="0" t="0" r="0" b="6350"/>
                  <wp:docPr id="24" name="Afbeelding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810000" cy="1079500"/>
                          </a:xfrm>
                          <a:prstGeom prst="rect">
                            <a:avLst/>
                          </a:prstGeom>
                          <a:noFill/>
                          <a:ln>
                            <a:noFill/>
                          </a:ln>
                        </pic:spPr>
                      </pic:pic>
                    </a:graphicData>
                  </a:graphic>
                </wp:inline>
              </w:drawing>
            </w:r>
          </w:p>
          <w:p w14:paraId="7690123B" w14:textId="77777777" w:rsidR="009650FE" w:rsidRDefault="009650FE">
            <w:pPr>
              <w:pStyle w:val="caption"/>
              <w:spacing w:after="120" w:afterAutospacing="0"/>
            </w:pPr>
            <w:r>
              <w:rPr>
                <w:rStyle w:val="Zwaar"/>
              </w:rPr>
              <w:t>Figure VI.3 — The double confirmation.</w:t>
            </w:r>
            <w:r>
              <w:t xml:space="preserve"> The same bypass route has been confirmed twice: once in practice (the final tax return submitted, showing the calculated benefit), and once in theory (the tax authorities’ written confirmation to an independent investigator).</w:t>
            </w:r>
          </w:p>
        </w:tc>
      </w:tr>
    </w:tbl>
    <w:p w14:paraId="0F755DD9" w14:textId="77777777" w:rsidR="009650FE" w:rsidRDefault="009650FE">
      <w:pPr>
        <w:pStyle w:val="Kop3"/>
        <w:divId w:val="953290302"/>
        <w:rPr>
          <w:rFonts w:eastAsia="Times New Roman"/>
          <w:lang w:val="en-GB"/>
        </w:rPr>
      </w:pPr>
      <w:bookmarkStart w:id="43" w:name="_Toc242103181"/>
      <w:r>
        <w:rPr>
          <w:rFonts w:eastAsia="Times New Roman"/>
          <w:lang w:val="en-GB"/>
        </w:rPr>
        <w:t>Part D — AGODI: the moving target and the final conclusion</w:t>
      </w:r>
      <w:bookmarkEnd w:id="43"/>
    </w:p>
    <w:p w14:paraId="249E0D60" w14:textId="77777777" w:rsidR="009650FE" w:rsidRDefault="009650FE">
      <w:pPr>
        <w:pStyle w:val="Normaalweb"/>
        <w:divId w:val="953290302"/>
        <w:rPr>
          <w:lang w:val="en-GB"/>
        </w:rPr>
      </w:pPr>
      <w:r>
        <w:rPr>
          <w:lang w:val="en-GB"/>
        </w:rPr>
        <w:t>The Agency for Educational Services (AGODI) is the Flemish agency responsible for the payroll administration of teaching staff. In this case, AGODI acts as the mother’s employer. When the federal tax benefits are activated, AGODI must reflect them in the payroll records. And that is where things initially go wrong.</w:t>
      </w:r>
    </w:p>
    <w:p w14:paraId="5E73D08C" w14:textId="77777777" w:rsidR="009650FE" w:rsidRDefault="009650FE">
      <w:pPr>
        <w:pStyle w:val="Kop4"/>
        <w:divId w:val="953290302"/>
        <w:rPr>
          <w:rFonts w:eastAsia="Times New Roman"/>
          <w:lang w:val="en-GB"/>
        </w:rPr>
      </w:pPr>
      <w:r>
        <w:rPr>
          <w:rFonts w:eastAsia="Times New Roman"/>
          <w:lang w:val="en-GB"/>
        </w:rPr>
        <w:t>The first refusal — 25 March 2026</w:t>
      </w:r>
    </w:p>
    <w:p w14:paraId="1C147F4D" w14:textId="77777777" w:rsidR="009650FE" w:rsidRDefault="009650FE">
      <w:pPr>
        <w:pStyle w:val="Normaalweb"/>
        <w:divId w:val="953290302"/>
        <w:rPr>
          <w:lang w:val="en-GB"/>
        </w:rPr>
      </w:pPr>
      <w:r>
        <w:rPr>
          <w:lang w:val="en-GB"/>
        </w:rPr>
        <w:t>AGODI rejects the retroactive amendment to the payroll tax regarding the teachers’ exemption under the double taxation agreement. The reason: the tax statements for previous years have already been issued.</w:t>
      </w:r>
    </w:p>
    <w:p w14:paraId="59646ACA" w14:textId="77777777" w:rsidR="009650FE" w:rsidRDefault="009650FE">
      <w:pPr>
        <w:pStyle w:val="Kop4"/>
        <w:divId w:val="953290302"/>
        <w:rPr>
          <w:rFonts w:eastAsia="Times New Roman"/>
          <w:lang w:val="en-GB"/>
        </w:rPr>
      </w:pPr>
      <w:r>
        <w:rPr>
          <w:rFonts w:eastAsia="Times New Roman"/>
          <w:lang w:val="en-GB"/>
        </w:rPr>
        <w:t>The Medical Interpretation — 24 August 2026</w:t>
      </w:r>
    </w:p>
    <w:p w14:paraId="7C619B99" w14:textId="77777777" w:rsidR="009650FE" w:rsidRDefault="009650FE">
      <w:pPr>
        <w:pStyle w:val="Normaalweb"/>
        <w:divId w:val="953290302"/>
        <w:rPr>
          <w:lang w:val="en-GB"/>
        </w:rPr>
      </w:pPr>
      <w:r>
        <w:rPr>
          <w:lang w:val="en-GB"/>
        </w:rPr>
        <w:t>AGODI refuses to make the adjustment on the basis of the federal certificate awarding 8 points. The payroll department has taken it upon itself to carry out a medical and tax assessment: the certificate is said to be valid only for a parking permit, and 9 points are normally required for a reduction in payroll tax.</w:t>
      </w:r>
    </w:p>
    <w:p w14:paraId="479B4314" w14:textId="77777777" w:rsidR="009650FE" w:rsidRDefault="009650FE">
      <w:pPr>
        <w:pStyle w:val="Kop4"/>
        <w:divId w:val="953290302"/>
        <w:rPr>
          <w:rFonts w:eastAsia="Times New Roman"/>
          <w:lang w:val="en-GB"/>
        </w:rPr>
      </w:pPr>
      <w:r>
        <w:rPr>
          <w:rFonts w:eastAsia="Times New Roman"/>
          <w:lang w:val="en-GB"/>
        </w:rPr>
        <w:t>The Full Turn — 8 September 2026</w:t>
      </w:r>
    </w:p>
    <w:p w14:paraId="2A6931E8" w14:textId="77777777" w:rsidR="009650FE" w:rsidRDefault="009650FE">
      <w:pPr>
        <w:pStyle w:val="Normaalweb"/>
        <w:divId w:val="953290302"/>
        <w:rPr>
          <w:lang w:val="en-GB"/>
        </w:rPr>
      </w:pPr>
      <w:r>
        <w:rPr>
          <w:lang w:val="en-GB"/>
        </w:rPr>
        <w:t>Once the conclusive medical certificate (permanent disability ≥66 per cent, earning capacity reduced to one third) has been submitted, AGODI takes over completely. The authority suddenly states that it does not need to receive any supporting documents, that the school must send only an electronic adjustment, and that the tax authorities will ultimately settle the account.</w:t>
      </w:r>
    </w:p>
    <w:p w14:paraId="20AC4A61" w14:textId="77777777" w:rsidR="009650FE" w:rsidRDefault="009650FE">
      <w:pPr>
        <w:pStyle w:val="Kop4"/>
        <w:divId w:val="953290302"/>
        <w:rPr>
          <w:rFonts w:eastAsia="Times New Roman"/>
          <w:lang w:val="en-GB"/>
        </w:rPr>
      </w:pPr>
      <w:r>
        <w:rPr>
          <w:rFonts w:eastAsia="Times New Roman"/>
          <w:lang w:val="en-GB"/>
        </w:rPr>
        <w:t>Final completion — 25 September 2026</w:t>
      </w:r>
    </w:p>
    <w:p w14:paraId="0CAE2E74" w14:textId="77777777" w:rsidR="009650FE" w:rsidRDefault="009650FE">
      <w:pPr>
        <w:pStyle w:val="Normaalweb"/>
        <w:divId w:val="953290302"/>
        <w:rPr>
          <w:lang w:val="en-GB"/>
        </w:rPr>
      </w:pPr>
      <w:r>
        <w:rPr>
          <w:lang w:val="en-GB"/>
        </w:rPr>
        <w:t>On 23 September 2026, the school secretariat recorded the official notification ‘change in tax status of disabled partner’ in the Informat staff system (notification number 4, [partner’s registration number]). This electronic notification records, with retroactive effect from 1 January 2026, that the dependent partner has no earned income and is formally registered as disabled. The administrative process has thus been fully completed.</w:t>
      </w:r>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370197C2" w14:textId="77777777">
        <w:trPr>
          <w:divId w:val="953290302"/>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1138C8FF" w14:textId="77777777" w:rsidR="009650FE" w:rsidRDefault="009650FE">
            <w:pPr>
              <w:pStyle w:val="Normaalweb"/>
              <w:spacing w:before="120"/>
              <w:jc w:val="center"/>
              <w:rPr>
                <w:sz w:val="21"/>
                <w:szCs w:val="21"/>
              </w:rPr>
            </w:pPr>
            <w:r>
              <w:rPr>
                <w:noProof/>
                <w:sz w:val="21"/>
                <w:szCs w:val="21"/>
              </w:rPr>
              <w:drawing>
                <wp:inline distT="0" distB="0" distL="0" distR="0" wp14:anchorId="293A1A60" wp14:editId="25ADF134">
                  <wp:extent cx="3810000" cy="1644650"/>
                  <wp:effectExtent l="0" t="0" r="0" b="0"/>
                  <wp:docPr id="25" name="Afbeelding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810000" cy="1644650"/>
                          </a:xfrm>
                          <a:prstGeom prst="rect">
                            <a:avLst/>
                          </a:prstGeom>
                          <a:noFill/>
                          <a:ln>
                            <a:noFill/>
                          </a:ln>
                        </pic:spPr>
                      </pic:pic>
                    </a:graphicData>
                  </a:graphic>
                </wp:inline>
              </w:drawing>
            </w:r>
          </w:p>
          <w:p w14:paraId="4A83A299" w14:textId="77777777" w:rsidR="009650FE" w:rsidRDefault="009650FE">
            <w:pPr>
              <w:pStyle w:val="caption"/>
              <w:spacing w:after="120" w:afterAutospacing="0"/>
            </w:pPr>
            <w:r>
              <w:rPr>
                <w:rStyle w:val="Zwaar"/>
              </w:rPr>
              <w:t>Figure VI.4 — From a moving target to final completion.</w:t>
            </w:r>
            <w:r>
              <w:t xml:space="preserve"> Three rounds of rejection, followed by the final registration of the electronic signal. What initially seemed impossible has now been administratively finalised.</w:t>
            </w:r>
          </w:p>
        </w:tc>
      </w:tr>
    </w:tbl>
    <w:p w14:paraId="5327AE97" w14:textId="77777777" w:rsidR="009650FE" w:rsidRDefault="009650FE">
      <w:pPr>
        <w:pStyle w:val="Kop3"/>
        <w:divId w:val="953290302"/>
        <w:rPr>
          <w:rFonts w:eastAsia="Times New Roman"/>
          <w:lang w:val="en-GB"/>
        </w:rPr>
      </w:pPr>
      <w:bookmarkStart w:id="44" w:name="_Toc242103182"/>
      <w:r>
        <w:rPr>
          <w:rFonts w:eastAsia="Times New Roman"/>
          <w:lang w:val="en-GB"/>
        </w:rPr>
        <w:t>Part E — What this chapter sets out</w:t>
      </w:r>
      <w:bookmarkEnd w:id="44"/>
    </w:p>
    <w:p w14:paraId="3461AAC7" w14:textId="77777777" w:rsidR="009650FE" w:rsidRDefault="009650FE">
      <w:pPr>
        <w:pStyle w:val="Normaalweb"/>
        <w:divId w:val="953290302"/>
        <w:rPr>
          <w:lang w:val="en-GB"/>
        </w:rPr>
      </w:pPr>
      <w:r>
        <w:rPr>
          <w:lang w:val="en-GB"/>
        </w:rPr>
        <w:t>The Belgian tax route works — perfectly. Four tax deductions, one bypass, a joint tax return offering a substantial benefit. The workaround has been confirmed twice: once in practice, and once by the tax authorities themselves. And the final authority in the chain (AGODI) ultimately issued the electronic signal that registered the tax status with retroactive effect.</w:t>
      </w:r>
    </w:p>
    <w:p w14:paraId="21E1588E" w14:textId="77777777" w:rsidR="009650FE" w:rsidRDefault="009650FE">
      <w:pPr>
        <w:pStyle w:val="Normaalweb"/>
        <w:divId w:val="953290302"/>
        <w:rPr>
          <w:lang w:val="en-GB"/>
        </w:rPr>
      </w:pPr>
      <w:r>
        <w:rPr>
          <w:lang w:val="en-GB"/>
        </w:rPr>
        <w:t>What this chapter shows is that, within the very same system that structurally excludes cross-border workers in other areas, there are indeed avenues that do work. The tax route is one such example. It does not depend on health insurance registration, nor on the disability services, nor on European coordination. It runs directly from the GP to the tax authorities.</w:t>
      </w:r>
    </w:p>
    <w:p w14:paraId="5D0F0545" w14:textId="77777777" w:rsidR="009650FE" w:rsidRDefault="009650FE">
      <w:pPr>
        <w:pStyle w:val="Normaalweb"/>
        <w:divId w:val="953290302"/>
        <w:rPr>
          <w:lang w:val="en-GB"/>
        </w:rPr>
      </w:pPr>
      <w:r>
        <w:rPr>
          <w:lang w:val="en-GB"/>
        </w:rPr>
        <w:t>And just as importantly: the route has been confirmed by the tax authorities themselves and verified by an independent investigator. The outcome is not the result of any favour. It is the result of the correct application of the law by a member of the public who has found a way to circumvent the blocked channels.</w:t>
      </w:r>
    </w:p>
    <w:tbl>
      <w:tblPr>
        <w:tblW w:w="5000" w:type="pct"/>
        <w:tblCellMar>
          <w:top w:w="15" w:type="dxa"/>
          <w:left w:w="15" w:type="dxa"/>
          <w:bottom w:w="15" w:type="dxa"/>
          <w:right w:w="15" w:type="dxa"/>
        </w:tblCellMar>
        <w:tblLook w:val="04A0" w:firstRow="1" w:lastRow="0" w:firstColumn="1" w:lastColumn="0" w:noHBand="0" w:noVBand="1"/>
      </w:tblPr>
      <w:tblGrid>
        <w:gridCol w:w="9019"/>
      </w:tblGrid>
      <w:tr w:rsidR="00000000" w14:paraId="45CAB7DE" w14:textId="77777777">
        <w:trPr>
          <w:divId w:val="953290302"/>
        </w:trPr>
        <w:tc>
          <w:tcPr>
            <w:tcW w:w="0" w:type="auto"/>
            <w:tcBorders>
              <w:top w:val="single" w:sz="6" w:space="0" w:color="D5D0C5"/>
              <w:left w:val="single" w:sz="36" w:space="0" w:color="4A3B6B"/>
              <w:bottom w:val="single" w:sz="6" w:space="0" w:color="D5D0C5"/>
              <w:right w:val="single" w:sz="6" w:space="0" w:color="D5D0C5"/>
            </w:tcBorders>
            <w:shd w:val="clear" w:color="auto" w:fill="EDE9F5"/>
            <w:tcMar>
              <w:top w:w="200" w:type="dxa"/>
              <w:left w:w="280" w:type="dxa"/>
              <w:bottom w:w="200" w:type="dxa"/>
              <w:right w:w="280" w:type="dxa"/>
            </w:tcMar>
            <w:hideMark/>
          </w:tcPr>
          <w:p w14:paraId="2449FF0F" w14:textId="77777777" w:rsidR="009650FE" w:rsidRDefault="009650FE">
            <w:pPr>
              <w:spacing w:before="240" w:after="240"/>
              <w:rPr>
                <w:rFonts w:eastAsia="Times New Roman"/>
                <w:szCs w:val="22"/>
              </w:rPr>
            </w:pPr>
            <w:r>
              <w:rPr>
                <w:rStyle w:val="Zwaar"/>
                <w:rFonts w:eastAsia="Times New Roman"/>
                <w:szCs w:val="22"/>
              </w:rPr>
              <w:t>For anyone in the same situation:</w:t>
            </w:r>
            <w:r>
              <w:rPr>
                <w:rFonts w:eastAsia="Times New Roman"/>
                <w:szCs w:val="22"/>
              </w:rPr>
              <w:t xml:space="preserve"> ask your GP to issue a certificate that meets the tax authorities’ requirements (Articles 131 and 135 of the Income Tax Code). The Federal Disability Service is not required for the tax route. Registration with a health insurance fund is not required. The certificate is submitted directly with the tax return. </w:t>
            </w:r>
            <w:r>
              <w:rPr>
                <w:rFonts w:eastAsia="Times New Roman"/>
                <w:szCs w:val="22"/>
              </w:rPr>
              <w:br/>
            </w:r>
            <w:r>
              <w:rPr>
                <w:rFonts w:eastAsia="Times New Roman"/>
                <w:szCs w:val="22"/>
              </w:rPr>
              <w:br/>
              <w:t>A tax adviser (in Belgium, via a trade union or an accountant) can attach this certificate to the tax return. The disability code is entered on the tax return and the increased tax-free allowance is</w:t>
            </w:r>
            <w:r>
              <w:rPr>
                <w:rFonts w:eastAsia="Times New Roman"/>
                <w:szCs w:val="22"/>
              </w:rPr>
              <w:t xml:space="preserve"> applied automatically. </w:t>
            </w:r>
            <w:r>
              <w:rPr>
                <w:rFonts w:eastAsia="Times New Roman"/>
                <w:szCs w:val="22"/>
              </w:rPr>
              <w:br/>
            </w:r>
            <w:r>
              <w:rPr>
                <w:rFonts w:eastAsia="Times New Roman"/>
                <w:szCs w:val="22"/>
              </w:rPr>
              <w:br/>
            </w:r>
            <w:r>
              <w:rPr>
                <w:rStyle w:val="Nadruk"/>
                <w:rFonts w:eastAsia="Times New Roman"/>
                <w:szCs w:val="22"/>
              </w:rPr>
              <w:t>Don’t forget to check the other deductions as well:</w:t>
            </w:r>
            <w:r>
              <w:rPr>
                <w:rFonts w:eastAsia="Times New Roman"/>
                <w:szCs w:val="22"/>
              </w:rPr>
              <w:t xml:space="preserve"> the marriage allowance and childcare allowance. These are not always applied automatically. </w:t>
            </w:r>
          </w:p>
        </w:tc>
      </w:tr>
    </w:tbl>
    <w:p w14:paraId="0CFC9C30" w14:textId="77777777" w:rsidR="009650FE" w:rsidRDefault="009650FE">
      <w:pPr>
        <w:pStyle w:val="noot"/>
        <w:spacing w:after="120" w:afterAutospacing="0"/>
        <w:divId w:val="953290302"/>
        <w:rPr>
          <w:lang w:val="en-GB"/>
        </w:rPr>
      </w:pPr>
      <w:r>
        <w:rPr>
          <w:lang w:val="en-GB"/>
        </w:rPr>
        <w:t>The amounts are based on the 2026 tax return and may vary from case to case. The relevant statutory provisions are Articles 87, 131, 135, 140–145 and 14535 of the Income Tax Code 1992. All organisations mentioned in this chapter are legal entities. Natural persons are referred to by their position or their symbol. This chapter does not constitute tax advice.</w:t>
      </w:r>
    </w:p>
    <w:p w14:paraId="5D8DEDB9" w14:textId="77777777" w:rsidR="009650FE" w:rsidRDefault="009650FE">
      <w:pPr>
        <w:pStyle w:val="marker"/>
        <w:ind w:left="800" w:right="800"/>
        <w:divId w:val="953290302"/>
        <w:rPr>
          <w:lang w:val="en-GB"/>
        </w:rPr>
      </w:pPr>
      <w:r>
        <w:br w:type="page"/>
      </w:r>
    </w:p>
    <w:p w14:paraId="7CA43D14" w14:textId="77777777" w:rsidR="009650FE" w:rsidRDefault="009650FE">
      <w:pPr>
        <w:pStyle w:val="Kop2"/>
        <w:divId w:val="953290302"/>
        <w:rPr>
          <w:rFonts w:eastAsia="Times New Roman"/>
          <w:lang w:val="en-GB"/>
        </w:rPr>
      </w:pPr>
      <w:bookmarkStart w:id="45" w:name="_Toc242103183"/>
      <w:r>
        <w:rPr>
          <w:rFonts w:eastAsia="Times New Roman"/>
          <w:lang w:val="en-GB"/>
        </w:rPr>
        <w:t>The reopening</w:t>
      </w:r>
      <w:bookmarkEnd w:id="45"/>
    </w:p>
    <w:p w14:paraId="43C82A57" w14:textId="77777777" w:rsidR="009650FE" w:rsidRDefault="009650FE">
      <w:pPr>
        <w:pStyle w:val="lead"/>
        <w:divId w:val="953290302"/>
        <w:rPr>
          <w:lang w:val="en-GB"/>
        </w:rPr>
      </w:pPr>
      <w:r>
        <w:rPr>
          <w:lang w:val="en-GB"/>
        </w:rPr>
        <w:t>Anyone who receives a decision from the Federal Disability Service and disagrees with it will find in the letter that they can take the matter to the employment tribunal. What the letter does not mention is that there are four other options – cheaper and quicker – which the individual can pursue themselves.</w:t>
      </w:r>
    </w:p>
    <w:p w14:paraId="710D3208" w14:textId="77777777" w:rsidR="009650FE" w:rsidRDefault="009650FE">
      <w:pPr>
        <w:pStyle w:val="Kop3"/>
        <w:divId w:val="953290302"/>
        <w:rPr>
          <w:rFonts w:eastAsia="Times New Roman"/>
          <w:lang w:val="en-GB"/>
        </w:rPr>
      </w:pPr>
      <w:bookmarkStart w:id="46" w:name="_Toc242103184"/>
      <w:r>
        <w:rPr>
          <w:rFonts w:eastAsia="Times New Roman"/>
          <w:lang w:val="en-GB"/>
        </w:rPr>
        <w:t>What the letter says</w:t>
      </w:r>
      <w:bookmarkEnd w:id="46"/>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560F9B29" w14:textId="77777777">
        <w:trPr>
          <w:divId w:val="953290302"/>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2245425C" w14:textId="77777777" w:rsidR="009650FE" w:rsidRDefault="009650FE">
            <w:pPr>
              <w:pStyle w:val="Normaalweb"/>
              <w:spacing w:before="120"/>
              <w:jc w:val="center"/>
              <w:rPr>
                <w:sz w:val="21"/>
                <w:szCs w:val="21"/>
              </w:rPr>
            </w:pPr>
            <w:r>
              <w:rPr>
                <w:noProof/>
                <w:sz w:val="21"/>
                <w:szCs w:val="21"/>
              </w:rPr>
              <w:drawing>
                <wp:inline distT="0" distB="0" distL="0" distR="0" wp14:anchorId="237B9111" wp14:editId="5D872BF3">
                  <wp:extent cx="3810000" cy="838200"/>
                  <wp:effectExtent l="0" t="0" r="0" b="0"/>
                  <wp:docPr id="26" name="Afbeelding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810000" cy="838200"/>
                          </a:xfrm>
                          <a:prstGeom prst="rect">
                            <a:avLst/>
                          </a:prstGeom>
                          <a:noFill/>
                          <a:ln>
                            <a:noFill/>
                          </a:ln>
                        </pic:spPr>
                      </pic:pic>
                    </a:graphicData>
                  </a:graphic>
                </wp:inline>
              </w:drawing>
            </w:r>
          </w:p>
        </w:tc>
      </w:tr>
    </w:tbl>
    <w:p w14:paraId="2FC068A2" w14:textId="77777777" w:rsidR="009650FE" w:rsidRDefault="009650FE">
      <w:pPr>
        <w:pStyle w:val="Kop3"/>
        <w:divId w:val="953290302"/>
        <w:rPr>
          <w:rFonts w:eastAsia="Times New Roman"/>
          <w:lang w:val="en-GB"/>
        </w:rPr>
      </w:pPr>
      <w:bookmarkStart w:id="47" w:name="_Toc242103185"/>
      <w:r>
        <w:rPr>
          <w:rFonts w:eastAsia="Times New Roman"/>
          <w:lang w:val="en-GB"/>
        </w:rPr>
        <w:t>What the website says</w:t>
      </w:r>
      <w:bookmarkEnd w:id="47"/>
    </w:p>
    <w:p w14:paraId="037AE88B" w14:textId="77777777" w:rsidR="009650FE" w:rsidRDefault="009650FE">
      <w:pPr>
        <w:pStyle w:val="Normaalweb"/>
        <w:divId w:val="953290302"/>
        <w:rPr>
          <w:lang w:val="en-GB"/>
        </w:rPr>
      </w:pPr>
      <w:r>
        <w:rPr>
          <w:lang w:val="en-GB"/>
        </w:rPr>
        <w:t xml:space="preserve">The Federal Disability Service’s website lists four options that members of the public can pursue themselves — without a solicitor and without going to court. These are known as </w:t>
      </w:r>
      <w:r>
        <w:rPr>
          <w:rStyle w:val="Zwaar"/>
          <w:lang w:val="en-GB"/>
        </w:rPr>
        <w:t>‘re-examinations</w:t>
      </w:r>
      <w:r>
        <w:rPr>
          <w:lang w:val="en-GB"/>
        </w:rPr>
        <w:t>’. Applications can be made in writing via the contact form or by post.</w:t>
      </w:r>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7CA86EA6" w14:textId="77777777">
        <w:trPr>
          <w:divId w:val="953290302"/>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1D37E03C" w14:textId="77777777" w:rsidR="009650FE" w:rsidRDefault="009650FE">
            <w:pPr>
              <w:pStyle w:val="Normaalweb"/>
              <w:spacing w:before="120"/>
              <w:jc w:val="center"/>
              <w:rPr>
                <w:sz w:val="21"/>
                <w:szCs w:val="21"/>
              </w:rPr>
            </w:pPr>
            <w:r>
              <w:rPr>
                <w:noProof/>
                <w:sz w:val="21"/>
                <w:szCs w:val="21"/>
              </w:rPr>
              <w:drawing>
                <wp:inline distT="0" distB="0" distL="0" distR="0" wp14:anchorId="7B770DAB" wp14:editId="7BE3642E">
                  <wp:extent cx="3810000" cy="1733550"/>
                  <wp:effectExtent l="0" t="0" r="0" b="0"/>
                  <wp:docPr id="27" name="Afbeelding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810000" cy="1733550"/>
                          </a:xfrm>
                          <a:prstGeom prst="rect">
                            <a:avLst/>
                          </a:prstGeom>
                          <a:noFill/>
                          <a:ln>
                            <a:noFill/>
                          </a:ln>
                        </pic:spPr>
                      </pic:pic>
                    </a:graphicData>
                  </a:graphic>
                </wp:inline>
              </w:drawing>
            </w:r>
          </w:p>
          <w:p w14:paraId="03A21912" w14:textId="77777777" w:rsidR="009650FE" w:rsidRDefault="009650FE">
            <w:pPr>
              <w:pStyle w:val="caption"/>
              <w:spacing w:after="120" w:afterAutospacing="0"/>
            </w:pPr>
            <w:r>
              <w:rPr>
                <w:rStyle w:val="Zwaar"/>
              </w:rPr>
              <w:t>Figure VII.1 — The four routes to reopening the case.</w:t>
            </w:r>
            <w:r>
              <w:t xml:space="preserve"> These are set out on the website of the Federal Disability Service, not in the letter. Applications for them can be made in writing, without a solicitor and without going to court.</w:t>
            </w:r>
          </w:p>
        </w:tc>
      </w:tr>
    </w:tbl>
    <w:p w14:paraId="64A9CF76" w14:textId="77777777" w:rsidR="009650FE" w:rsidRDefault="009650FE">
      <w:pPr>
        <w:pStyle w:val="Kop3"/>
        <w:divId w:val="953290302"/>
        <w:rPr>
          <w:rFonts w:eastAsia="Times New Roman"/>
          <w:lang w:val="en-GB"/>
        </w:rPr>
      </w:pPr>
      <w:bookmarkStart w:id="48" w:name="_Toc242103186"/>
      <w:r>
        <w:rPr>
          <w:rFonts w:eastAsia="Times New Roman"/>
          <w:lang w:val="en-GB"/>
        </w:rPr>
        <w:t>What this achieves</w:t>
      </w:r>
      <w:bookmarkEnd w:id="48"/>
    </w:p>
    <w:p w14:paraId="6188D721" w14:textId="77777777" w:rsidR="009650FE" w:rsidRDefault="009650FE">
      <w:pPr>
        <w:pStyle w:val="Normaalweb"/>
        <w:divId w:val="953290302"/>
        <w:rPr>
          <w:lang w:val="en-GB"/>
        </w:rPr>
      </w:pPr>
      <w:r>
        <w:rPr>
          <w:lang w:val="en-GB"/>
        </w:rPr>
        <w:t>A request for a review is not an appeal to the court. It is a request to the same body to reconsider the decision — with new arguments, new evidence, or an explanation of why the previous decision is incorrect. The attending doctor can assist with this: he or she can explain in writing why the disability service’s decision is incorrect.</w:t>
      </w:r>
    </w:p>
    <w:p w14:paraId="59B1F117" w14:textId="77777777" w:rsidR="009650FE" w:rsidRDefault="009650FE">
      <w:pPr>
        <w:pStyle w:val="Normaalweb"/>
        <w:divId w:val="953290302"/>
        <w:rPr>
          <w:lang w:val="en-GB"/>
        </w:rPr>
      </w:pPr>
      <w:r>
        <w:rPr>
          <w:lang w:val="en-GB"/>
        </w:rPr>
        <w:t>Unlike a court case, reopening a case does not require a solicitor or court fees. It simply involves a letter or an online form. And the decision is again made by the same body, but this time taking into account the arguments put forward by the treating doctor.</w:t>
      </w:r>
    </w:p>
    <w:tbl>
      <w:tblPr>
        <w:tblW w:w="5000" w:type="pct"/>
        <w:tblCellMar>
          <w:top w:w="15" w:type="dxa"/>
          <w:left w:w="15" w:type="dxa"/>
          <w:bottom w:w="15" w:type="dxa"/>
          <w:right w:w="15" w:type="dxa"/>
        </w:tblCellMar>
        <w:tblLook w:val="04A0" w:firstRow="1" w:lastRow="0" w:firstColumn="1" w:lastColumn="0" w:noHBand="0" w:noVBand="1"/>
      </w:tblPr>
      <w:tblGrid>
        <w:gridCol w:w="9019"/>
      </w:tblGrid>
      <w:tr w:rsidR="00000000" w14:paraId="79C7F858" w14:textId="77777777">
        <w:trPr>
          <w:divId w:val="953290302"/>
        </w:trPr>
        <w:tc>
          <w:tcPr>
            <w:tcW w:w="0" w:type="auto"/>
            <w:tcBorders>
              <w:top w:val="single" w:sz="6" w:space="0" w:color="D5D0C5"/>
              <w:left w:val="single" w:sz="36" w:space="0" w:color="4A3B6B"/>
              <w:bottom w:val="single" w:sz="6" w:space="0" w:color="D5D0C5"/>
              <w:right w:val="single" w:sz="6" w:space="0" w:color="D5D0C5"/>
            </w:tcBorders>
            <w:shd w:val="clear" w:color="auto" w:fill="EDE9F5"/>
            <w:tcMar>
              <w:top w:w="200" w:type="dxa"/>
              <w:left w:w="280" w:type="dxa"/>
              <w:bottom w:w="200" w:type="dxa"/>
              <w:right w:w="280" w:type="dxa"/>
            </w:tcMar>
            <w:hideMark/>
          </w:tcPr>
          <w:p w14:paraId="1A7AF2F9" w14:textId="77777777" w:rsidR="009650FE" w:rsidRDefault="009650FE">
            <w:pPr>
              <w:spacing w:before="240" w:after="240"/>
              <w:rPr>
                <w:rFonts w:eastAsia="Times New Roman"/>
                <w:szCs w:val="22"/>
              </w:rPr>
            </w:pPr>
            <w:r>
              <w:rPr>
                <w:rStyle w:val="Zwaar"/>
                <w:rFonts w:eastAsia="Times New Roman"/>
                <w:szCs w:val="22"/>
              </w:rPr>
              <w:t>For anyone in the same situation:</w:t>
            </w:r>
            <w:r>
              <w:rPr>
                <w:rFonts w:eastAsia="Times New Roman"/>
                <w:szCs w:val="22"/>
              </w:rPr>
              <w:t xml:space="preserve"> have you received a decision from the Federal Disability Service with which you disagree? Visit the website </w:t>
            </w:r>
            <w:r>
              <w:rPr>
                <w:rStyle w:val="Nadruk"/>
                <w:rFonts w:eastAsia="Times New Roman"/>
                <w:szCs w:val="22"/>
              </w:rPr>
              <w:t>handicap.belgium.be</w:t>
            </w:r>
            <w:r>
              <w:rPr>
                <w:rFonts w:eastAsia="Times New Roman"/>
                <w:szCs w:val="22"/>
              </w:rPr>
              <w:t xml:space="preserve"> under ‘Request a review’. Four scenarios are described. Choose the one that applies to you, submit your application in writing within three months, and ask your GP for a supporting letter. This is not a court case — it is a request for a review.</w:t>
            </w:r>
            <w:r>
              <w:rPr>
                <w:rFonts w:eastAsia="Times New Roman"/>
                <w:szCs w:val="22"/>
              </w:rPr>
              <w:br/>
            </w:r>
            <w:r>
              <w:rPr>
                <w:rFonts w:eastAsia="Times New Roman"/>
                <w:szCs w:val="22"/>
              </w:rPr>
              <w:br/>
              <w:t>Please note: the statutory time limit for taking your case to the employment tribunal remains three months. If in doubt, seek legal advi</w:t>
            </w:r>
            <w:r>
              <w:rPr>
                <w:rFonts w:eastAsia="Times New Roman"/>
                <w:szCs w:val="22"/>
              </w:rPr>
              <w:t xml:space="preserve">ce before this time limit expires. </w:t>
            </w:r>
          </w:p>
        </w:tc>
      </w:tr>
    </w:tbl>
    <w:p w14:paraId="078F4986" w14:textId="77777777" w:rsidR="009650FE" w:rsidRDefault="009650FE">
      <w:pPr>
        <w:pStyle w:val="noot"/>
        <w:spacing w:after="120" w:afterAutospacing="0"/>
        <w:divId w:val="953290302"/>
        <w:rPr>
          <w:lang w:val="en-GB"/>
        </w:rPr>
      </w:pPr>
      <w:r>
        <w:rPr>
          <w:lang w:val="en-GB"/>
        </w:rPr>
        <w:t>The information in this chapter is based on the official page ‘Applying for a reopening’ of the FPS Social Security (DG People with Disabilities), last updated on 15 September 2025. The legal basis and the procedure can be found at handicap.belgium.be. This chapter does not constitute legal advice; if in doubt, consult a specialist service or a solicitor.</w:t>
      </w:r>
    </w:p>
    <w:p w14:paraId="10C09A9C" w14:textId="77777777" w:rsidR="009650FE" w:rsidRDefault="009650FE">
      <w:pPr>
        <w:pStyle w:val="marker"/>
        <w:ind w:left="800" w:right="800"/>
        <w:divId w:val="953290302"/>
        <w:rPr>
          <w:lang w:val="en-GB"/>
        </w:rPr>
      </w:pPr>
      <w:r>
        <w:br w:type="page"/>
      </w:r>
    </w:p>
    <w:p w14:paraId="03670554" w14:textId="77777777" w:rsidR="009650FE" w:rsidRDefault="009650FE">
      <w:pPr>
        <w:pStyle w:val="Kop2"/>
        <w:divId w:val="953290302"/>
        <w:rPr>
          <w:rFonts w:eastAsia="Times New Roman"/>
          <w:lang w:val="en-GB"/>
        </w:rPr>
      </w:pPr>
      <w:bookmarkStart w:id="49" w:name="_Toc242103187"/>
      <w:r>
        <w:rPr>
          <w:rFonts w:eastAsia="Times New Roman"/>
          <w:lang w:val="en-GB"/>
        </w:rPr>
        <w:t>The CM and the flow of funds</w:t>
      </w:r>
      <w:bookmarkEnd w:id="49"/>
    </w:p>
    <w:p w14:paraId="22441201" w14:textId="77777777" w:rsidR="009650FE" w:rsidRDefault="009650FE">
      <w:pPr>
        <w:pStyle w:val="lead"/>
        <w:divId w:val="953290302"/>
        <w:rPr>
          <w:lang w:val="en-GB"/>
        </w:rPr>
      </w:pPr>
      <w:r>
        <w:rPr>
          <w:lang w:val="en-GB"/>
        </w:rPr>
        <w:t>The health insurance fund is not a bank with a single account. It is an organisation with three separate streams of funding: compulsory health insurance, the CM package of services and benefits, and optional insurance schemes. The first stream comes from the government via the RSZ. The second from membership fees. The third from separate premiums. And each of these streams feeds a different department. This chapter explains where the money comes from, why one branch works and another does not, and who can u</w:t>
      </w:r>
      <w:r>
        <w:rPr>
          <w:lang w:val="en-GB"/>
        </w:rPr>
        <w:t>ltimately intervene when the CM refuses.</w:t>
      </w:r>
    </w:p>
    <w:p w14:paraId="28736377" w14:textId="77777777" w:rsidR="009650FE" w:rsidRDefault="009650FE">
      <w:pPr>
        <w:pStyle w:val="Kop3"/>
        <w:divId w:val="953290302"/>
        <w:rPr>
          <w:rFonts w:eastAsia="Times New Roman"/>
          <w:lang w:val="en-GB"/>
        </w:rPr>
      </w:pPr>
      <w:bookmarkStart w:id="50" w:name="_Toc242103188"/>
      <w:r>
        <w:rPr>
          <w:rFonts w:eastAsia="Times New Roman"/>
          <w:lang w:val="en-GB"/>
        </w:rPr>
        <w:t>Part A — The three funding streams</w:t>
      </w:r>
      <w:bookmarkEnd w:id="50"/>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142595CA" w14:textId="77777777">
        <w:trPr>
          <w:divId w:val="953290302"/>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6DBBA16C" w14:textId="77777777" w:rsidR="009650FE" w:rsidRDefault="009650FE">
            <w:pPr>
              <w:pStyle w:val="Normaalweb"/>
              <w:spacing w:before="120"/>
              <w:jc w:val="center"/>
              <w:rPr>
                <w:sz w:val="21"/>
                <w:szCs w:val="21"/>
              </w:rPr>
            </w:pPr>
            <w:r>
              <w:rPr>
                <w:noProof/>
                <w:sz w:val="21"/>
                <w:szCs w:val="21"/>
              </w:rPr>
              <w:drawing>
                <wp:inline distT="0" distB="0" distL="0" distR="0" wp14:anchorId="3B32FF7D" wp14:editId="379C227A">
                  <wp:extent cx="3810000" cy="1784350"/>
                  <wp:effectExtent l="0" t="0" r="0" b="6350"/>
                  <wp:docPr id="28" name="Afbeelding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3810000" cy="1784350"/>
                          </a:xfrm>
                          <a:prstGeom prst="rect">
                            <a:avLst/>
                          </a:prstGeom>
                          <a:noFill/>
                          <a:ln>
                            <a:noFill/>
                          </a:ln>
                        </pic:spPr>
                      </pic:pic>
                    </a:graphicData>
                  </a:graphic>
                </wp:inline>
              </w:drawing>
            </w:r>
          </w:p>
          <w:p w14:paraId="522C9A3A" w14:textId="77777777" w:rsidR="009650FE" w:rsidRDefault="009650FE">
            <w:pPr>
              <w:pStyle w:val="caption"/>
              <w:spacing w:after="120" w:afterAutospacing="0"/>
            </w:pPr>
            <w:r>
              <w:rPr>
                <w:rStyle w:val="Zwaar"/>
              </w:rPr>
              <w:t>Figure XIV.1 — The three funding streams.</w:t>
            </w:r>
            <w:r>
              <w:t xml:space="preserve"> Compulsory health insurance is funded by social security contributions and taxes, administered by the NIHDI, and delivered by the health insurance funds. CM services and benefits are funded by membership fees. Voluntary insurance schemes are funded by separate premiums. Each of the three funding streams feeds a different service.</w:t>
            </w:r>
          </w:p>
        </w:tc>
      </w:tr>
    </w:tbl>
    <w:p w14:paraId="00F01D62" w14:textId="77777777" w:rsidR="009650FE" w:rsidRDefault="009650FE">
      <w:pPr>
        <w:pStyle w:val="Kop3"/>
        <w:divId w:val="953290302"/>
        <w:rPr>
          <w:rFonts w:eastAsia="Times New Roman"/>
          <w:lang w:val="en-GB"/>
        </w:rPr>
      </w:pPr>
      <w:bookmarkStart w:id="51" w:name="_Toc242103189"/>
      <w:r>
        <w:rPr>
          <w:rFonts w:eastAsia="Times New Roman"/>
          <w:lang w:val="en-GB"/>
        </w:rPr>
        <w:t>Part B — Social Security contributions and their allocation</w:t>
      </w:r>
      <w:bookmarkEnd w:id="51"/>
    </w:p>
    <w:p w14:paraId="16A3F885" w14:textId="77777777" w:rsidR="009650FE" w:rsidRDefault="009650FE">
      <w:pPr>
        <w:pStyle w:val="Normaalweb"/>
        <w:divId w:val="953290302"/>
        <w:rPr>
          <w:lang w:val="en-GB"/>
        </w:rPr>
      </w:pPr>
      <w:r>
        <w:rPr>
          <w:lang w:val="en-GB"/>
        </w:rPr>
        <w:t>Compulsory health insurance is not paid directly by the CM. The employer deducts a portion of the wages and pays it to the National Social Security Office (RSZ). The RSZ distributes the money amongst the various social security branches. There are two separate branches for health insurance:</w:t>
      </w:r>
    </w:p>
    <w:p w14:paraId="2B81B779" w14:textId="77777777" w:rsidR="009650FE" w:rsidRDefault="009650FE">
      <w:pPr>
        <w:numPr>
          <w:ilvl w:val="0"/>
          <w:numId w:val="10"/>
        </w:numPr>
        <w:spacing w:before="100" w:beforeAutospacing="1" w:after="100" w:afterAutospacing="1"/>
        <w:divId w:val="953290302"/>
        <w:rPr>
          <w:rFonts w:eastAsia="Times New Roman"/>
          <w:lang w:val="en-GB"/>
        </w:rPr>
      </w:pPr>
      <w:r>
        <w:rPr>
          <w:rStyle w:val="Zwaar"/>
          <w:rFonts w:eastAsia="Times New Roman"/>
          <w:lang w:val="en-GB"/>
        </w:rPr>
        <w:t>Medical care</w:t>
      </w:r>
      <w:r>
        <w:rPr>
          <w:rFonts w:eastAsia="Times New Roman"/>
          <w:lang w:val="en-GB"/>
        </w:rPr>
        <w:t xml:space="preserve"> — reimbursement for medical services, medicines, medical aids and private healthcare agreements. Employee contribution rate: approximately 3.55 per cent of gross pay.</w:t>
      </w:r>
    </w:p>
    <w:p w14:paraId="2A6861EE" w14:textId="77777777" w:rsidR="009650FE" w:rsidRDefault="009650FE">
      <w:pPr>
        <w:numPr>
          <w:ilvl w:val="0"/>
          <w:numId w:val="10"/>
        </w:numPr>
        <w:spacing w:before="100" w:beforeAutospacing="1" w:after="100" w:afterAutospacing="1"/>
        <w:divId w:val="953290302"/>
        <w:rPr>
          <w:rFonts w:eastAsia="Times New Roman"/>
          <w:lang w:val="en-GB"/>
        </w:rPr>
      </w:pPr>
      <w:r>
        <w:rPr>
          <w:rStyle w:val="Zwaar"/>
          <w:rFonts w:eastAsia="Times New Roman"/>
          <w:lang w:val="en-GB"/>
        </w:rPr>
        <w:t>Benefits</w:t>
      </w:r>
      <w:r>
        <w:rPr>
          <w:rFonts w:eastAsia="Times New Roman"/>
          <w:lang w:val="en-GB"/>
        </w:rPr>
        <w:t xml:space="preserve"> — sickness and disability benefits in the event of incapacity for work. Employee contribution rate: approximately 1.15 per cent of gross pay.</w:t>
      </w:r>
    </w:p>
    <w:p w14:paraId="0181B5CD" w14:textId="77777777" w:rsidR="009650FE" w:rsidRDefault="009650FE">
      <w:pPr>
        <w:pStyle w:val="Normaalweb"/>
        <w:divId w:val="953290302"/>
        <w:rPr>
          <w:lang w:val="en-GB"/>
        </w:rPr>
      </w:pPr>
      <w:r>
        <w:rPr>
          <w:lang w:val="en-GB"/>
        </w:rPr>
        <w:t>The NIHDI receives the total budget and allocates it amongst the health insurance funds. Each health insurance fund receives a budget based on the number of members and their profile. The health insurance fund uses this budget to pay for services provided to its members. The health insurance fund receives a separate reimbursement to cover administrative costs.</w:t>
      </w:r>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70EF1E7A" w14:textId="77777777">
        <w:trPr>
          <w:divId w:val="953290302"/>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68283C7E" w14:textId="77777777" w:rsidR="009650FE" w:rsidRDefault="009650FE">
            <w:pPr>
              <w:pStyle w:val="Normaalweb"/>
              <w:spacing w:before="120"/>
              <w:jc w:val="center"/>
              <w:rPr>
                <w:sz w:val="21"/>
                <w:szCs w:val="21"/>
              </w:rPr>
            </w:pPr>
            <w:r>
              <w:rPr>
                <w:noProof/>
                <w:sz w:val="21"/>
                <w:szCs w:val="21"/>
              </w:rPr>
              <w:drawing>
                <wp:inline distT="0" distB="0" distL="0" distR="0" wp14:anchorId="090BD4A4" wp14:editId="3B86A607">
                  <wp:extent cx="3810000" cy="1314450"/>
                  <wp:effectExtent l="0" t="0" r="0" b="0"/>
                  <wp:docPr id="29" name="Afbeelding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810000" cy="1314450"/>
                          </a:xfrm>
                          <a:prstGeom prst="rect">
                            <a:avLst/>
                          </a:prstGeom>
                          <a:noFill/>
                          <a:ln>
                            <a:noFill/>
                          </a:ln>
                        </pic:spPr>
                      </pic:pic>
                    </a:graphicData>
                  </a:graphic>
                </wp:inline>
              </w:drawing>
            </w:r>
          </w:p>
          <w:p w14:paraId="6AA5AD1D" w14:textId="77777777" w:rsidR="009650FE" w:rsidRDefault="009650FE">
            <w:pPr>
              <w:pStyle w:val="caption"/>
              <w:spacing w:after="120" w:afterAutospacing="0"/>
            </w:pPr>
            <w:r>
              <w:rPr>
                <w:rStyle w:val="Zwaar"/>
              </w:rPr>
              <w:t>Figure XIV.2 — The path from wages to healthcare.</w:t>
            </w:r>
            <w:r>
              <w:t xml:space="preserve"> The employer deducts the RSZ contribution from wages. The RSZ pays the funds to the NIHDI. The NIHDI distributes the funds amongst the health insurance funds. The health insurance fund makes payments from two categories: medical care and benefits.</w:t>
            </w:r>
          </w:p>
        </w:tc>
      </w:tr>
    </w:tbl>
    <w:p w14:paraId="20713292" w14:textId="77777777" w:rsidR="009650FE" w:rsidRDefault="009650FE">
      <w:pPr>
        <w:pStyle w:val="Kop3"/>
        <w:divId w:val="953290302"/>
        <w:rPr>
          <w:rFonts w:eastAsia="Times New Roman"/>
          <w:lang w:val="en-GB"/>
        </w:rPr>
      </w:pPr>
      <w:bookmarkStart w:id="52" w:name="_Toc242103190"/>
      <w:r>
        <w:rPr>
          <w:rFonts w:eastAsia="Times New Roman"/>
          <w:lang w:val="en-GB"/>
        </w:rPr>
        <w:t>Part C — Why assistive devices are covered but benefits are not</w:t>
      </w:r>
      <w:bookmarkEnd w:id="52"/>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258D290F" w14:textId="77777777">
        <w:trPr>
          <w:divId w:val="953290302"/>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31ADD572" w14:textId="77777777" w:rsidR="009650FE" w:rsidRDefault="009650FE">
            <w:pPr>
              <w:pStyle w:val="Normaalweb"/>
              <w:spacing w:before="120"/>
              <w:jc w:val="center"/>
              <w:rPr>
                <w:sz w:val="21"/>
                <w:szCs w:val="21"/>
              </w:rPr>
            </w:pPr>
            <w:r>
              <w:rPr>
                <w:noProof/>
                <w:sz w:val="21"/>
                <w:szCs w:val="21"/>
              </w:rPr>
              <w:drawing>
                <wp:inline distT="0" distB="0" distL="0" distR="0" wp14:anchorId="00B2181E" wp14:editId="64B98094">
                  <wp:extent cx="3810000" cy="1974850"/>
                  <wp:effectExtent l="0" t="0" r="0" b="6350"/>
                  <wp:docPr id="30" name="Afbeelding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3810000" cy="1974850"/>
                          </a:xfrm>
                          <a:prstGeom prst="rect">
                            <a:avLst/>
                          </a:prstGeom>
                          <a:noFill/>
                          <a:ln>
                            <a:noFill/>
                          </a:ln>
                        </pic:spPr>
                      </pic:pic>
                    </a:graphicData>
                  </a:graphic>
                </wp:inline>
              </w:drawing>
            </w:r>
          </w:p>
          <w:p w14:paraId="74E2380C" w14:textId="77777777" w:rsidR="009650FE" w:rsidRDefault="009650FE">
            <w:pPr>
              <w:pStyle w:val="caption"/>
              <w:spacing w:after="120" w:afterAutospacing="0"/>
            </w:pPr>
            <w:r>
              <w:rPr>
                <w:rStyle w:val="Zwaar"/>
              </w:rPr>
              <w:t>Figure XIV.3 — Two branches, two sets of criteria.</w:t>
            </w:r>
            <w:r>
              <w:t xml:space="preserve"> The healthcare branch operates on the basis of objective, measurable performance. The benefits branch operates on the basis of subjective assessments and national criteria. The same institution, the same National Social Security Fund (RSZ) contribution, but a fundamentally different logic — and therefore a fundamentally different outcome.</w:t>
            </w:r>
          </w:p>
        </w:tc>
      </w:tr>
    </w:tbl>
    <w:p w14:paraId="336CF24D" w14:textId="77777777" w:rsidR="009650FE" w:rsidRDefault="009650FE">
      <w:pPr>
        <w:pStyle w:val="Kop3"/>
        <w:divId w:val="953290302"/>
        <w:rPr>
          <w:rFonts w:eastAsia="Times New Roman"/>
          <w:lang w:val="en-GB"/>
        </w:rPr>
      </w:pPr>
      <w:bookmarkStart w:id="53" w:name="_Toc242103191"/>
      <w:r>
        <w:rPr>
          <w:rFonts w:eastAsia="Times New Roman"/>
          <w:lang w:val="en-GB"/>
        </w:rPr>
        <w:t>Part D — The CDZ as a supervisory authority</w:t>
      </w:r>
      <w:bookmarkEnd w:id="53"/>
    </w:p>
    <w:p w14:paraId="7598433E" w14:textId="77777777" w:rsidR="009650FE" w:rsidRDefault="009650FE">
      <w:pPr>
        <w:pStyle w:val="Normaalweb"/>
        <w:divId w:val="953290302"/>
        <w:rPr>
          <w:lang w:val="en-GB"/>
        </w:rPr>
      </w:pPr>
      <w:r>
        <w:rPr>
          <w:lang w:val="en-GB"/>
        </w:rPr>
        <w:t>The Health Insurance Funds Supervisory Authority (CDZ) oversees the CM as a whole — including compulsory insurance, supplementary services and optional insurance schemes. The CDZ audits the accounts, monitors compliance with financial rules and ensures the correct application of statutory provisions. It may issue recommendations to the Minister and approve amendments to the articles of association.</w:t>
      </w:r>
    </w:p>
    <w:p w14:paraId="6D58A878" w14:textId="77777777" w:rsidR="009650FE" w:rsidRDefault="009650FE">
      <w:pPr>
        <w:pStyle w:val="Normaalweb"/>
        <w:divId w:val="953290302"/>
        <w:rPr>
          <w:lang w:val="en-GB"/>
        </w:rPr>
      </w:pPr>
      <w:r>
        <w:rPr>
          <w:lang w:val="en-GB"/>
        </w:rPr>
        <w:t>What the CDZ does not do: settle individual disputes. The CDZ is an administrative supervisory body, not a dispute resolution body. It can investigate the structural functioning of the health insurance fund, but cannot review a decision in an individual case. It is not an appeals body.</w:t>
      </w:r>
    </w:p>
    <w:p w14:paraId="7D43E2AD" w14:textId="77777777" w:rsidR="009650FE" w:rsidRDefault="009650FE">
      <w:pPr>
        <w:pStyle w:val="Kop3"/>
        <w:divId w:val="953290302"/>
        <w:rPr>
          <w:rFonts w:eastAsia="Times New Roman"/>
          <w:lang w:val="en-GB"/>
        </w:rPr>
      </w:pPr>
      <w:bookmarkStart w:id="54" w:name="_Toc242103192"/>
      <w:r>
        <w:rPr>
          <w:rFonts w:eastAsia="Times New Roman"/>
          <w:lang w:val="en-GB"/>
        </w:rPr>
        <w:t>Part E — The Labour Audit Office: who monitors the monitor?</w:t>
      </w:r>
      <w:bookmarkEnd w:id="54"/>
    </w:p>
    <w:p w14:paraId="305BF405" w14:textId="77777777" w:rsidR="009650FE" w:rsidRDefault="009650FE">
      <w:pPr>
        <w:pStyle w:val="Normaalweb"/>
        <w:divId w:val="953290302"/>
        <w:rPr>
          <w:lang w:val="en-GB"/>
        </w:rPr>
      </w:pPr>
      <w:r>
        <w:rPr>
          <w:lang w:val="en-GB"/>
        </w:rPr>
        <w:t>When an implementing body systematically disregards the law, there is a judicial body in Belgium which, in theory, can intervene: the Labour Audit Office, the public prosecutor’s office attached to the labour courts. It is responsible for enforcing social security legislation and can take action when an organisation fails to comply with the law.</w:t>
      </w:r>
    </w:p>
    <w:p w14:paraId="52AD3051" w14:textId="77777777" w:rsidR="009650FE" w:rsidRDefault="009650FE">
      <w:pPr>
        <w:pStyle w:val="Normaalweb"/>
        <w:divId w:val="953290302"/>
        <w:rPr>
          <w:lang w:val="en-GB"/>
        </w:rPr>
      </w:pPr>
      <w:r>
        <w:rPr>
          <w:lang w:val="en-GB"/>
        </w:rPr>
        <w:t>On 10 September 2026, a formal report was submitted to the Ghent Labour Inspectorate in this case. The report concerned systemic procedural errors at the CM, a breach of the European Coordination Regulation, and a failure to comply with NIHDI guidelines. The full timeline and the medical certificate for tax purposes were attached as supporting documents.</w:t>
      </w:r>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3222EBCA" w14:textId="77777777">
        <w:trPr>
          <w:divId w:val="953290302"/>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59237EB9" w14:textId="77777777" w:rsidR="009650FE" w:rsidRDefault="009650FE">
            <w:pPr>
              <w:pStyle w:val="Normaalweb"/>
              <w:spacing w:before="120"/>
              <w:jc w:val="center"/>
              <w:rPr>
                <w:sz w:val="21"/>
                <w:szCs w:val="21"/>
              </w:rPr>
            </w:pPr>
            <w:r>
              <w:rPr>
                <w:noProof/>
                <w:sz w:val="21"/>
                <w:szCs w:val="21"/>
              </w:rPr>
              <w:drawing>
                <wp:inline distT="0" distB="0" distL="0" distR="0" wp14:anchorId="6CD1DC5E" wp14:editId="7B7F7BB3">
                  <wp:extent cx="3810000" cy="1181100"/>
                  <wp:effectExtent l="0" t="0" r="0" b="0"/>
                  <wp:docPr id="31" name="Afbeelding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3810000" cy="1181100"/>
                          </a:xfrm>
                          <a:prstGeom prst="rect">
                            <a:avLst/>
                          </a:prstGeom>
                          <a:noFill/>
                          <a:ln>
                            <a:noFill/>
                          </a:ln>
                        </pic:spPr>
                      </pic:pic>
                    </a:graphicData>
                  </a:graphic>
                </wp:inline>
              </w:drawing>
            </w:r>
          </w:p>
          <w:p w14:paraId="41C15D3E" w14:textId="77777777" w:rsidR="009650FE" w:rsidRDefault="009650FE">
            <w:pPr>
              <w:pStyle w:val="caption"/>
              <w:spacing w:after="120" w:afterAutospacing="0"/>
            </w:pPr>
            <w:r>
              <w:rPr>
                <w:rStyle w:val="Zwaar"/>
              </w:rPr>
              <w:t>Figure XIV.4 — The Labour Audit Office.</w:t>
            </w:r>
            <w:r>
              <w:t xml:space="preserve"> The report reaches the Labour Audit Office on 10 September 2026. The response comes one day later: the body declares that it has no jurisdiction and classifies the structural deadlock as a civil dispute. The citizen is referred to the employment tribunal, the slowest route.</w:t>
            </w:r>
          </w:p>
        </w:tc>
      </w:tr>
    </w:tbl>
    <w:p w14:paraId="00BC7D2D" w14:textId="77777777" w:rsidR="009650FE" w:rsidRDefault="009650FE">
      <w:pPr>
        <w:pStyle w:val="Normaalweb"/>
        <w:divId w:val="953290302"/>
        <w:rPr>
          <w:lang w:val="en-GB"/>
        </w:rPr>
      </w:pPr>
      <w:r>
        <w:rPr>
          <w:lang w:val="en-GB"/>
        </w:rPr>
        <w:t>What the Labour Inspectorate is doing here is the same as what the CDZ does: passing the buck on the issue of responsibility. The body that is supposed to intervene in the event of a breach of social legislation classifies the dispute as a private matter. And the public is left with one less body to turn to.</w:t>
      </w:r>
    </w:p>
    <w:p w14:paraId="5A1AE430" w14:textId="77777777" w:rsidR="009650FE" w:rsidRDefault="009650FE">
      <w:pPr>
        <w:pStyle w:val="Kop3"/>
        <w:divId w:val="953290302"/>
        <w:rPr>
          <w:rFonts w:eastAsia="Times New Roman"/>
          <w:lang w:val="en-GB"/>
        </w:rPr>
      </w:pPr>
      <w:bookmarkStart w:id="55" w:name="_Toc242103193"/>
      <w:r>
        <w:rPr>
          <w:rFonts w:eastAsia="Times New Roman"/>
          <w:lang w:val="en-GB"/>
        </w:rPr>
        <w:t>Part F — The Medical Council: disciplinary proceedings against the medical adviser</w:t>
      </w:r>
      <w:bookmarkEnd w:id="55"/>
    </w:p>
    <w:p w14:paraId="54B0F229" w14:textId="77777777" w:rsidR="009650FE" w:rsidRDefault="009650FE">
      <w:pPr>
        <w:pStyle w:val="Normaalweb"/>
        <w:divId w:val="953290302"/>
        <w:rPr>
          <w:lang w:val="en-GB"/>
        </w:rPr>
      </w:pPr>
      <w:r>
        <w:rPr>
          <w:lang w:val="en-GB"/>
        </w:rPr>
        <w:t>The Medical Council is the statutory body responsible for upholding medical ethics and exercising disciplinary authority over individual doctors. It can investigate complaints and impose disciplinary sanctions — ranging from a warning to striking off the register of doctors — but has no authority over administrative decisions made by institutions or over algorithmic processes within a health insurance fund.</w:t>
      </w:r>
    </w:p>
    <w:p w14:paraId="2346E357" w14:textId="77777777" w:rsidR="009650FE" w:rsidRDefault="009650FE">
      <w:pPr>
        <w:pStyle w:val="Normaalweb"/>
        <w:divId w:val="953290302"/>
        <w:rPr>
          <w:lang w:val="en-GB"/>
        </w:rPr>
      </w:pPr>
      <w:r>
        <w:rPr>
          <w:lang w:val="en-GB"/>
        </w:rPr>
        <w:t>In this case, a complaint was lodged with the Provincial Council of Antwerp on 19 September 2026 regarding the conduct of the CM’s medical adviser. The complaint concerns the issuing of conflicting decisions bearing a visually identical signature, without traceable access to the current medical file. The question is whether this practice is ethically compatible with the independent practice of medicine.</w:t>
      </w:r>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21E018C0" w14:textId="77777777">
        <w:trPr>
          <w:divId w:val="953290302"/>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718C4F47" w14:textId="77777777" w:rsidR="009650FE" w:rsidRDefault="009650FE">
            <w:pPr>
              <w:pStyle w:val="Normaalweb"/>
              <w:spacing w:before="120"/>
              <w:jc w:val="center"/>
              <w:rPr>
                <w:sz w:val="21"/>
                <w:szCs w:val="21"/>
              </w:rPr>
            </w:pPr>
            <w:r>
              <w:rPr>
                <w:noProof/>
                <w:sz w:val="21"/>
                <w:szCs w:val="21"/>
              </w:rPr>
              <w:drawing>
                <wp:inline distT="0" distB="0" distL="0" distR="0" wp14:anchorId="785982A3" wp14:editId="20EE92B9">
                  <wp:extent cx="3810000" cy="1454150"/>
                  <wp:effectExtent l="0" t="0" r="0" b="0"/>
                  <wp:docPr id="32" name="Afbeelding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3810000" cy="1454150"/>
                          </a:xfrm>
                          <a:prstGeom prst="rect">
                            <a:avLst/>
                          </a:prstGeom>
                          <a:noFill/>
                          <a:ln>
                            <a:noFill/>
                          </a:ln>
                        </pic:spPr>
                      </pic:pic>
                    </a:graphicData>
                  </a:graphic>
                </wp:inline>
              </w:drawing>
            </w:r>
          </w:p>
          <w:p w14:paraId="2ECA4C5B" w14:textId="77777777" w:rsidR="009650FE" w:rsidRDefault="009650FE">
            <w:pPr>
              <w:pStyle w:val="caption"/>
              <w:spacing w:after="120" w:afterAutospacing="0"/>
            </w:pPr>
            <w:r>
              <w:rPr>
                <w:rStyle w:val="Zwaar"/>
              </w:rPr>
              <w:t>Figure XIV.5 — The Medical Council.</w:t>
            </w:r>
            <w:r>
              <w:t xml:space="preserve"> Disciplinary proceedings may affect the individual doctor, but not the framework that produces the decision. Even a well-founded complaint does not alter the outcome for the patient, as the health insurance fund replaces the doctor and the algorithm remains unchanged.</w:t>
            </w:r>
          </w:p>
        </w:tc>
      </w:tr>
    </w:tbl>
    <w:p w14:paraId="2D22417D" w14:textId="77777777" w:rsidR="009650FE" w:rsidRDefault="009650FE">
      <w:pPr>
        <w:pStyle w:val="Kop3"/>
        <w:divId w:val="953290302"/>
        <w:rPr>
          <w:rFonts w:eastAsia="Times New Roman"/>
          <w:lang w:val="en-GB"/>
        </w:rPr>
      </w:pPr>
      <w:bookmarkStart w:id="56" w:name="_Toc242103194"/>
      <w:r>
        <w:rPr>
          <w:rFonts w:eastAsia="Times New Roman"/>
          <w:lang w:val="en-GB"/>
        </w:rPr>
        <w:t>Part G — What this chapter sets out</w:t>
      </w:r>
      <w:bookmarkEnd w:id="56"/>
    </w:p>
    <w:p w14:paraId="163713AE" w14:textId="77777777" w:rsidR="009650FE" w:rsidRDefault="009650FE">
      <w:pPr>
        <w:pStyle w:val="Normaalweb"/>
        <w:divId w:val="953290302"/>
        <w:rPr>
          <w:lang w:val="en-GB"/>
        </w:rPr>
      </w:pPr>
      <w:r>
        <w:rPr>
          <w:lang w:val="en-GB"/>
        </w:rPr>
        <w:t>The question of why medical aids are covered but benefits are not has a structural explanation. The CM carries out two legally distinct tasks within the compulsory health insurance scheme. One task is based on measurable outcomes and fixed rates. The other is based on subjective assessments and national criteria.</w:t>
      </w:r>
    </w:p>
    <w:p w14:paraId="59FAC7AF" w14:textId="77777777" w:rsidR="009650FE" w:rsidRDefault="009650FE">
      <w:pPr>
        <w:pStyle w:val="Normaalweb"/>
        <w:divId w:val="953290302"/>
        <w:rPr>
          <w:lang w:val="en-GB"/>
        </w:rPr>
      </w:pPr>
      <w:r>
        <w:rPr>
          <w:lang w:val="en-GB"/>
        </w:rPr>
        <w:t>There are therefore two different systems within the same organisation. When it comes to medical care, the CM does not need to assess an individual — it simply pays the bill. For benefits, however, it must assess whether someone is unfit for work, and that assessment is subject to conditions laid down by law. For a cross-border worker, these conditions are problematic, as they are based on national reference periods and residence requirements.</w:t>
      </w:r>
    </w:p>
    <w:p w14:paraId="04CB7DBD" w14:textId="77777777" w:rsidR="009650FE" w:rsidRDefault="009650FE">
      <w:pPr>
        <w:pStyle w:val="Normaalweb"/>
        <w:divId w:val="953290302"/>
        <w:rPr>
          <w:lang w:val="en-GB"/>
        </w:rPr>
      </w:pPr>
      <w:r>
        <w:rPr>
          <w:lang w:val="en-GB"/>
        </w:rPr>
        <w:t>And when the CM refuses, the two supervisory bodies — the CDZ and the Labour Inspectorate — do not consider themselves competent to deal with individual cases. The Medical Council can only take action against the individual doctor, not the system that drives the decision. This conclusion is not an accusation of bad faith. It is simply an observation that the system does not assign responsibility for the whole to any single body. Each body carries out its own part. And no single body bears responsibility for</w:t>
      </w:r>
      <w:r>
        <w:rPr>
          <w:lang w:val="en-GB"/>
        </w:rPr>
        <w:t xml:space="preserve"> the whole.</w:t>
      </w:r>
    </w:p>
    <w:p w14:paraId="0DA36420" w14:textId="77777777" w:rsidR="009650FE" w:rsidRDefault="009650FE">
      <w:pPr>
        <w:pStyle w:val="noot"/>
        <w:spacing w:after="120" w:afterAutospacing="0"/>
        <w:divId w:val="953290302"/>
        <w:rPr>
          <w:lang w:val="en-GB"/>
        </w:rPr>
      </w:pPr>
      <w:r>
        <w:rPr>
          <w:lang w:val="en-GB"/>
        </w:rPr>
        <w:t>All organisations in this chapter are legal entities. Natural persons are identified by their role or their symbol (</w:t>
      </w:r>
      <w:r>
        <w:rPr>
          <w:rFonts w:ascii="Segoe UI Symbol" w:hAnsi="Segoe UI Symbol" w:cs="Segoe UI Symbol"/>
          <w:lang w:val="en-GB"/>
        </w:rPr>
        <w:t>♂</w:t>
      </w:r>
      <w:r>
        <w:rPr>
          <w:lang w:val="en-GB"/>
        </w:rPr>
        <w:t xml:space="preserve">, </w:t>
      </w:r>
      <w:r>
        <w:rPr>
          <w:rFonts w:ascii="Segoe UI Symbol" w:hAnsi="Segoe UI Symbol" w:cs="Segoe UI Symbol"/>
          <w:lang w:val="en-GB"/>
        </w:rPr>
        <w:t>♀</w:t>
      </w:r>
      <w:r>
        <w:rPr>
          <w:lang w:val="en-GB"/>
        </w:rPr>
        <w:t>). The information on funding is based on official communications from the CM, the NIHDI and the CDZ. The procedural information concerning the Labour Inspectorate and the Medical Council is based on Document B and public sources. This chapter does not constitute legal or financial advice.</w:t>
      </w:r>
    </w:p>
    <w:p w14:paraId="1067191C" w14:textId="77777777" w:rsidR="009650FE" w:rsidRDefault="009650FE">
      <w:pPr>
        <w:pStyle w:val="marker"/>
        <w:ind w:left="800" w:right="800"/>
        <w:divId w:val="953290302"/>
        <w:rPr>
          <w:lang w:val="en-GB"/>
        </w:rPr>
      </w:pPr>
      <w:r>
        <w:br w:type="page"/>
      </w:r>
    </w:p>
    <w:p w14:paraId="7BE1D86C" w14:textId="77777777" w:rsidR="009650FE" w:rsidRDefault="009650FE">
      <w:pPr>
        <w:pStyle w:val="Kop1"/>
        <w:divId w:val="953290302"/>
        <w:rPr>
          <w:rFonts w:eastAsia="Times New Roman"/>
          <w:lang w:val="en-GB"/>
        </w:rPr>
      </w:pPr>
      <w:bookmarkStart w:id="57" w:name="_Toc242103195"/>
      <w:r>
        <w:rPr>
          <w:rFonts w:eastAsia="Times New Roman"/>
          <w:lang w:val="en-GB"/>
        </w:rPr>
        <w:t>III. The Netherlands</w:t>
      </w:r>
      <w:bookmarkEnd w:id="57"/>
    </w:p>
    <w:p w14:paraId="2238B17B" w14:textId="77777777" w:rsidR="009650FE" w:rsidRDefault="009650FE">
      <w:pPr>
        <w:pStyle w:val="Kop2"/>
        <w:divId w:val="953290302"/>
        <w:rPr>
          <w:rFonts w:eastAsia="Times New Roman"/>
          <w:lang w:val="en-GB"/>
        </w:rPr>
      </w:pPr>
      <w:bookmarkStart w:id="58" w:name="_Toc242103196"/>
      <w:r>
        <w:rPr>
          <w:rFonts w:eastAsia="Times New Roman"/>
          <w:lang w:val="en-GB"/>
        </w:rPr>
        <w:t>The UWV and the appeals process</w:t>
      </w:r>
      <w:bookmarkEnd w:id="58"/>
    </w:p>
    <w:p w14:paraId="73FD741A" w14:textId="77777777" w:rsidR="009650FE" w:rsidRDefault="009650FE">
      <w:pPr>
        <w:pStyle w:val="lead"/>
        <w:divId w:val="953290302"/>
        <w:rPr>
          <w:lang w:val="en-GB"/>
        </w:rPr>
      </w:pPr>
      <w:r>
        <w:rPr>
          <w:lang w:val="en-GB"/>
        </w:rPr>
        <w:t>The UWV assesses whether a person is unfit for work and whether they are entitled to benefits. What follows is not a single refusal. It is a series of refusals. Each refusal has its own reason, its own procedure and its own outcome. None of the refusals is examined in substance. And NEO, the Belgian equivalent, in turn employs the same tactic in the opposite direction.</w:t>
      </w:r>
    </w:p>
    <w:p w14:paraId="5D5C0108" w14:textId="77777777" w:rsidR="009650FE" w:rsidRDefault="009650FE">
      <w:pPr>
        <w:pStyle w:val="Kop3"/>
        <w:divId w:val="953290302"/>
        <w:rPr>
          <w:rFonts w:eastAsia="Times New Roman"/>
          <w:lang w:val="en-GB"/>
        </w:rPr>
      </w:pPr>
      <w:bookmarkStart w:id="59" w:name="_Toc242103197"/>
      <w:r>
        <w:rPr>
          <w:rFonts w:eastAsia="Times New Roman"/>
          <w:lang w:val="en-GB"/>
        </w:rPr>
        <w:t>Part A — Six rounds at the UWV</w:t>
      </w:r>
      <w:bookmarkEnd w:id="59"/>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510D1486" w14:textId="77777777">
        <w:trPr>
          <w:divId w:val="953290302"/>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2DA065DA" w14:textId="77777777" w:rsidR="009650FE" w:rsidRDefault="009650FE">
            <w:pPr>
              <w:pStyle w:val="Normaalweb"/>
              <w:spacing w:before="120"/>
              <w:jc w:val="center"/>
              <w:rPr>
                <w:sz w:val="21"/>
                <w:szCs w:val="21"/>
              </w:rPr>
            </w:pPr>
            <w:r>
              <w:rPr>
                <w:noProof/>
                <w:sz w:val="21"/>
                <w:szCs w:val="21"/>
              </w:rPr>
              <w:drawing>
                <wp:inline distT="0" distB="0" distL="0" distR="0" wp14:anchorId="14530602" wp14:editId="1B36D0A2">
                  <wp:extent cx="3810000" cy="2286000"/>
                  <wp:effectExtent l="0" t="0" r="0" b="0"/>
                  <wp:docPr id="33" name="Afbeelding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3810000" cy="2286000"/>
                          </a:xfrm>
                          <a:prstGeom prst="rect">
                            <a:avLst/>
                          </a:prstGeom>
                          <a:noFill/>
                          <a:ln>
                            <a:noFill/>
                          </a:ln>
                        </pic:spPr>
                      </pic:pic>
                    </a:graphicData>
                  </a:graphic>
                </wp:inline>
              </w:drawing>
            </w:r>
          </w:p>
          <w:p w14:paraId="7D701CC8" w14:textId="77777777" w:rsidR="009650FE" w:rsidRDefault="009650FE">
            <w:pPr>
              <w:pStyle w:val="caption"/>
              <w:spacing w:after="120" w:afterAutospacing="0"/>
            </w:pPr>
            <w:r>
              <w:rPr>
                <w:rStyle w:val="Zwaar"/>
              </w:rPr>
              <w:t>Figure IX.1 — The six rounds.</w:t>
            </w:r>
            <w:r>
              <w:t xml:space="preserve"> Five applications, two objections, one review. Each round ends with a formal rejection. At no point throughout the entire process is the medical situation assessed in substance, despite five independent medical assessments and hundreds of pages of evidence.</w:t>
            </w:r>
          </w:p>
        </w:tc>
      </w:tr>
    </w:tbl>
    <w:p w14:paraId="7DD939DC" w14:textId="77777777" w:rsidR="009650FE" w:rsidRDefault="009650FE">
      <w:pPr>
        <w:pStyle w:val="Kop3"/>
        <w:divId w:val="953290302"/>
        <w:rPr>
          <w:rFonts w:eastAsia="Times New Roman"/>
          <w:lang w:val="en-GB"/>
        </w:rPr>
      </w:pPr>
      <w:bookmarkStart w:id="60" w:name="_Toc242103198"/>
      <w:r>
        <w:rPr>
          <w:rFonts w:eastAsia="Times New Roman"/>
          <w:lang w:val="en-GB"/>
        </w:rPr>
        <w:t>Part B — NEO and the C4 form</w:t>
      </w:r>
      <w:bookmarkEnd w:id="60"/>
    </w:p>
    <w:p w14:paraId="118D9D51" w14:textId="77777777" w:rsidR="009650FE" w:rsidRDefault="009650FE">
      <w:pPr>
        <w:pStyle w:val="Normaalweb"/>
        <w:divId w:val="953290302"/>
        <w:rPr>
          <w:lang w:val="en-GB"/>
        </w:rPr>
      </w:pPr>
      <w:r>
        <w:rPr>
          <w:lang w:val="en-GB"/>
        </w:rPr>
        <w:t>The UWV is not the only body that blocks the issuance of a career certificate. On the Belgian side, the National Employment Office (NEO) employs a similar tactic, but in relation to teaching careers.</w:t>
      </w:r>
    </w:p>
    <w:p w14:paraId="00D8F197" w14:textId="77777777" w:rsidR="009650FE" w:rsidRDefault="009650FE">
      <w:pPr>
        <w:pStyle w:val="Kop4"/>
        <w:divId w:val="953290302"/>
        <w:rPr>
          <w:rFonts w:eastAsia="Times New Roman"/>
          <w:lang w:val="en-GB"/>
        </w:rPr>
      </w:pPr>
      <w:r>
        <w:rPr>
          <w:rFonts w:eastAsia="Times New Roman"/>
          <w:lang w:val="en-GB"/>
        </w:rPr>
        <w:t>The problem with a career in teaching</w:t>
      </w:r>
    </w:p>
    <w:p w14:paraId="1DB8D412" w14:textId="77777777" w:rsidR="009650FE" w:rsidRDefault="009650FE">
      <w:pPr>
        <w:pStyle w:val="Normaalweb"/>
        <w:divId w:val="953290302"/>
        <w:rPr>
          <w:lang w:val="en-GB"/>
        </w:rPr>
      </w:pPr>
      <w:r>
        <w:rPr>
          <w:lang w:val="en-GB"/>
        </w:rPr>
        <w:t xml:space="preserve">The partner works as a permanent teacher in the Flemish education system. To apply for the European Career Certificate (PD U1), the NEO must complete a form documenting their entire teaching career. However, the NEO is blocking the application by requiring a </w:t>
      </w:r>
      <w:r>
        <w:rPr>
          <w:rStyle w:val="Zwaar"/>
          <w:lang w:val="en-GB"/>
        </w:rPr>
        <w:t>C4</w:t>
      </w:r>
      <w:r>
        <w:rPr>
          <w:lang w:val="en-GB"/>
        </w:rPr>
        <w:t xml:space="preserve"> </w:t>
      </w:r>
      <w:r>
        <w:rPr>
          <w:rStyle w:val="Zwaar"/>
          <w:lang w:val="en-GB"/>
        </w:rPr>
        <w:t>form</w:t>
      </w:r>
      <w:r>
        <w:rPr>
          <w:lang w:val="en-GB"/>
        </w:rPr>
        <w:t>.</w:t>
      </w:r>
    </w:p>
    <w:p w14:paraId="56AC8271" w14:textId="77777777" w:rsidR="009650FE" w:rsidRDefault="009650FE">
      <w:pPr>
        <w:pStyle w:val="Normaalweb"/>
        <w:divId w:val="953290302"/>
        <w:rPr>
          <w:lang w:val="en-GB"/>
        </w:rPr>
      </w:pPr>
      <w:r>
        <w:rPr>
          <w:lang w:val="en-GB"/>
        </w:rPr>
        <w:t>What is the C4 form? It is a termination document used in the private sector. It is used when an employee in the private sector leaves their job. For permanent staff in the education sector, this form does not exist in legal terms. There is no termination, no private employer, no C4.</w:t>
      </w:r>
    </w:p>
    <w:p w14:paraId="33150E78" w14:textId="77777777" w:rsidR="009650FE" w:rsidRDefault="009650FE">
      <w:pPr>
        <w:pStyle w:val="Normaalweb"/>
        <w:divId w:val="953290302"/>
        <w:rPr>
          <w:lang w:val="en-GB"/>
        </w:rPr>
      </w:pPr>
      <w:r>
        <w:rPr>
          <w:lang w:val="en-GB"/>
        </w:rPr>
        <w:t>NEO is therefore applying the logic of the private sector to a career that falls entirely outside that framework. The agency is forcing a public-sector career into a private-sector mould.</w:t>
      </w:r>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582F9C6F" w14:textId="77777777">
        <w:trPr>
          <w:divId w:val="953290302"/>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49D8D27B" w14:textId="77777777" w:rsidR="009650FE" w:rsidRDefault="009650FE">
            <w:pPr>
              <w:pStyle w:val="Normaalweb"/>
              <w:spacing w:before="120"/>
              <w:jc w:val="center"/>
              <w:rPr>
                <w:sz w:val="21"/>
                <w:szCs w:val="21"/>
              </w:rPr>
            </w:pPr>
            <w:r>
              <w:rPr>
                <w:noProof/>
                <w:sz w:val="21"/>
                <w:szCs w:val="21"/>
              </w:rPr>
              <w:drawing>
                <wp:inline distT="0" distB="0" distL="0" distR="0" wp14:anchorId="172375CC" wp14:editId="22F48FA1">
                  <wp:extent cx="3810000" cy="1041400"/>
                  <wp:effectExtent l="0" t="0" r="0" b="6350"/>
                  <wp:docPr id="34" name="Afbeelding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3810000" cy="1041400"/>
                          </a:xfrm>
                          <a:prstGeom prst="rect">
                            <a:avLst/>
                          </a:prstGeom>
                          <a:noFill/>
                          <a:ln>
                            <a:noFill/>
                          </a:ln>
                        </pic:spPr>
                      </pic:pic>
                    </a:graphicData>
                  </a:graphic>
                </wp:inline>
              </w:drawing>
            </w:r>
          </w:p>
          <w:p w14:paraId="1E0F9E10" w14:textId="77777777" w:rsidR="009650FE" w:rsidRDefault="009650FE">
            <w:pPr>
              <w:pStyle w:val="caption"/>
              <w:spacing w:after="120" w:afterAutospacing="0"/>
            </w:pPr>
            <w:r>
              <w:t>NEO requires a C4 form for a career path for which there is no legal basis for a C4. The application is blocked. The citizen must provide alternative evidence themselves via the Agency for Educational Services (AGODI), which issues the official Calculation of Financial Seniority.</w:t>
            </w:r>
          </w:p>
        </w:tc>
      </w:tr>
    </w:tbl>
    <w:p w14:paraId="3591393F" w14:textId="77777777" w:rsidR="009650FE" w:rsidRDefault="009650FE">
      <w:pPr>
        <w:pStyle w:val="Kop4"/>
        <w:divId w:val="953290302"/>
        <w:rPr>
          <w:rFonts w:eastAsia="Times New Roman"/>
          <w:lang w:val="en-GB"/>
        </w:rPr>
      </w:pPr>
      <w:r>
        <w:rPr>
          <w:rFonts w:eastAsia="Times New Roman"/>
          <w:lang w:val="en-GB"/>
        </w:rPr>
        <w:t>Manual submission</w:t>
      </w:r>
    </w:p>
    <w:p w14:paraId="1F4E0772" w14:textId="77777777" w:rsidR="009650FE" w:rsidRDefault="009650FE">
      <w:pPr>
        <w:pStyle w:val="Normaalweb"/>
        <w:divId w:val="953290302"/>
        <w:rPr>
          <w:lang w:val="en-GB"/>
        </w:rPr>
      </w:pPr>
      <w:r>
        <w:rPr>
          <w:lang w:val="en-GB"/>
        </w:rPr>
        <w:t>The patient resolves the issue by submitting the AGODI certificate in person. The Agency for Educational Services issues an official document setting out the patient’s full educational history. This document is sent to NEO, after which the second PD U1 certificate is issued.</w:t>
      </w:r>
    </w:p>
    <w:p w14:paraId="0F8066ED" w14:textId="77777777" w:rsidR="009650FE" w:rsidRDefault="009650FE">
      <w:pPr>
        <w:pStyle w:val="Normaalweb"/>
        <w:divId w:val="953290302"/>
        <w:rPr>
          <w:lang w:val="en-GB"/>
        </w:rPr>
      </w:pPr>
      <w:r>
        <w:rPr>
          <w:lang w:val="en-GB"/>
        </w:rPr>
        <w:t>This results in a third layer of manual intervention. The patient acts not only as a data hub between two countries, but also as a data hub between two agencies within the same country: between the federal NEO and the Flemish AGODI. These two levels of government, which have access to the same career history, do not automatically exchange this data.</w:t>
      </w:r>
    </w:p>
    <w:p w14:paraId="4BF942A7" w14:textId="77777777" w:rsidR="009650FE" w:rsidRDefault="009650FE">
      <w:pPr>
        <w:pStyle w:val="Kop3"/>
        <w:divId w:val="953290302"/>
        <w:rPr>
          <w:rFonts w:eastAsia="Times New Roman"/>
          <w:lang w:val="en-GB"/>
        </w:rPr>
      </w:pPr>
      <w:bookmarkStart w:id="61" w:name="_Toc242103199"/>
      <w:r>
        <w:rPr>
          <w:rFonts w:eastAsia="Times New Roman"/>
          <w:lang w:val="en-GB"/>
        </w:rPr>
        <w:t>Part C — The refusal to synchronise foreign data</w:t>
      </w:r>
      <w:bookmarkEnd w:id="61"/>
    </w:p>
    <w:p w14:paraId="347ECF1E" w14:textId="77777777" w:rsidR="009650FE" w:rsidRDefault="009650FE">
      <w:pPr>
        <w:pStyle w:val="Normaalweb"/>
        <w:divId w:val="953290302"/>
        <w:rPr>
          <w:lang w:val="en-GB"/>
        </w:rPr>
      </w:pPr>
      <w:r>
        <w:rPr>
          <w:lang w:val="en-GB"/>
        </w:rPr>
        <w:t>Following the issue of the second PD U1 certificate, the patient submits a formal request to synchronise their Dutch employment records with the Belgian MyCareer system. NEO refuses.</w:t>
      </w:r>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33337165" w14:textId="77777777">
        <w:trPr>
          <w:divId w:val="953290302"/>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7FDC928D" w14:textId="77777777" w:rsidR="009650FE" w:rsidRDefault="009650FE">
            <w:pPr>
              <w:pStyle w:val="Normaalweb"/>
              <w:spacing w:before="120"/>
              <w:jc w:val="center"/>
              <w:rPr>
                <w:sz w:val="21"/>
                <w:szCs w:val="21"/>
              </w:rPr>
            </w:pPr>
            <w:r>
              <w:rPr>
                <w:noProof/>
                <w:sz w:val="21"/>
                <w:szCs w:val="21"/>
              </w:rPr>
              <w:drawing>
                <wp:inline distT="0" distB="0" distL="0" distR="0" wp14:anchorId="0D30ED8D" wp14:editId="3A567C8A">
                  <wp:extent cx="3810000" cy="1104900"/>
                  <wp:effectExtent l="0" t="0" r="0" b="0"/>
                  <wp:docPr id="35" name="Afbeelding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3810000" cy="1104900"/>
                          </a:xfrm>
                          <a:prstGeom prst="rect">
                            <a:avLst/>
                          </a:prstGeom>
                          <a:noFill/>
                          <a:ln>
                            <a:noFill/>
                          </a:ln>
                        </pic:spPr>
                      </pic:pic>
                    </a:graphicData>
                  </a:graphic>
                </wp:inline>
              </w:drawing>
            </w:r>
          </w:p>
          <w:p w14:paraId="4BEF3790" w14:textId="77777777" w:rsidR="009650FE" w:rsidRDefault="009650FE">
            <w:pPr>
              <w:pStyle w:val="caption"/>
              <w:spacing w:after="120" w:afterAutospacing="0"/>
            </w:pPr>
            <w:r>
              <w:t>The UWV provides the data, but the NEO refuses to process it. The patient bypasses the NEO via another federal agency. Two government agencies within the same country cannot exchange data with one another without the citizen acting as a data hub.</w:t>
            </w:r>
          </w:p>
        </w:tc>
      </w:tr>
    </w:tbl>
    <w:p w14:paraId="5792009D" w14:textId="77777777" w:rsidR="009650FE" w:rsidRDefault="009650FE">
      <w:pPr>
        <w:pStyle w:val="Kop3"/>
        <w:divId w:val="953290302"/>
        <w:rPr>
          <w:rFonts w:eastAsia="Times New Roman"/>
          <w:lang w:val="en-GB"/>
        </w:rPr>
      </w:pPr>
      <w:bookmarkStart w:id="62" w:name="_Toc242103200"/>
      <w:r>
        <w:rPr>
          <w:rFonts w:eastAsia="Times New Roman"/>
          <w:lang w:val="en-GB"/>
        </w:rPr>
        <w:t>Part D — The pattern: procedural rejection</w:t>
      </w:r>
      <w:bookmarkEnd w:id="62"/>
    </w:p>
    <w:p w14:paraId="172E6778" w14:textId="77777777" w:rsidR="009650FE" w:rsidRDefault="009650FE">
      <w:pPr>
        <w:pStyle w:val="Normaalweb"/>
        <w:divId w:val="953290302"/>
        <w:rPr>
          <w:lang w:val="en-GB"/>
        </w:rPr>
      </w:pPr>
      <w:r>
        <w:rPr>
          <w:lang w:val="en-GB"/>
        </w:rPr>
        <w:t xml:space="preserve">What the UWV consistently does is not to refuse. It is </w:t>
      </w:r>
      <w:r>
        <w:rPr>
          <w:rStyle w:val="Zwaar"/>
          <w:lang w:val="en-GB"/>
        </w:rPr>
        <w:t>to reject on procedural grounds</w:t>
      </w:r>
      <w:r>
        <w:rPr>
          <w:lang w:val="en-GB"/>
        </w:rPr>
        <w:t>. That is a fundamental difference.</w:t>
      </w:r>
    </w:p>
    <w:p w14:paraId="6A4437AA" w14:textId="77777777" w:rsidR="009650FE" w:rsidRDefault="009650FE">
      <w:pPr>
        <w:pStyle w:val="Normaalweb"/>
        <w:divId w:val="953290302"/>
        <w:rPr>
          <w:lang w:val="en-GB"/>
        </w:rPr>
      </w:pPr>
      <w:r>
        <w:rPr>
          <w:lang w:val="en-GB"/>
        </w:rPr>
        <w:t xml:space="preserve">In the event of a refusal on the merits, the UWV would have to state that </w:t>
      </w:r>
      <w:r>
        <w:rPr>
          <w:rStyle w:val="Nadruk"/>
          <w:lang w:val="en-GB"/>
        </w:rPr>
        <w:t>the medical condition is not severe enough</w:t>
      </w:r>
      <w:r>
        <w:rPr>
          <w:lang w:val="en-GB"/>
        </w:rPr>
        <w:t>. This would mean that a doctor had examined the patient, confirmed the amputations, tested their visual acuity, and, on that basis, concluded that the person was not entitled to benefits.</w:t>
      </w:r>
    </w:p>
    <w:p w14:paraId="56186320" w14:textId="77777777" w:rsidR="009650FE" w:rsidRDefault="009650FE">
      <w:pPr>
        <w:pStyle w:val="Normaalweb"/>
        <w:divId w:val="953290302"/>
        <w:rPr>
          <w:lang w:val="en-GB"/>
        </w:rPr>
      </w:pPr>
      <w:r>
        <w:rPr>
          <w:lang w:val="en-GB"/>
        </w:rPr>
        <w:t xml:space="preserve">In the event of a procedural rejection, the UWV states: </w:t>
      </w:r>
      <w:r>
        <w:rPr>
          <w:rStyle w:val="Nadruk"/>
          <w:lang w:val="en-GB"/>
        </w:rPr>
        <w:t>the application does not meet the formal requirements</w:t>
      </w:r>
      <w:r>
        <w:rPr>
          <w:lang w:val="en-GB"/>
        </w:rPr>
        <w:t>. No tick. Incorrect reference date. No basis for insurance. No Belgian decision. No C4 form.</w:t>
      </w:r>
    </w:p>
    <w:p w14:paraId="009FB1D3" w14:textId="77777777" w:rsidR="009650FE" w:rsidRDefault="009650FE">
      <w:pPr>
        <w:pStyle w:val="Normaalweb"/>
        <w:divId w:val="953290302"/>
        <w:rPr>
          <w:lang w:val="en-GB"/>
        </w:rPr>
      </w:pPr>
      <w:r>
        <w:rPr>
          <w:lang w:val="en-GB"/>
        </w:rPr>
        <w:t>A procedural dismissal has three advantages for the authority:</w:t>
      </w:r>
    </w:p>
    <w:p w14:paraId="09758E0C" w14:textId="77777777" w:rsidR="009650FE" w:rsidRDefault="009650FE">
      <w:pPr>
        <w:numPr>
          <w:ilvl w:val="0"/>
          <w:numId w:val="11"/>
        </w:numPr>
        <w:spacing w:before="100" w:beforeAutospacing="1" w:after="100" w:afterAutospacing="1"/>
        <w:divId w:val="953290302"/>
        <w:rPr>
          <w:rFonts w:eastAsia="Times New Roman"/>
          <w:lang w:val="en-GB"/>
        </w:rPr>
      </w:pPr>
      <w:r>
        <w:rPr>
          <w:rStyle w:val="Zwaar"/>
          <w:rFonts w:eastAsia="Times New Roman"/>
          <w:lang w:val="en-GB"/>
        </w:rPr>
        <w:t>No medical assessment is required.</w:t>
      </w:r>
      <w:r>
        <w:rPr>
          <w:rFonts w:eastAsia="Times New Roman"/>
          <w:lang w:val="en-GB"/>
        </w:rPr>
        <w:t xml:space="preserve"> The assessment will be skipped or postponed.</w:t>
      </w:r>
    </w:p>
    <w:p w14:paraId="7DD72425" w14:textId="77777777" w:rsidR="009650FE" w:rsidRDefault="009650FE">
      <w:pPr>
        <w:numPr>
          <w:ilvl w:val="0"/>
          <w:numId w:val="11"/>
        </w:numPr>
        <w:spacing w:before="100" w:beforeAutospacing="1" w:after="100" w:afterAutospacing="1"/>
        <w:divId w:val="953290302"/>
        <w:rPr>
          <w:rFonts w:eastAsia="Times New Roman"/>
          <w:lang w:val="en-GB"/>
        </w:rPr>
      </w:pPr>
      <w:r>
        <w:rPr>
          <w:rStyle w:val="Zwaar"/>
          <w:rFonts w:eastAsia="Times New Roman"/>
          <w:lang w:val="en-GB"/>
        </w:rPr>
        <w:t>It</w:t>
      </w:r>
      <w:r>
        <w:rPr>
          <w:rFonts w:eastAsia="Times New Roman"/>
          <w:lang w:val="en-GB"/>
        </w:rPr>
        <w:t xml:space="preserve"> is </w:t>
      </w:r>
      <w:r>
        <w:rPr>
          <w:rStyle w:val="Zwaar"/>
          <w:rFonts w:eastAsia="Times New Roman"/>
          <w:lang w:val="en-GB"/>
        </w:rPr>
        <w:t>not a decision open to dispute.</w:t>
      </w:r>
      <w:r>
        <w:rPr>
          <w:rFonts w:eastAsia="Times New Roman"/>
          <w:lang w:val="en-GB"/>
        </w:rPr>
        <w:t xml:space="preserve"> Formal arguments are difficult to challenge in court.</w:t>
      </w:r>
    </w:p>
    <w:p w14:paraId="41929737" w14:textId="77777777" w:rsidR="009650FE" w:rsidRDefault="009650FE">
      <w:pPr>
        <w:numPr>
          <w:ilvl w:val="0"/>
          <w:numId w:val="11"/>
        </w:numPr>
        <w:spacing w:before="100" w:beforeAutospacing="1" w:after="100" w:afterAutospacing="1"/>
        <w:divId w:val="953290302"/>
        <w:rPr>
          <w:rFonts w:eastAsia="Times New Roman"/>
          <w:lang w:val="en-GB"/>
        </w:rPr>
      </w:pPr>
      <w:r>
        <w:rPr>
          <w:rStyle w:val="Zwaar"/>
          <w:rFonts w:eastAsia="Times New Roman"/>
          <w:lang w:val="en-GB"/>
        </w:rPr>
        <w:t>Automatic referral to the member of the public.</w:t>
      </w:r>
      <w:r>
        <w:rPr>
          <w:rFonts w:eastAsia="Times New Roman"/>
          <w:lang w:val="en-GB"/>
        </w:rPr>
        <w:t xml:space="preserve"> The member of the public must first force a different decision before the authority takes any action.</w:t>
      </w:r>
    </w:p>
    <w:p w14:paraId="2FBFED47" w14:textId="77777777" w:rsidR="009650FE" w:rsidRDefault="009650FE">
      <w:pPr>
        <w:pStyle w:val="Normaalweb"/>
        <w:divId w:val="953290302"/>
        <w:rPr>
          <w:lang w:val="en-GB"/>
        </w:rPr>
      </w:pPr>
      <w:r>
        <w:rPr>
          <w:lang w:val="en-GB"/>
        </w:rPr>
        <w:t>The UWV and the NEO follow the same pattern here, but in the opposite direction. The UWV refuses to take note of the Belgian decision. The NEO refuses to take note of the Dutch decision. Both bodies are waiting for the other, and neither is taking responsibility.</w:t>
      </w:r>
    </w:p>
    <w:p w14:paraId="70FE7D87" w14:textId="77777777" w:rsidR="009650FE" w:rsidRDefault="009650FE">
      <w:pPr>
        <w:pStyle w:val="Kop3"/>
        <w:divId w:val="953290302"/>
        <w:rPr>
          <w:rFonts w:eastAsia="Times New Roman"/>
          <w:lang w:val="en-GB"/>
        </w:rPr>
      </w:pPr>
      <w:bookmarkStart w:id="63" w:name="_Toc242103201"/>
      <w:r>
        <w:rPr>
          <w:rFonts w:eastAsia="Times New Roman"/>
          <w:lang w:val="en-GB"/>
        </w:rPr>
        <w:t>Part E — A summary of the grounds for rejection</w:t>
      </w:r>
      <w:bookmarkEnd w:id="63"/>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5F80A8C8" w14:textId="77777777">
        <w:trPr>
          <w:divId w:val="953290302"/>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6E22A1D8" w14:textId="77777777" w:rsidR="009650FE" w:rsidRDefault="009650FE">
            <w:pPr>
              <w:pStyle w:val="Normaalweb"/>
              <w:spacing w:before="120"/>
              <w:jc w:val="center"/>
              <w:rPr>
                <w:sz w:val="21"/>
                <w:szCs w:val="21"/>
              </w:rPr>
            </w:pPr>
            <w:r>
              <w:rPr>
                <w:noProof/>
                <w:sz w:val="21"/>
                <w:szCs w:val="21"/>
              </w:rPr>
              <w:drawing>
                <wp:inline distT="0" distB="0" distL="0" distR="0" wp14:anchorId="48E2627C" wp14:editId="0C9B3BEC">
                  <wp:extent cx="3810000" cy="1206500"/>
                  <wp:effectExtent l="0" t="0" r="0" b="0"/>
                  <wp:docPr id="36" name="Afbeelding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3810000" cy="1206500"/>
                          </a:xfrm>
                          <a:prstGeom prst="rect">
                            <a:avLst/>
                          </a:prstGeom>
                          <a:noFill/>
                          <a:ln>
                            <a:noFill/>
                          </a:ln>
                        </pic:spPr>
                      </pic:pic>
                    </a:graphicData>
                  </a:graphic>
                </wp:inline>
              </w:drawing>
            </w:r>
          </w:p>
          <w:p w14:paraId="41A7DAC6" w14:textId="77777777" w:rsidR="009650FE" w:rsidRDefault="009650FE">
            <w:pPr>
              <w:pStyle w:val="caption"/>
              <w:spacing w:after="120" w:afterAutospacing="0"/>
            </w:pPr>
            <w:r>
              <w:rPr>
                <w:rStyle w:val="Zwaar"/>
              </w:rPr>
              <w:t>Figure IX.4 — Six rejections, six reasons.</w:t>
            </w:r>
            <w:r>
              <w:t xml:space="preserve"> All the reasons are procedural. None of the reasons are medical. The medical situation is not assessed in substance at any stage of the process.</w:t>
            </w:r>
          </w:p>
        </w:tc>
      </w:tr>
    </w:tbl>
    <w:p w14:paraId="65D7EC1A" w14:textId="77777777" w:rsidR="009650FE" w:rsidRDefault="009650FE">
      <w:pPr>
        <w:pStyle w:val="Kop3"/>
        <w:divId w:val="953290302"/>
        <w:rPr>
          <w:rFonts w:eastAsia="Times New Roman"/>
          <w:lang w:val="en-GB"/>
        </w:rPr>
      </w:pPr>
      <w:bookmarkStart w:id="64" w:name="_Toc242103202"/>
      <w:r>
        <w:rPr>
          <w:rFonts w:eastAsia="Times New Roman"/>
          <w:lang w:val="en-GB"/>
        </w:rPr>
        <w:t>Part F — The two objections in detail</w:t>
      </w:r>
      <w:bookmarkEnd w:id="64"/>
    </w:p>
    <w:p w14:paraId="27898D6B" w14:textId="77777777" w:rsidR="009650FE" w:rsidRDefault="009650FE">
      <w:pPr>
        <w:pStyle w:val="Kop4"/>
        <w:divId w:val="953290302"/>
        <w:rPr>
          <w:rFonts w:eastAsia="Times New Roman"/>
          <w:lang w:val="en-GB"/>
        </w:rPr>
      </w:pPr>
      <w:r>
        <w:rPr>
          <w:rFonts w:eastAsia="Times New Roman"/>
          <w:lang w:val="en-GB"/>
        </w:rPr>
        <w:t>Objection 1 — The Caren amendment</w:t>
      </w:r>
    </w:p>
    <w:p w14:paraId="630311E5" w14:textId="77777777" w:rsidR="009650FE" w:rsidRDefault="009650FE">
      <w:pPr>
        <w:pStyle w:val="tijd"/>
        <w:divId w:val="953290302"/>
        <w:rPr>
          <w:lang w:val="en-GB"/>
        </w:rPr>
      </w:pPr>
      <w:r>
        <w:rPr>
          <w:lang w:val="en-GB"/>
        </w:rPr>
        <w:t>4 June 2026</w:t>
      </w:r>
    </w:p>
    <w:p w14:paraId="07D257BC" w14:textId="77777777" w:rsidR="009650FE" w:rsidRDefault="009650FE">
      <w:pPr>
        <w:pStyle w:val="Normaalweb"/>
        <w:divId w:val="953290302"/>
        <w:rPr>
          <w:lang w:val="en-GB"/>
        </w:rPr>
      </w:pPr>
      <w:r>
        <w:rPr>
          <w:lang w:val="en-GB"/>
        </w:rPr>
        <w:t>On 1 June 2026, the patient submits three additional supporting documents for the first appeal: the Caren report from the Dutch home care service (126 clinical entries confirming the period of hospitalisation from 11 April to 9 May 2025), an ophthalmological report from the teaching hospital, and an endocrinological report.</w:t>
      </w:r>
    </w:p>
    <w:p w14:paraId="2B7C7D19" w14:textId="77777777" w:rsidR="009650FE" w:rsidRDefault="009650FE">
      <w:pPr>
        <w:pStyle w:val="Normaalweb"/>
        <w:divId w:val="953290302"/>
        <w:rPr>
          <w:lang w:val="en-GB"/>
        </w:rPr>
      </w:pPr>
      <w:r>
        <w:rPr>
          <w:lang w:val="en-GB"/>
        </w:rPr>
        <w:t>Three days later, the UWV declared the appeal unfounded. This was six weeks before the deadline of 15 July 2026, as announced by the UWV itself. The Caren report — the Dutch evidence confirming the reference date — was not examined in substance.</w:t>
      </w:r>
    </w:p>
    <w:p w14:paraId="61D7EB97" w14:textId="77777777" w:rsidR="009650FE" w:rsidRDefault="009650FE">
      <w:pPr>
        <w:pStyle w:val="Kop4"/>
        <w:divId w:val="953290302"/>
        <w:rPr>
          <w:rFonts w:eastAsia="Times New Roman"/>
          <w:lang w:val="en-GB"/>
        </w:rPr>
      </w:pPr>
      <w:r>
        <w:rPr>
          <w:rFonts w:eastAsia="Times New Roman"/>
          <w:lang w:val="en-GB"/>
        </w:rPr>
        <w:t>Objection 2 — The Vester refusal</w:t>
      </w:r>
    </w:p>
    <w:p w14:paraId="3375F2F2" w14:textId="77777777" w:rsidR="009650FE" w:rsidRDefault="009650FE">
      <w:pPr>
        <w:pStyle w:val="tijd"/>
        <w:divId w:val="953290302"/>
        <w:rPr>
          <w:lang w:val="en-GB"/>
        </w:rPr>
      </w:pPr>
      <w:r>
        <w:rPr>
          <w:lang w:val="en-GB"/>
        </w:rPr>
        <w:t>8 July 2026</w:t>
      </w:r>
    </w:p>
    <w:p w14:paraId="4EF607C1" w14:textId="77777777" w:rsidR="009650FE" w:rsidRDefault="009650FE">
      <w:pPr>
        <w:pStyle w:val="Normaalweb"/>
        <w:divId w:val="953290302"/>
        <w:rPr>
          <w:lang w:val="en-GB"/>
        </w:rPr>
      </w:pPr>
      <w:r>
        <w:rPr>
          <w:lang w:val="en-GB"/>
        </w:rPr>
        <w:t>The second objection concerns the WIA rejection of 14 April 2026. The patient cites the Vester judgement: in the case of successive insurance schemes in two Member States, a Member State may not apply the qualifying period in such a way as to create an income gap. The UWV explicitly rejects this, arguing that the loss of income cannot be determined without a formal decision from Belgium.</w:t>
      </w:r>
    </w:p>
    <w:p w14:paraId="4F9448C9" w14:textId="77777777" w:rsidR="009650FE" w:rsidRDefault="009650FE">
      <w:pPr>
        <w:pStyle w:val="Normaalweb"/>
        <w:divId w:val="953290302"/>
        <w:rPr>
          <w:lang w:val="en-GB"/>
        </w:rPr>
      </w:pPr>
      <w:r>
        <w:rPr>
          <w:lang w:val="en-GB"/>
        </w:rPr>
        <w:t>As Belgium is also refusing, the UWV closes the case with the message that the citizen must first secure a decision from the Belgian authorities. The responsibility for breaking the deadlock is shifted back onto the citizen.</w:t>
      </w:r>
    </w:p>
    <w:p w14:paraId="06B9206A" w14:textId="77777777" w:rsidR="009650FE" w:rsidRDefault="009650FE">
      <w:pPr>
        <w:pStyle w:val="Kop3"/>
        <w:divId w:val="953290302"/>
        <w:rPr>
          <w:rFonts w:eastAsia="Times New Roman"/>
          <w:lang w:val="en-GB"/>
        </w:rPr>
      </w:pPr>
      <w:bookmarkStart w:id="65" w:name="_Toc242103203"/>
      <w:r>
        <w:rPr>
          <w:rFonts w:eastAsia="Times New Roman"/>
          <w:lang w:val="en-GB"/>
        </w:rPr>
        <w:t>Part G — What this chapter sets out</w:t>
      </w:r>
      <w:bookmarkEnd w:id="65"/>
    </w:p>
    <w:p w14:paraId="071D2A60" w14:textId="77777777" w:rsidR="009650FE" w:rsidRDefault="009650FE">
      <w:pPr>
        <w:pStyle w:val="Normaalweb"/>
        <w:divId w:val="953290302"/>
        <w:rPr>
          <w:lang w:val="en-GB"/>
        </w:rPr>
      </w:pPr>
      <w:r>
        <w:rPr>
          <w:lang w:val="en-GB"/>
        </w:rPr>
        <w:t>The UWV and NEO follow the same pattern, but in the opposite direction. Both agencies reject claims on procedural grounds. Both agencies refuse to take the other’s information into account. Both agencies pass the responsibility back to the public.</w:t>
      </w:r>
    </w:p>
    <w:p w14:paraId="04EF4A45" w14:textId="77777777" w:rsidR="009650FE" w:rsidRDefault="009650FE">
      <w:pPr>
        <w:pStyle w:val="Normaalweb"/>
        <w:divId w:val="953290302"/>
        <w:rPr>
          <w:lang w:val="en-GB"/>
        </w:rPr>
      </w:pPr>
      <w:r>
        <w:rPr>
          <w:lang w:val="en-GB"/>
        </w:rPr>
        <w:t>The member of the public is caught between two bodies, each of which imposes its own condition that the other body has made impossible to fulfil. And throughout the entire process, the medical situation is not assessed in substance even once.</w:t>
      </w:r>
    </w:p>
    <w:tbl>
      <w:tblPr>
        <w:tblW w:w="5000" w:type="pct"/>
        <w:tblCellMar>
          <w:top w:w="15" w:type="dxa"/>
          <w:left w:w="15" w:type="dxa"/>
          <w:bottom w:w="15" w:type="dxa"/>
          <w:right w:w="15" w:type="dxa"/>
        </w:tblCellMar>
        <w:tblLook w:val="04A0" w:firstRow="1" w:lastRow="0" w:firstColumn="1" w:lastColumn="0" w:noHBand="0" w:noVBand="1"/>
      </w:tblPr>
      <w:tblGrid>
        <w:gridCol w:w="9019"/>
      </w:tblGrid>
      <w:tr w:rsidR="00000000" w14:paraId="1B6B9A19" w14:textId="77777777">
        <w:trPr>
          <w:divId w:val="953290302"/>
        </w:trPr>
        <w:tc>
          <w:tcPr>
            <w:tcW w:w="0" w:type="auto"/>
            <w:tcBorders>
              <w:top w:val="single" w:sz="6" w:space="0" w:color="D5D0C5"/>
              <w:left w:val="single" w:sz="36" w:space="0" w:color="4A3B6B"/>
              <w:bottom w:val="single" w:sz="6" w:space="0" w:color="D5D0C5"/>
              <w:right w:val="single" w:sz="6" w:space="0" w:color="D5D0C5"/>
            </w:tcBorders>
            <w:shd w:val="clear" w:color="auto" w:fill="EDE9F5"/>
            <w:tcMar>
              <w:top w:w="200" w:type="dxa"/>
              <w:left w:w="280" w:type="dxa"/>
              <w:bottom w:w="200" w:type="dxa"/>
              <w:right w:w="280" w:type="dxa"/>
            </w:tcMar>
            <w:hideMark/>
          </w:tcPr>
          <w:p w14:paraId="6B00DEAE" w14:textId="77777777" w:rsidR="009650FE" w:rsidRDefault="009650FE">
            <w:pPr>
              <w:spacing w:before="240" w:after="240"/>
              <w:rPr>
                <w:rFonts w:eastAsia="Times New Roman"/>
                <w:szCs w:val="22"/>
              </w:rPr>
            </w:pPr>
            <w:r>
              <w:rPr>
                <w:rStyle w:val="Zwaar"/>
                <w:rFonts w:eastAsia="Times New Roman"/>
                <w:szCs w:val="22"/>
              </w:rPr>
              <w:t>For anyone in the same situation:</w:t>
            </w:r>
            <w:r>
              <w:rPr>
                <w:rFonts w:eastAsia="Times New Roman"/>
                <w:szCs w:val="22"/>
              </w:rPr>
              <w:t xml:space="preserve"> if your application is rejected by the UWV or NEO, it is important to check whether the rejection is on the merits or on procedural grounds. A procedural rejection can often be challenged by meeting the formal requirement — but if that requirement is impossible to meet in practice (such as a C4 form that does not exist), a </w:t>
            </w:r>
            <w:r>
              <w:rPr>
                <w:rStyle w:val="Nadruk"/>
                <w:rFonts w:eastAsia="Times New Roman"/>
                <w:szCs w:val="22"/>
              </w:rPr>
              <w:t>request for review</w:t>
            </w:r>
            <w:r>
              <w:rPr>
                <w:rFonts w:eastAsia="Times New Roman"/>
                <w:szCs w:val="22"/>
              </w:rPr>
              <w:t xml:space="preserve"> under Article 4:6 of the General Administrative Law Act (NL) or a formal appeal (BE) may be the correct course of action. </w:t>
            </w:r>
            <w:r>
              <w:rPr>
                <w:rFonts w:eastAsia="Times New Roman"/>
                <w:szCs w:val="22"/>
              </w:rPr>
              <w:br/>
            </w:r>
            <w:r>
              <w:rPr>
                <w:rFonts w:eastAsia="Times New Roman"/>
                <w:szCs w:val="22"/>
              </w:rPr>
              <w:br/>
              <w:t>For career documentation: request an offici</w:t>
            </w:r>
            <w:r>
              <w:rPr>
                <w:rFonts w:eastAsia="Times New Roman"/>
                <w:szCs w:val="22"/>
              </w:rPr>
              <w:t xml:space="preserve">al Calculation of Financial Seniority from AGODI as alternative evidence for the NEO. For Dutch data: manually enter the PD U1 via the MyCareer portal of the FPS Social Security. </w:t>
            </w:r>
          </w:p>
        </w:tc>
      </w:tr>
    </w:tbl>
    <w:p w14:paraId="0A035F51" w14:textId="77777777" w:rsidR="009650FE" w:rsidRDefault="009650FE">
      <w:pPr>
        <w:pStyle w:val="noot"/>
        <w:spacing w:after="120" w:afterAutospacing="0"/>
        <w:divId w:val="953290302"/>
        <w:rPr>
          <w:lang w:val="en-GB"/>
        </w:rPr>
      </w:pPr>
      <w:r>
        <w:rPr>
          <w:lang w:val="en-GB"/>
        </w:rPr>
        <w:t>All organisations mentioned in this chapter are legal entities. Natural persons are referred to by their role or their symbol (</w:t>
      </w:r>
      <w:r>
        <w:rPr>
          <w:rFonts w:ascii="Segoe UI Symbol" w:hAnsi="Segoe UI Symbol" w:cs="Segoe UI Symbol"/>
          <w:lang w:val="en-GB"/>
        </w:rPr>
        <w:t>♂</w:t>
      </w:r>
      <w:r>
        <w:rPr>
          <w:lang w:val="en-GB"/>
        </w:rPr>
        <w:t xml:space="preserve">, </w:t>
      </w:r>
      <w:r>
        <w:rPr>
          <w:rFonts w:ascii="Segoe UI Symbol" w:hAnsi="Segoe UI Symbol" w:cs="Segoe UI Symbol"/>
          <w:lang w:val="en-GB"/>
        </w:rPr>
        <w:t>♀</w:t>
      </w:r>
      <w:r>
        <w:rPr>
          <w:lang w:val="en-GB"/>
        </w:rPr>
        <w:t>). The facts are based on Document B. This chapter does not constitute legal advice.</w:t>
      </w:r>
    </w:p>
    <w:p w14:paraId="198E8E62" w14:textId="77777777" w:rsidR="009650FE" w:rsidRDefault="009650FE">
      <w:pPr>
        <w:pStyle w:val="marker"/>
        <w:ind w:left="800" w:right="800"/>
        <w:divId w:val="953290302"/>
        <w:rPr>
          <w:lang w:val="en-GB"/>
        </w:rPr>
      </w:pPr>
      <w:r>
        <w:br w:type="page"/>
      </w:r>
    </w:p>
    <w:p w14:paraId="5E2C1FCE" w14:textId="77777777" w:rsidR="009650FE" w:rsidRDefault="009650FE">
      <w:pPr>
        <w:pStyle w:val="Kop2"/>
        <w:divId w:val="953290302"/>
        <w:rPr>
          <w:rFonts w:eastAsia="Times New Roman"/>
          <w:lang w:val="en-GB"/>
        </w:rPr>
      </w:pPr>
      <w:bookmarkStart w:id="66" w:name="_Toc242103204"/>
      <w:r>
        <w:rPr>
          <w:rFonts w:eastAsia="Times New Roman"/>
          <w:lang w:val="en-GB"/>
        </w:rPr>
        <w:t>CZ — the two faces of the gatekeeper</w:t>
      </w:r>
      <w:bookmarkEnd w:id="66"/>
    </w:p>
    <w:p w14:paraId="5DCCFC33" w14:textId="77777777" w:rsidR="009650FE" w:rsidRDefault="009650FE">
      <w:pPr>
        <w:pStyle w:val="lead"/>
        <w:divId w:val="953290302"/>
        <w:rPr>
          <w:lang w:val="en-GB"/>
        </w:rPr>
      </w:pPr>
      <w:r>
        <w:rPr>
          <w:lang w:val="en-GB"/>
        </w:rPr>
        <w:t xml:space="preserve">CZ administers the treaty-based insurance policy for a resident of the Netherlands who is employed in Belgium. CZ reimburses the cost of healthcare, but refuses to register the person for the healthcare allowance. CZ also refuses to provide patient transport, citing a requirement that does not exist in the country of treatment. In both cases, the organisation’s protocol takes precedence over medical reality. And in both cases, the authorities that should be ensuring the process runs smoothly are failing to </w:t>
      </w:r>
      <w:r>
        <w:rPr>
          <w:lang w:val="en-GB"/>
        </w:rPr>
        <w:t>do so.</w:t>
      </w:r>
    </w:p>
    <w:p w14:paraId="1BF40C9E" w14:textId="77777777" w:rsidR="009650FE" w:rsidRDefault="009650FE">
      <w:pPr>
        <w:pStyle w:val="Kop3"/>
        <w:divId w:val="953290302"/>
        <w:rPr>
          <w:rFonts w:eastAsia="Times New Roman"/>
          <w:lang w:val="en-GB"/>
        </w:rPr>
      </w:pPr>
      <w:bookmarkStart w:id="67" w:name="_Toc242103205"/>
      <w:r>
        <w:rPr>
          <w:rFonts w:eastAsia="Times New Roman"/>
          <w:lang w:val="en-GB"/>
        </w:rPr>
        <w:t>Story 1 — The insurance policy and the healthcare allowance</w:t>
      </w:r>
      <w:bookmarkEnd w:id="67"/>
    </w:p>
    <w:p w14:paraId="7C94C5F0" w14:textId="77777777" w:rsidR="009650FE" w:rsidRDefault="009650FE">
      <w:pPr>
        <w:pStyle w:val="Kop4"/>
        <w:divId w:val="953290302"/>
        <w:rPr>
          <w:rFonts w:eastAsia="Times New Roman"/>
          <w:lang w:val="en-GB"/>
        </w:rPr>
      </w:pPr>
      <w:r>
        <w:rPr>
          <w:rFonts w:eastAsia="Times New Roman"/>
          <w:lang w:val="en-GB"/>
        </w:rPr>
        <w:t>What is a contract policy?</w:t>
      </w:r>
    </w:p>
    <w:p w14:paraId="727A7F65" w14:textId="77777777" w:rsidR="009650FE" w:rsidRDefault="009650FE">
      <w:pPr>
        <w:pStyle w:val="Normaalweb"/>
        <w:divId w:val="953290302"/>
        <w:rPr>
          <w:lang w:val="en-GB"/>
        </w:rPr>
      </w:pPr>
      <w:r>
        <w:rPr>
          <w:lang w:val="en-GB"/>
        </w:rPr>
        <w:t>A treaty policy is a European instrument. The employee lives in the Netherlands and works in Belgium. Under the European coordination rules, the country of employment is responsible for social security. The employee pays their social security contributions in Belgium, to the Belgian health insurance fund.</w:t>
      </w:r>
    </w:p>
    <w:p w14:paraId="60764598" w14:textId="77777777" w:rsidR="009650FE" w:rsidRDefault="009650FE">
      <w:pPr>
        <w:pStyle w:val="Normaalweb"/>
        <w:divId w:val="953290302"/>
        <w:rPr>
          <w:lang w:val="en-GB"/>
        </w:rPr>
      </w:pPr>
      <w:r>
        <w:rPr>
          <w:lang w:val="en-GB"/>
        </w:rPr>
        <w:t>However, he is also entitled to healthcare in his country of residence. That is what the treaty policy is for: CZ acts as the Dutch administrator of the policy, reimburses the Dutch healthcare costs, and settles them with Belgium.</w:t>
      </w:r>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57EBAA27" w14:textId="77777777">
        <w:trPr>
          <w:divId w:val="953290302"/>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3458B475" w14:textId="77777777" w:rsidR="009650FE" w:rsidRDefault="009650FE">
            <w:pPr>
              <w:pStyle w:val="Normaalweb"/>
              <w:spacing w:before="120"/>
              <w:jc w:val="center"/>
              <w:rPr>
                <w:sz w:val="21"/>
                <w:szCs w:val="21"/>
              </w:rPr>
            </w:pPr>
            <w:r>
              <w:rPr>
                <w:noProof/>
                <w:sz w:val="21"/>
                <w:szCs w:val="21"/>
              </w:rPr>
              <w:drawing>
                <wp:inline distT="0" distB="0" distL="0" distR="0" wp14:anchorId="19D02099" wp14:editId="05579928">
                  <wp:extent cx="3810000" cy="1181100"/>
                  <wp:effectExtent l="0" t="0" r="0" b="0"/>
                  <wp:docPr id="37" name="Afbeelding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3810000" cy="1181100"/>
                          </a:xfrm>
                          <a:prstGeom prst="rect">
                            <a:avLst/>
                          </a:prstGeom>
                          <a:noFill/>
                          <a:ln>
                            <a:noFill/>
                          </a:ln>
                        </pic:spPr>
                      </pic:pic>
                    </a:graphicData>
                  </a:graphic>
                </wp:inline>
              </w:drawing>
            </w:r>
          </w:p>
          <w:p w14:paraId="4A0FB6FB" w14:textId="77777777" w:rsidR="009650FE" w:rsidRDefault="009650FE">
            <w:pPr>
              <w:pStyle w:val="caption"/>
              <w:spacing w:after="120" w:afterAutospacing="0"/>
            </w:pPr>
            <w:r>
              <w:t>The premium goes to the country of employment (Belgium, via CM). CZ reimburses Dutch healthcare costs but does not receive a premium. Registration in the RIV register involves a lot of work for CZ without any corresponding income.</w:t>
            </w:r>
          </w:p>
        </w:tc>
      </w:tr>
    </w:tbl>
    <w:p w14:paraId="06EB7463" w14:textId="77777777" w:rsidR="009650FE" w:rsidRDefault="009650FE">
      <w:pPr>
        <w:pStyle w:val="Kop4"/>
        <w:divId w:val="953290302"/>
        <w:rPr>
          <w:rFonts w:eastAsia="Times New Roman"/>
          <w:lang w:val="en-GB"/>
        </w:rPr>
      </w:pPr>
      <w:r>
        <w:rPr>
          <w:rFonts w:eastAsia="Times New Roman"/>
          <w:lang w:val="en-GB"/>
        </w:rPr>
        <w:t>CZ’s reasoning</w:t>
      </w:r>
    </w:p>
    <w:p w14:paraId="11DCA1C1" w14:textId="77777777" w:rsidR="009650FE" w:rsidRDefault="009650FE">
      <w:pPr>
        <w:numPr>
          <w:ilvl w:val="0"/>
          <w:numId w:val="12"/>
        </w:numPr>
        <w:spacing w:before="100" w:beforeAutospacing="1" w:after="100" w:afterAutospacing="1"/>
        <w:divId w:val="953290302"/>
        <w:rPr>
          <w:rFonts w:eastAsia="Times New Roman"/>
          <w:lang w:val="en-GB"/>
        </w:rPr>
      </w:pPr>
      <w:r>
        <w:rPr>
          <w:rFonts w:eastAsia="Times New Roman"/>
          <w:lang w:val="en-GB"/>
        </w:rPr>
        <w:t>The treaty policy is not Dutch health insurance within the meaning of the Health Care Allowance Act.</w:t>
      </w:r>
    </w:p>
    <w:p w14:paraId="58362DE5" w14:textId="77777777" w:rsidR="009650FE" w:rsidRDefault="009650FE">
      <w:pPr>
        <w:numPr>
          <w:ilvl w:val="0"/>
          <w:numId w:val="12"/>
        </w:numPr>
        <w:spacing w:before="100" w:beforeAutospacing="1" w:after="100" w:afterAutospacing="1"/>
        <w:divId w:val="953290302"/>
        <w:rPr>
          <w:rFonts w:eastAsia="Times New Roman"/>
          <w:lang w:val="en-GB"/>
        </w:rPr>
      </w:pPr>
      <w:r>
        <w:rPr>
          <w:rFonts w:eastAsia="Times New Roman"/>
          <w:lang w:val="en-GB"/>
        </w:rPr>
        <w:t>The premium for the treaty policy is paid in the country of employment (Belgium), not in the Netherlands.</w:t>
      </w:r>
    </w:p>
    <w:p w14:paraId="318BA0A7" w14:textId="77777777" w:rsidR="009650FE" w:rsidRDefault="009650FE">
      <w:pPr>
        <w:numPr>
          <w:ilvl w:val="0"/>
          <w:numId w:val="12"/>
        </w:numPr>
        <w:spacing w:before="100" w:beforeAutospacing="1" w:after="100" w:afterAutospacing="1"/>
        <w:divId w:val="953290302"/>
        <w:rPr>
          <w:rFonts w:eastAsia="Times New Roman"/>
          <w:lang w:val="en-GB"/>
        </w:rPr>
      </w:pPr>
      <w:r>
        <w:rPr>
          <w:rFonts w:eastAsia="Times New Roman"/>
          <w:lang w:val="en-GB"/>
        </w:rPr>
        <w:t>Anyone who is insured for medical care in Belgium is not considered an insured person within the meaning of the Dutch Healthcare Allowance Act.</w:t>
      </w:r>
    </w:p>
    <w:p w14:paraId="549F072D" w14:textId="77777777" w:rsidR="009650FE" w:rsidRDefault="009650FE">
      <w:pPr>
        <w:numPr>
          <w:ilvl w:val="0"/>
          <w:numId w:val="12"/>
        </w:numPr>
        <w:spacing w:before="100" w:beforeAutospacing="1" w:after="100" w:afterAutospacing="1"/>
        <w:divId w:val="953290302"/>
        <w:rPr>
          <w:rFonts w:eastAsia="Times New Roman"/>
          <w:lang w:val="en-GB"/>
        </w:rPr>
      </w:pPr>
      <w:r>
        <w:rPr>
          <w:rFonts w:eastAsia="Times New Roman"/>
          <w:lang w:val="en-GB"/>
        </w:rPr>
        <w:t>There is therefore no entitlement to healthcare allowance.</w:t>
      </w:r>
    </w:p>
    <w:p w14:paraId="73E32163" w14:textId="77777777" w:rsidR="009650FE" w:rsidRDefault="009650FE">
      <w:pPr>
        <w:pStyle w:val="Normaalweb"/>
        <w:divId w:val="953290302"/>
        <w:rPr>
          <w:lang w:val="en-GB"/>
        </w:rPr>
      </w:pPr>
      <w:r>
        <w:rPr>
          <w:lang w:val="en-GB"/>
        </w:rPr>
        <w:t>The result is that, in the Netherlands, the holder of a treaty policy is insured for healthcare, but not for the benefit. The Benefits Service refers exclusively to the RIV register. If it isn’t in there, it doesn’t exist.</w:t>
      </w:r>
    </w:p>
    <w:p w14:paraId="6B84BD36" w14:textId="77777777" w:rsidR="009650FE" w:rsidRDefault="009650FE">
      <w:pPr>
        <w:pStyle w:val="Kop3"/>
        <w:divId w:val="953290302"/>
        <w:rPr>
          <w:rFonts w:eastAsia="Times New Roman"/>
          <w:lang w:val="en-GB"/>
        </w:rPr>
      </w:pPr>
      <w:bookmarkStart w:id="68" w:name="_Toc242103206"/>
      <w:r>
        <w:rPr>
          <w:rFonts w:eastAsia="Times New Roman"/>
          <w:lang w:val="en-GB"/>
        </w:rPr>
        <w:t>Story 1a — The chain of the blockade: CZ, CAK, ZIN</w:t>
      </w:r>
      <w:bookmarkEnd w:id="68"/>
    </w:p>
    <w:p w14:paraId="5E5BB055" w14:textId="77777777" w:rsidR="009650FE" w:rsidRDefault="009650FE">
      <w:pPr>
        <w:pStyle w:val="Normaalweb"/>
        <w:divId w:val="953290302"/>
        <w:rPr>
          <w:lang w:val="en-GB"/>
        </w:rPr>
      </w:pPr>
      <w:r>
        <w:rPr>
          <w:lang w:val="en-GB"/>
        </w:rPr>
        <w:t>CZ’s refusal to register the treaty policy is not the only issue. The RIV register — the Reference Database for Insured Persons under the Health Insurance Act — is managed by the Central Administration Office (CAK). And the Dutch Healthcare Institute (ZIN) oversees its implementation. In this case, all three bodies involved are refusing to resolve the problem.</w:t>
      </w:r>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3A638D22" w14:textId="77777777">
        <w:trPr>
          <w:divId w:val="953290302"/>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7E88A67C" w14:textId="77777777" w:rsidR="009650FE" w:rsidRDefault="009650FE">
            <w:pPr>
              <w:pStyle w:val="Normaalweb"/>
              <w:spacing w:before="120"/>
              <w:jc w:val="center"/>
              <w:rPr>
                <w:sz w:val="21"/>
                <w:szCs w:val="21"/>
              </w:rPr>
            </w:pPr>
            <w:r>
              <w:rPr>
                <w:noProof/>
                <w:sz w:val="21"/>
                <w:szCs w:val="21"/>
              </w:rPr>
              <w:drawing>
                <wp:inline distT="0" distB="0" distL="0" distR="0" wp14:anchorId="0D1ACC2F" wp14:editId="7A9D7327">
                  <wp:extent cx="3810000" cy="1524000"/>
                  <wp:effectExtent l="0" t="0" r="0" b="0"/>
                  <wp:docPr id="38" name="Afbeelding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3810000" cy="1524000"/>
                          </a:xfrm>
                          <a:prstGeom prst="rect">
                            <a:avLst/>
                          </a:prstGeom>
                          <a:noFill/>
                          <a:ln>
                            <a:noFill/>
                          </a:ln>
                        </pic:spPr>
                      </pic:pic>
                    </a:graphicData>
                  </a:graphic>
                </wp:inline>
              </w:drawing>
            </w:r>
          </w:p>
          <w:p w14:paraId="5B67DBAE" w14:textId="77777777" w:rsidR="009650FE" w:rsidRDefault="009650FE">
            <w:pPr>
              <w:pStyle w:val="caption"/>
              <w:spacing w:after="120" w:afterAutospacing="0"/>
            </w:pPr>
            <w:r>
              <w:rPr>
                <w:rStyle w:val="Zwaar"/>
              </w:rPr>
              <w:t>Figure X.2 — The closed triangle.</w:t>
            </w:r>
            <w:r>
              <w:t xml:space="preserve"> CZ refuses to register the data. The CAK manages the register but refuses to synchronise it. The ZIN supervises the process but refuses to grant access to individual files. Each body points the finger at the other. The citizen is trapped in a vicious circle that nobody is breaking.</w:t>
            </w:r>
          </w:p>
        </w:tc>
      </w:tr>
    </w:tbl>
    <w:p w14:paraId="182A32E9" w14:textId="77777777" w:rsidR="009650FE" w:rsidRDefault="009650FE">
      <w:pPr>
        <w:pStyle w:val="Kop4"/>
        <w:divId w:val="953290302"/>
        <w:rPr>
          <w:rFonts w:eastAsia="Times New Roman"/>
          <w:lang w:val="en-GB"/>
        </w:rPr>
      </w:pPr>
      <w:r>
        <w:rPr>
          <w:rFonts w:eastAsia="Times New Roman"/>
          <w:lang w:val="en-GB"/>
        </w:rPr>
        <w:t>The CAK’s reasoning</w:t>
      </w:r>
    </w:p>
    <w:p w14:paraId="25EFDB27" w14:textId="77777777" w:rsidR="009650FE" w:rsidRDefault="009650FE">
      <w:pPr>
        <w:pStyle w:val="Normaalweb"/>
        <w:divId w:val="953290302"/>
        <w:rPr>
          <w:lang w:val="en-GB"/>
        </w:rPr>
      </w:pPr>
      <w:r>
        <w:rPr>
          <w:lang w:val="en-GB"/>
        </w:rPr>
        <w:t>The CAK manages the Health Insurance Act Insured Persons Reference Database (RIV) and administers the contractual schemes. If, in April 2026, the patient formally demands that the active and paid-up treaty policy be entered into the register, the CAK will expose a fundamental architectural flaw in its own systems.</w:t>
      </w:r>
    </w:p>
    <w:p w14:paraId="7DB73E15" w14:textId="77777777" w:rsidR="009650FE" w:rsidRDefault="009650FE">
      <w:pPr>
        <w:pStyle w:val="Normaalweb"/>
        <w:divId w:val="953290302"/>
        <w:rPr>
          <w:lang w:val="en-GB"/>
        </w:rPr>
      </w:pPr>
      <w:r>
        <w:rPr>
          <w:lang w:val="en-GB"/>
        </w:rPr>
        <w:t>The authority refuses to register the policy on procedural grounds. The CAK states that it only registers ‘ordinary’ cross-border workers: those who work in the Netherlands and live abroad. For the reverse situation — living in the Netherlands and working abroad — there is simply no category programmed into the system.</w:t>
      </w:r>
    </w:p>
    <w:p w14:paraId="79D5A070" w14:textId="77777777" w:rsidR="009650FE" w:rsidRDefault="009650FE">
      <w:pPr>
        <w:pStyle w:val="Normaalweb"/>
        <w:divId w:val="953290302"/>
        <w:rPr>
          <w:lang w:val="en-GB"/>
        </w:rPr>
      </w:pPr>
      <w:r>
        <w:rPr>
          <w:lang w:val="en-GB"/>
        </w:rPr>
        <w:t>The system does not recognise the form field. And rather than adding the field, the CAK closes the file.</w:t>
      </w:r>
    </w:p>
    <w:p w14:paraId="1378EFC9" w14:textId="77777777" w:rsidR="009650FE" w:rsidRDefault="009650FE">
      <w:pPr>
        <w:pStyle w:val="Kop4"/>
        <w:divId w:val="953290302"/>
        <w:rPr>
          <w:rFonts w:eastAsia="Times New Roman"/>
          <w:lang w:val="en-GB"/>
        </w:rPr>
      </w:pPr>
      <w:r>
        <w:rPr>
          <w:rFonts w:eastAsia="Times New Roman"/>
          <w:lang w:val="en-GB"/>
        </w:rPr>
        <w:t>ZIN’s reasoning</w:t>
      </w:r>
    </w:p>
    <w:p w14:paraId="2193B8AE" w14:textId="77777777" w:rsidR="009650FE" w:rsidRDefault="009650FE">
      <w:pPr>
        <w:pStyle w:val="Normaalweb"/>
        <w:divId w:val="953290302"/>
        <w:rPr>
          <w:lang w:val="en-GB"/>
        </w:rPr>
      </w:pPr>
      <w:r>
        <w:rPr>
          <w:lang w:val="en-GB"/>
        </w:rPr>
        <w:t>The Dutch Healthcare Institute (Zorginstituut Nederland) manages and supervises the RIV register. When, in April 2026, the patient asks the Institute to investigate and rectify the exclusion from the register, the Institute states that it has no access to individual personal data. It refuses to check the register and refers the matter back to CZ and the CAK.</w:t>
      </w:r>
    </w:p>
    <w:p w14:paraId="3B20A9B4" w14:textId="77777777" w:rsidR="009650FE" w:rsidRDefault="009650FE">
      <w:pPr>
        <w:pStyle w:val="Normaalweb"/>
        <w:divId w:val="953290302"/>
        <w:rPr>
          <w:lang w:val="en-GB"/>
        </w:rPr>
      </w:pPr>
      <w:r>
        <w:rPr>
          <w:lang w:val="en-GB"/>
        </w:rPr>
        <w:t>The body that manages the register cannot access the register. That is the essence of the closed triangle: each body has a limited scope of authority, and no single body has the full scope.</w:t>
      </w:r>
    </w:p>
    <w:p w14:paraId="6F1B2499" w14:textId="77777777" w:rsidR="009650FE" w:rsidRDefault="009650FE">
      <w:pPr>
        <w:pStyle w:val="Kop3"/>
        <w:divId w:val="953290302"/>
        <w:rPr>
          <w:rFonts w:eastAsia="Times New Roman"/>
          <w:lang w:val="en-GB"/>
        </w:rPr>
      </w:pPr>
      <w:bookmarkStart w:id="69" w:name="_Toc242103207"/>
      <w:r>
        <w:rPr>
          <w:rFonts w:eastAsia="Times New Roman"/>
          <w:lang w:val="en-GB"/>
        </w:rPr>
        <w:t>Story 2 — Patient transport</w:t>
      </w:r>
      <w:bookmarkEnd w:id="69"/>
    </w:p>
    <w:p w14:paraId="7F57E2FC" w14:textId="77777777" w:rsidR="009650FE" w:rsidRDefault="009650FE">
      <w:pPr>
        <w:pStyle w:val="Normaalweb"/>
        <w:divId w:val="953290302"/>
        <w:rPr>
          <w:lang w:val="en-GB"/>
        </w:rPr>
      </w:pPr>
      <w:r>
        <w:rPr>
          <w:lang w:val="en-GB"/>
        </w:rPr>
        <w:t>Due to amputations and loss of vision, the patient is no longer able to drive independently. His healthcare providers are in Belgium. He lives in the Netherlands. He requires adapted transport for these journeys — seated patient transport. In the Netherlands, this is a benefit provided through the health insurer. For a policy under a treaty, this is CZ.</w:t>
      </w:r>
    </w:p>
    <w:p w14:paraId="69ABE2D8" w14:textId="77777777" w:rsidR="009650FE" w:rsidRDefault="009650FE">
      <w:pPr>
        <w:pStyle w:val="Kop4"/>
        <w:divId w:val="953290302"/>
        <w:rPr>
          <w:rFonts w:eastAsia="Times New Roman"/>
          <w:lang w:val="en-GB"/>
        </w:rPr>
      </w:pPr>
      <w:r>
        <w:rPr>
          <w:rFonts w:eastAsia="Times New Roman"/>
          <w:lang w:val="en-GB"/>
        </w:rPr>
        <w:t>What CZ is demanding</w:t>
      </w:r>
    </w:p>
    <w:p w14:paraId="022A57B5" w14:textId="77777777" w:rsidR="009650FE" w:rsidRDefault="009650FE">
      <w:pPr>
        <w:pStyle w:val="Normaalweb"/>
        <w:divId w:val="953290302"/>
        <w:rPr>
          <w:lang w:val="en-GB"/>
        </w:rPr>
      </w:pPr>
      <w:r>
        <w:rPr>
          <w:lang w:val="en-GB"/>
        </w:rPr>
        <w:t xml:space="preserve">On 18 March 2026, the patient submits an application for authorisation for seated patient transport to the Belgian hospital. On 25 March, CZ sends a request for further information: a </w:t>
      </w:r>
      <w:r>
        <w:rPr>
          <w:rStyle w:val="Zwaar"/>
          <w:lang w:val="en-GB"/>
        </w:rPr>
        <w:t>perimetry test</w:t>
      </w:r>
      <w:r>
        <w:rPr>
          <w:lang w:val="en-GB"/>
        </w:rPr>
        <w:t xml:space="preserve"> — an examination of the field of vision — is required.</w:t>
      </w:r>
    </w:p>
    <w:p w14:paraId="2D736910" w14:textId="77777777" w:rsidR="009650FE" w:rsidRDefault="009650FE">
      <w:pPr>
        <w:pStyle w:val="Normaalweb"/>
        <w:divId w:val="953290302"/>
        <w:rPr>
          <w:lang w:val="en-GB"/>
        </w:rPr>
      </w:pPr>
      <w:r>
        <w:rPr>
          <w:lang w:val="en-GB"/>
        </w:rPr>
        <w:t>What is perimetry? An ophthalmological examination in which the full perimeter of the visual field is measured. It is a standard examination in Dutch ophthalmology. It is not a standard examination in the Belgian protocol for this specific condition — diabetic retinopathy with macular oedema. The Belgian hospital does not carry out this test on this patient, as it is not included in the treatment protocol.</w:t>
      </w:r>
    </w:p>
    <w:p w14:paraId="3F924808" w14:textId="77777777" w:rsidR="009650FE" w:rsidRDefault="009650FE">
      <w:pPr>
        <w:pStyle w:val="Normaalweb"/>
        <w:divId w:val="953290302"/>
        <w:rPr>
          <w:lang w:val="en-GB"/>
        </w:rPr>
      </w:pPr>
      <w:r>
        <w:rPr>
          <w:lang w:val="en-GB"/>
        </w:rPr>
        <w:t>The result is that the patient cannot provide the evidence, as the test is not available in the country where he is being treated.</w:t>
      </w:r>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0EE1F9D8" w14:textId="77777777">
        <w:trPr>
          <w:divId w:val="953290302"/>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69E234BE" w14:textId="77777777" w:rsidR="009650FE" w:rsidRDefault="009650FE">
            <w:pPr>
              <w:pStyle w:val="Normaalweb"/>
              <w:spacing w:before="120"/>
              <w:jc w:val="center"/>
              <w:rPr>
                <w:sz w:val="21"/>
                <w:szCs w:val="21"/>
              </w:rPr>
            </w:pPr>
            <w:r>
              <w:rPr>
                <w:noProof/>
                <w:sz w:val="21"/>
                <w:szCs w:val="21"/>
              </w:rPr>
              <w:drawing>
                <wp:inline distT="0" distB="0" distL="0" distR="0" wp14:anchorId="2852EBF0" wp14:editId="5F311FCA">
                  <wp:extent cx="3810000" cy="1041400"/>
                  <wp:effectExtent l="0" t="0" r="0" b="6350"/>
                  <wp:docPr id="39" name="Afbeelding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3810000" cy="1041400"/>
                          </a:xfrm>
                          <a:prstGeom prst="rect">
                            <a:avLst/>
                          </a:prstGeom>
                          <a:noFill/>
                          <a:ln>
                            <a:noFill/>
                          </a:ln>
                        </pic:spPr>
                      </pic:pic>
                    </a:graphicData>
                  </a:graphic>
                </wp:inline>
              </w:drawing>
            </w:r>
          </w:p>
          <w:p w14:paraId="260E550F" w14:textId="77777777" w:rsidR="009650FE" w:rsidRDefault="009650FE">
            <w:pPr>
              <w:pStyle w:val="caption"/>
              <w:spacing w:after="120" w:afterAutospacing="0"/>
            </w:pPr>
            <w:r>
              <w:t>CZ is requesting a test that is not routinely carried out in the country where the patient is receiving treatment. The patient is unable to provide the evidence, not because he is unwilling to do so, but because the test is not included in his clinician’s treatment protocol.</w:t>
            </w:r>
          </w:p>
        </w:tc>
      </w:tr>
    </w:tbl>
    <w:p w14:paraId="0E3A7B55" w14:textId="77777777" w:rsidR="009650FE" w:rsidRDefault="009650FE">
      <w:pPr>
        <w:pStyle w:val="Kop4"/>
        <w:divId w:val="953290302"/>
        <w:rPr>
          <w:rFonts w:eastAsia="Times New Roman"/>
          <w:lang w:val="en-GB"/>
        </w:rPr>
      </w:pPr>
      <w:r>
        <w:rPr>
          <w:rFonts w:eastAsia="Times New Roman"/>
          <w:lang w:val="en-GB"/>
        </w:rPr>
        <w:t>The procedural dance</w:t>
      </w:r>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69005F0C" w14:textId="77777777">
        <w:trPr>
          <w:divId w:val="953290302"/>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749A37A1" w14:textId="77777777" w:rsidR="009650FE" w:rsidRDefault="009650FE">
            <w:pPr>
              <w:pStyle w:val="Normaalweb"/>
              <w:spacing w:before="120"/>
              <w:jc w:val="center"/>
              <w:rPr>
                <w:sz w:val="21"/>
                <w:szCs w:val="21"/>
              </w:rPr>
            </w:pPr>
            <w:r>
              <w:rPr>
                <w:noProof/>
                <w:sz w:val="21"/>
                <w:szCs w:val="21"/>
              </w:rPr>
              <w:drawing>
                <wp:inline distT="0" distB="0" distL="0" distR="0" wp14:anchorId="6C221F7C" wp14:editId="4E8F0149">
                  <wp:extent cx="3810000" cy="2286000"/>
                  <wp:effectExtent l="0" t="0" r="0" b="0"/>
                  <wp:docPr id="40" name="Afbeelding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3810000" cy="2286000"/>
                          </a:xfrm>
                          <a:prstGeom prst="rect">
                            <a:avLst/>
                          </a:prstGeom>
                          <a:noFill/>
                          <a:ln>
                            <a:noFill/>
                          </a:ln>
                        </pic:spPr>
                      </pic:pic>
                    </a:graphicData>
                  </a:graphic>
                </wp:inline>
              </w:drawing>
            </w:r>
          </w:p>
          <w:p w14:paraId="5B550DD4" w14:textId="77777777" w:rsidR="009650FE" w:rsidRDefault="009650FE">
            <w:pPr>
              <w:pStyle w:val="caption"/>
              <w:spacing w:after="120" w:afterAutospacing="0"/>
            </w:pPr>
            <w:r>
              <w:rPr>
                <w:rStyle w:val="Zwaar"/>
              </w:rPr>
              <w:t>Figure X.4 — The dance.</w:t>
            </w:r>
            <w:r>
              <w:t xml:space="preserve"> Five rounds, three rejections, one escalation. A new procedural requirement each time. Granted each time. And each time, the threshold shifts. The patient provides the evidence, but the protocol does not accept it.</w:t>
            </w:r>
          </w:p>
        </w:tc>
      </w:tr>
    </w:tbl>
    <w:p w14:paraId="4E4B31D1" w14:textId="77777777" w:rsidR="009650FE" w:rsidRDefault="009650FE">
      <w:pPr>
        <w:pStyle w:val="Kop3"/>
        <w:divId w:val="953290302"/>
        <w:rPr>
          <w:rFonts w:eastAsia="Times New Roman"/>
          <w:lang w:val="en-GB"/>
        </w:rPr>
      </w:pPr>
      <w:bookmarkStart w:id="70" w:name="_Toc242103208"/>
      <w:r>
        <w:rPr>
          <w:rFonts w:eastAsia="Times New Roman"/>
          <w:lang w:val="en-GB"/>
        </w:rPr>
        <w:t>Part C — The parallel: CZ and CM</w:t>
      </w:r>
      <w:bookmarkEnd w:id="70"/>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6A25E8EA" w14:textId="77777777">
        <w:trPr>
          <w:divId w:val="953290302"/>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35C2EC54" w14:textId="77777777" w:rsidR="009650FE" w:rsidRDefault="009650FE">
            <w:pPr>
              <w:pStyle w:val="Normaalweb"/>
              <w:spacing w:before="120"/>
              <w:jc w:val="center"/>
              <w:rPr>
                <w:sz w:val="21"/>
                <w:szCs w:val="21"/>
              </w:rPr>
            </w:pPr>
            <w:r>
              <w:rPr>
                <w:noProof/>
                <w:sz w:val="21"/>
                <w:szCs w:val="21"/>
              </w:rPr>
              <w:drawing>
                <wp:inline distT="0" distB="0" distL="0" distR="0" wp14:anchorId="5DDF467B" wp14:editId="621EB191">
                  <wp:extent cx="3810000" cy="1670050"/>
                  <wp:effectExtent l="0" t="0" r="0" b="6350"/>
                  <wp:docPr id="41" name="Afbeelding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3810000" cy="1670050"/>
                          </a:xfrm>
                          <a:prstGeom prst="rect">
                            <a:avLst/>
                          </a:prstGeom>
                          <a:noFill/>
                          <a:ln>
                            <a:noFill/>
                          </a:ln>
                        </pic:spPr>
                      </pic:pic>
                    </a:graphicData>
                  </a:graphic>
                </wp:inline>
              </w:drawing>
            </w:r>
          </w:p>
          <w:p w14:paraId="11F11E59" w14:textId="77777777" w:rsidR="009650FE" w:rsidRDefault="009650FE">
            <w:pPr>
              <w:pStyle w:val="caption"/>
              <w:spacing w:after="120" w:afterAutospacing="0"/>
            </w:pPr>
            <w:r>
              <w:rPr>
                <w:rStyle w:val="Zwaar"/>
              </w:rPr>
              <w:t>Figure X.5 — The parallel.</w:t>
            </w:r>
            <w:r>
              <w:t xml:space="preserve"> </w:t>
            </w:r>
            <w:r>
              <w:t>CM and CZ apply the same logic: medical evidence is accepted where it fits within their own protocol, and rejected where the protocol imposes a procedural requirement that the patient cannot meet. The protocol is the truth, not the body.</w:t>
            </w:r>
          </w:p>
        </w:tc>
      </w:tr>
    </w:tbl>
    <w:p w14:paraId="4B6535C5" w14:textId="77777777" w:rsidR="009650FE" w:rsidRDefault="009650FE">
      <w:pPr>
        <w:pStyle w:val="Kop3"/>
        <w:divId w:val="953290302"/>
        <w:rPr>
          <w:rFonts w:eastAsia="Times New Roman"/>
          <w:lang w:val="en-GB"/>
        </w:rPr>
      </w:pPr>
      <w:bookmarkStart w:id="71" w:name="_Toc242103209"/>
      <w:r>
        <w:rPr>
          <w:rFonts w:eastAsia="Times New Roman"/>
          <w:lang w:val="en-GB"/>
        </w:rPr>
        <w:t>Part D — What this achieves</w:t>
      </w:r>
      <w:bookmarkEnd w:id="71"/>
    </w:p>
    <w:p w14:paraId="04CC9B77" w14:textId="77777777" w:rsidR="009650FE" w:rsidRDefault="009650FE">
      <w:pPr>
        <w:pStyle w:val="Normaalweb"/>
        <w:divId w:val="953290302"/>
        <w:rPr>
          <w:lang w:val="en-GB"/>
        </w:rPr>
      </w:pPr>
      <w:r>
        <w:rPr>
          <w:lang w:val="en-GB"/>
        </w:rPr>
        <w:t>In both cases, the patient has provided the maximum evidence he is able to provide. In the first case: a valid insurance policy, paid premiums, and an administering body in Belgium. In the second case: a complete medical file detailing amputations, visual acuity measurements, and an academic report from a university hospital.</w:t>
      </w:r>
    </w:p>
    <w:p w14:paraId="3874CFFD" w14:textId="77777777" w:rsidR="009650FE" w:rsidRDefault="009650FE">
      <w:pPr>
        <w:pStyle w:val="Normaalweb"/>
        <w:divId w:val="953290302"/>
        <w:rPr>
          <w:lang w:val="en-GB"/>
        </w:rPr>
      </w:pPr>
      <w:r>
        <w:rPr>
          <w:lang w:val="en-GB"/>
        </w:rPr>
        <w:t>In both cases, CZ rejects the claim on procedural grounds. The treaty policy is not a Dutch insurance policy. The scope is not specified. The mileage calculation is incorrect. The old letter carries more weight than the new report.</w:t>
      </w:r>
    </w:p>
    <w:p w14:paraId="745BF9BE" w14:textId="77777777" w:rsidR="009650FE" w:rsidRDefault="009650FE">
      <w:pPr>
        <w:pStyle w:val="Normaalweb"/>
        <w:divId w:val="953290302"/>
        <w:rPr>
          <w:lang w:val="en-GB"/>
        </w:rPr>
      </w:pPr>
      <w:r>
        <w:rPr>
          <w:lang w:val="en-GB"/>
        </w:rPr>
        <w:t>The crux of the matter is not that CZ is making mistakes. The crux of the matter is that the CZ protocol takes precedence over medical reality. And because the law allows CZ the leeway to follow the protocol, there is no breach. Just an outcome that the family cannot bear. And the CZ-CAK-ZIN triangle closes in on the family without a single loophole.</w:t>
      </w:r>
    </w:p>
    <w:tbl>
      <w:tblPr>
        <w:tblW w:w="5000" w:type="pct"/>
        <w:tblCellMar>
          <w:top w:w="15" w:type="dxa"/>
          <w:left w:w="15" w:type="dxa"/>
          <w:bottom w:w="15" w:type="dxa"/>
          <w:right w:w="15" w:type="dxa"/>
        </w:tblCellMar>
        <w:tblLook w:val="04A0" w:firstRow="1" w:lastRow="0" w:firstColumn="1" w:lastColumn="0" w:noHBand="0" w:noVBand="1"/>
      </w:tblPr>
      <w:tblGrid>
        <w:gridCol w:w="9019"/>
      </w:tblGrid>
      <w:tr w:rsidR="00000000" w14:paraId="3B89D5EA" w14:textId="77777777">
        <w:trPr>
          <w:divId w:val="953290302"/>
        </w:trPr>
        <w:tc>
          <w:tcPr>
            <w:tcW w:w="0" w:type="auto"/>
            <w:tcBorders>
              <w:top w:val="single" w:sz="6" w:space="0" w:color="D5D0C5"/>
              <w:left w:val="single" w:sz="36" w:space="0" w:color="4A3B6B"/>
              <w:bottom w:val="single" w:sz="6" w:space="0" w:color="D5D0C5"/>
              <w:right w:val="single" w:sz="6" w:space="0" w:color="D5D0C5"/>
            </w:tcBorders>
            <w:shd w:val="clear" w:color="auto" w:fill="EDE9F5"/>
            <w:tcMar>
              <w:top w:w="200" w:type="dxa"/>
              <w:left w:w="280" w:type="dxa"/>
              <w:bottom w:w="200" w:type="dxa"/>
              <w:right w:w="280" w:type="dxa"/>
            </w:tcMar>
            <w:hideMark/>
          </w:tcPr>
          <w:p w14:paraId="0788F041" w14:textId="77777777" w:rsidR="009650FE" w:rsidRDefault="009650FE">
            <w:pPr>
              <w:spacing w:before="240" w:after="240"/>
              <w:rPr>
                <w:rFonts w:eastAsia="Times New Roman"/>
                <w:szCs w:val="22"/>
              </w:rPr>
            </w:pPr>
            <w:r>
              <w:rPr>
                <w:rStyle w:val="Zwaar"/>
                <w:rFonts w:eastAsia="Times New Roman"/>
                <w:szCs w:val="22"/>
              </w:rPr>
              <w:t>For anyone in the same situation:</w:t>
            </w:r>
            <w:r>
              <w:rPr>
                <w:rFonts w:eastAsia="Times New Roman"/>
                <w:szCs w:val="22"/>
              </w:rPr>
              <w:t xml:space="preserve"> in the case of rejections by CZ on protocol grounds, there are four courses of action: </w:t>
            </w:r>
          </w:p>
          <w:p w14:paraId="2B759567" w14:textId="77777777" w:rsidR="009650FE" w:rsidRDefault="009650FE">
            <w:pPr>
              <w:numPr>
                <w:ilvl w:val="0"/>
                <w:numId w:val="13"/>
              </w:numPr>
              <w:spacing w:before="100" w:beforeAutospacing="1" w:after="100" w:afterAutospacing="1"/>
              <w:rPr>
                <w:rFonts w:eastAsia="Times New Roman"/>
                <w:szCs w:val="22"/>
              </w:rPr>
            </w:pPr>
            <w:r>
              <w:rPr>
                <w:rFonts w:eastAsia="Times New Roman"/>
                <w:szCs w:val="22"/>
              </w:rPr>
              <w:t>Lodge a formal objection with CZ itself, emphasising the impossibility of providing the requested evidence (incompatibility with the protocol). Include a statement from the treating doctor confirming that the requested test is not included in the treatment protocol.</w:t>
            </w:r>
          </w:p>
          <w:p w14:paraId="58F15533" w14:textId="77777777" w:rsidR="009650FE" w:rsidRDefault="009650FE">
            <w:pPr>
              <w:numPr>
                <w:ilvl w:val="0"/>
                <w:numId w:val="13"/>
              </w:numPr>
              <w:spacing w:before="100" w:beforeAutospacing="1" w:after="100" w:afterAutospacing="1"/>
              <w:rPr>
                <w:rFonts w:eastAsia="Times New Roman"/>
                <w:szCs w:val="22"/>
              </w:rPr>
            </w:pPr>
            <w:r>
              <w:rPr>
                <w:rFonts w:eastAsia="Times New Roman"/>
                <w:szCs w:val="22"/>
              </w:rPr>
              <w:t>Escalate the matter to the Office for Belgian Affairs (BBZ) at the SVB. The BBZ can exert pressure, but has no binding authority.</w:t>
            </w:r>
          </w:p>
          <w:p w14:paraId="3D5E7BFD" w14:textId="77777777" w:rsidR="009650FE" w:rsidRDefault="009650FE">
            <w:pPr>
              <w:numPr>
                <w:ilvl w:val="0"/>
                <w:numId w:val="13"/>
              </w:numPr>
              <w:spacing w:before="100" w:beforeAutospacing="1" w:after="100" w:afterAutospacing="1"/>
              <w:rPr>
                <w:rFonts w:eastAsia="Times New Roman"/>
                <w:szCs w:val="22"/>
              </w:rPr>
            </w:pPr>
            <w:r>
              <w:rPr>
                <w:rFonts w:eastAsia="Times New Roman"/>
                <w:szCs w:val="22"/>
              </w:rPr>
              <w:t>For the healthcare allowance: lodge a formal objection with the Allowances Service based on the CZ claim summaries showing that you have paid the Dutch excess.</w:t>
            </w:r>
          </w:p>
          <w:p w14:paraId="6CC7796A" w14:textId="77777777" w:rsidR="009650FE" w:rsidRDefault="009650FE">
            <w:pPr>
              <w:numPr>
                <w:ilvl w:val="0"/>
                <w:numId w:val="13"/>
              </w:numPr>
              <w:spacing w:before="100" w:beforeAutospacing="1" w:after="100" w:afterAutospacing="1"/>
              <w:rPr>
                <w:rFonts w:eastAsia="Times New Roman"/>
                <w:szCs w:val="22"/>
              </w:rPr>
            </w:pPr>
            <w:r>
              <w:rPr>
                <w:rFonts w:eastAsia="Times New Roman"/>
                <w:szCs w:val="22"/>
              </w:rPr>
              <w:t>Request for access under Article 15 of the GDPR from CZ, CAK and ZIN, focusing on the EESSI log files and the RIV registration attempts. This makes the communication measurable and may still force a manual correction.</w:t>
            </w:r>
          </w:p>
        </w:tc>
      </w:tr>
    </w:tbl>
    <w:p w14:paraId="31E035F8" w14:textId="77777777" w:rsidR="009650FE" w:rsidRDefault="009650FE">
      <w:pPr>
        <w:pStyle w:val="noot"/>
        <w:spacing w:after="120" w:afterAutospacing="0"/>
        <w:divId w:val="953290302"/>
        <w:rPr>
          <w:lang w:val="en-GB"/>
        </w:rPr>
      </w:pPr>
      <w:r>
        <w:rPr>
          <w:lang w:val="en-GB"/>
        </w:rPr>
        <w:t>All organisations mentioned in this chapter are legal entities. Natural persons are referred to by their title or the symbol (</w:t>
      </w:r>
      <w:r>
        <w:rPr>
          <w:rFonts w:ascii="Segoe UI Symbol" w:hAnsi="Segoe UI Symbol" w:cs="Segoe UI Symbol"/>
          <w:lang w:val="en-GB"/>
        </w:rPr>
        <w:t>♂</w:t>
      </w:r>
      <w:r>
        <w:rPr>
          <w:lang w:val="en-GB"/>
        </w:rPr>
        <w:t>). The facts are based on Document B. This chapter does not constitute legal advice.</w:t>
      </w:r>
    </w:p>
    <w:p w14:paraId="46C022B4" w14:textId="77777777" w:rsidR="009650FE" w:rsidRDefault="009650FE">
      <w:pPr>
        <w:pStyle w:val="marker"/>
        <w:ind w:left="800" w:right="800"/>
        <w:divId w:val="953290302"/>
        <w:rPr>
          <w:lang w:val="en-GB"/>
        </w:rPr>
      </w:pPr>
      <w:r>
        <w:br w:type="page"/>
      </w:r>
    </w:p>
    <w:p w14:paraId="2285872E" w14:textId="77777777" w:rsidR="009650FE" w:rsidRDefault="009650FE">
      <w:pPr>
        <w:pStyle w:val="Kop2"/>
        <w:divId w:val="953290302"/>
        <w:rPr>
          <w:rFonts w:eastAsia="Times New Roman"/>
          <w:lang w:val="en-GB"/>
        </w:rPr>
      </w:pPr>
      <w:bookmarkStart w:id="72" w:name="_Toc242103210"/>
      <w:r>
        <w:rPr>
          <w:rFonts w:eastAsia="Times New Roman"/>
          <w:lang w:val="en-GB"/>
        </w:rPr>
        <w:t>The Hulst-trap municipality</w:t>
      </w:r>
      <w:bookmarkEnd w:id="72"/>
    </w:p>
    <w:p w14:paraId="779FC3A1" w14:textId="77777777" w:rsidR="009650FE" w:rsidRDefault="009650FE">
      <w:pPr>
        <w:pStyle w:val="lead"/>
        <w:divId w:val="953290302"/>
        <w:rPr>
          <w:lang w:val="en-GB"/>
        </w:rPr>
      </w:pPr>
      <w:r>
        <w:rPr>
          <w:lang w:val="en-GB"/>
        </w:rPr>
        <w:t>In the Netherlands, the local authority is the first point of contact for anyone facing financial hardship. For a cross-border worker in Zeeuws-Vlaanderen, the municipality of Hulst would be the logical place to apply for social assistance, special social assistance or social support. In practice, however, things are different. The local authority receives the cry for help, but does not provide any money. It offers equipment and assistance. And it uses calculation models that fail to reflect the actual situ</w:t>
      </w:r>
      <w:r>
        <w:rPr>
          <w:lang w:val="en-GB"/>
        </w:rPr>
        <w:t>ation. A formal appeal is now under consideration — but the decision on it has been postponed yet again.</w:t>
      </w:r>
    </w:p>
    <w:p w14:paraId="4720ED9D" w14:textId="77777777" w:rsidR="009650FE" w:rsidRDefault="009650FE">
      <w:pPr>
        <w:pStyle w:val="Kop3"/>
        <w:divId w:val="953290302"/>
        <w:rPr>
          <w:rFonts w:eastAsia="Times New Roman"/>
          <w:lang w:val="en-GB"/>
        </w:rPr>
      </w:pPr>
      <w:bookmarkStart w:id="73" w:name="_Toc242103211"/>
      <w:r>
        <w:rPr>
          <w:rFonts w:eastAsia="Times New Roman"/>
          <w:lang w:val="en-GB"/>
        </w:rPr>
        <w:t>Part A — The local authority as the first point of contact that doesn’t help</w:t>
      </w:r>
      <w:bookmarkEnd w:id="73"/>
    </w:p>
    <w:p w14:paraId="5548747A" w14:textId="77777777" w:rsidR="009650FE" w:rsidRDefault="009650FE">
      <w:pPr>
        <w:pStyle w:val="Kop4"/>
        <w:divId w:val="953290302"/>
        <w:rPr>
          <w:rFonts w:eastAsia="Times New Roman"/>
          <w:lang w:val="en-GB"/>
        </w:rPr>
      </w:pPr>
      <w:r>
        <w:rPr>
          <w:rFonts w:eastAsia="Times New Roman"/>
          <w:lang w:val="en-GB"/>
        </w:rPr>
        <w:t>What the local authority could have done</w:t>
      </w:r>
    </w:p>
    <w:p w14:paraId="57A9615B" w14:textId="77777777" w:rsidR="009650FE" w:rsidRDefault="009650FE">
      <w:pPr>
        <w:pStyle w:val="Normaalweb"/>
        <w:divId w:val="953290302"/>
        <w:rPr>
          <w:lang w:val="en-GB"/>
        </w:rPr>
      </w:pPr>
      <w:r>
        <w:rPr>
          <w:lang w:val="en-GB"/>
        </w:rPr>
        <w:t>Under the Dutch social security system, the local authority has three tools at its disposal to address income hardship:</w:t>
      </w:r>
    </w:p>
    <w:p w14:paraId="1808D5A0" w14:textId="77777777" w:rsidR="009650FE" w:rsidRDefault="009650FE">
      <w:pPr>
        <w:numPr>
          <w:ilvl w:val="0"/>
          <w:numId w:val="14"/>
        </w:numPr>
        <w:spacing w:before="100" w:beforeAutospacing="1" w:after="100" w:afterAutospacing="1"/>
        <w:divId w:val="953290302"/>
        <w:rPr>
          <w:rFonts w:eastAsia="Times New Roman"/>
          <w:lang w:val="en-GB"/>
        </w:rPr>
      </w:pPr>
      <w:r>
        <w:rPr>
          <w:rStyle w:val="Zwaar"/>
          <w:rFonts w:eastAsia="Times New Roman"/>
          <w:lang w:val="en-GB"/>
        </w:rPr>
        <w:t>Social assistance</w:t>
      </w:r>
      <w:r>
        <w:rPr>
          <w:rFonts w:eastAsia="Times New Roman"/>
          <w:lang w:val="en-GB"/>
        </w:rPr>
        <w:t xml:space="preserve"> (Participation Act) — a monthly benefit for those with little or no income.</w:t>
      </w:r>
    </w:p>
    <w:p w14:paraId="25F80E61" w14:textId="77777777" w:rsidR="009650FE" w:rsidRDefault="009650FE">
      <w:pPr>
        <w:numPr>
          <w:ilvl w:val="0"/>
          <w:numId w:val="14"/>
        </w:numPr>
        <w:spacing w:before="100" w:beforeAutospacing="1" w:after="100" w:afterAutospacing="1"/>
        <w:divId w:val="953290302"/>
        <w:rPr>
          <w:rFonts w:eastAsia="Times New Roman"/>
          <w:lang w:val="en-GB"/>
        </w:rPr>
      </w:pPr>
      <w:r>
        <w:rPr>
          <w:rStyle w:val="Zwaar"/>
          <w:rFonts w:eastAsia="Times New Roman"/>
          <w:lang w:val="en-GB"/>
        </w:rPr>
        <w:t>Special assistance</w:t>
      </w:r>
      <w:r>
        <w:rPr>
          <w:rFonts w:eastAsia="Times New Roman"/>
          <w:lang w:val="en-GB"/>
        </w:rPr>
        <w:t xml:space="preserve"> — a one-off payment to cover unforeseen essential expenses.</w:t>
      </w:r>
    </w:p>
    <w:p w14:paraId="384C5C02" w14:textId="77777777" w:rsidR="009650FE" w:rsidRDefault="009650FE">
      <w:pPr>
        <w:numPr>
          <w:ilvl w:val="0"/>
          <w:numId w:val="14"/>
        </w:numPr>
        <w:spacing w:before="100" w:beforeAutospacing="1" w:after="100" w:afterAutospacing="1"/>
        <w:divId w:val="953290302"/>
        <w:rPr>
          <w:rFonts w:eastAsia="Times New Roman"/>
          <w:lang w:val="en-GB"/>
        </w:rPr>
      </w:pPr>
      <w:r>
        <w:rPr>
          <w:rStyle w:val="Zwaar"/>
          <w:rFonts w:eastAsia="Times New Roman"/>
          <w:lang w:val="en-GB"/>
        </w:rPr>
        <w:t>Wmo support</w:t>
      </w:r>
      <w:r>
        <w:rPr>
          <w:rFonts w:eastAsia="Times New Roman"/>
          <w:lang w:val="en-GB"/>
        </w:rPr>
        <w:t xml:space="preserve"> — social support, including domestic help and transport.</w:t>
      </w:r>
    </w:p>
    <w:p w14:paraId="6472781D" w14:textId="77777777" w:rsidR="009650FE" w:rsidRDefault="009650FE">
      <w:pPr>
        <w:pStyle w:val="Normaalweb"/>
        <w:divId w:val="953290302"/>
        <w:rPr>
          <w:lang w:val="en-GB"/>
        </w:rPr>
      </w:pPr>
      <w:r>
        <w:rPr>
          <w:lang w:val="en-GB"/>
        </w:rPr>
        <w:t>These three schemes are designed to provide support when income is lost or insufficient. For a cross-border worker facing a medical emergency and a complete loss of income, that is precisely the situation for which they were created.</w:t>
      </w:r>
    </w:p>
    <w:p w14:paraId="1676E401" w14:textId="77777777" w:rsidR="009650FE" w:rsidRDefault="009650FE">
      <w:pPr>
        <w:pStyle w:val="Kop4"/>
        <w:divId w:val="953290302"/>
        <w:rPr>
          <w:rFonts w:eastAsia="Times New Roman"/>
          <w:lang w:val="en-GB"/>
        </w:rPr>
      </w:pPr>
      <w:r>
        <w:rPr>
          <w:rFonts w:eastAsia="Times New Roman"/>
          <w:lang w:val="en-GB"/>
        </w:rPr>
        <w:t>What the local authority did</w:t>
      </w:r>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49AD54D2" w14:textId="77777777">
        <w:trPr>
          <w:divId w:val="953290302"/>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6A15AA51" w14:textId="77777777" w:rsidR="009650FE" w:rsidRDefault="009650FE">
            <w:pPr>
              <w:pStyle w:val="Normaalweb"/>
              <w:spacing w:before="120"/>
              <w:jc w:val="center"/>
              <w:rPr>
                <w:sz w:val="21"/>
                <w:szCs w:val="21"/>
              </w:rPr>
            </w:pPr>
            <w:r>
              <w:rPr>
                <w:noProof/>
                <w:sz w:val="21"/>
                <w:szCs w:val="21"/>
              </w:rPr>
              <w:drawing>
                <wp:inline distT="0" distB="0" distL="0" distR="0" wp14:anchorId="62AADC00" wp14:editId="0A1BA892">
                  <wp:extent cx="3810000" cy="2355850"/>
                  <wp:effectExtent l="0" t="0" r="0" b="6350"/>
                  <wp:docPr id="42" name="Afbeelding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3810000" cy="2355850"/>
                          </a:xfrm>
                          <a:prstGeom prst="rect">
                            <a:avLst/>
                          </a:prstGeom>
                          <a:noFill/>
                          <a:ln>
                            <a:noFill/>
                          </a:ln>
                        </pic:spPr>
                      </pic:pic>
                    </a:graphicData>
                  </a:graphic>
                </wp:inline>
              </w:drawing>
            </w:r>
          </w:p>
          <w:p w14:paraId="5C33C8DB" w14:textId="77777777" w:rsidR="009650FE" w:rsidRDefault="009650FE">
            <w:pPr>
              <w:pStyle w:val="caption"/>
              <w:spacing w:after="120" w:afterAutospacing="0"/>
            </w:pPr>
            <w:r>
              <w:rPr>
                <w:rStyle w:val="Zwaar"/>
              </w:rPr>
              <w:t>Figure XI.1 — The first helpline that doesn’t help.</w:t>
            </w:r>
            <w:r>
              <w:t xml:space="preserve"> The local authority received six formal reports, spread over eleven months. Each time, the response is either a procedural one or no response at all. Applications for social assistance and special assistance are not assessed. The only formal procedure currently underway is the appeal lodged on 22 July 2026 — and the decision on that has been adjourned.</w:t>
            </w:r>
          </w:p>
        </w:tc>
      </w:tr>
    </w:tbl>
    <w:p w14:paraId="199BDF46" w14:textId="77777777" w:rsidR="009650FE" w:rsidRDefault="009650FE">
      <w:pPr>
        <w:pStyle w:val="Kop3"/>
        <w:divId w:val="953290302"/>
        <w:rPr>
          <w:rFonts w:eastAsia="Times New Roman"/>
          <w:lang w:val="en-GB"/>
        </w:rPr>
      </w:pPr>
      <w:bookmarkStart w:id="74" w:name="_Toc242103212"/>
      <w:r>
        <w:rPr>
          <w:rFonts w:eastAsia="Times New Roman"/>
          <w:lang w:val="en-GB"/>
        </w:rPr>
        <w:t>Part B — The pending appeal</w:t>
      </w:r>
      <w:bookmarkEnd w:id="74"/>
    </w:p>
    <w:p w14:paraId="0BD131E3" w14:textId="77777777" w:rsidR="009650FE" w:rsidRDefault="009650FE">
      <w:pPr>
        <w:pStyle w:val="Normaalweb"/>
        <w:divId w:val="953290302"/>
        <w:rPr>
          <w:lang w:val="en-GB"/>
        </w:rPr>
      </w:pPr>
      <w:r>
        <w:rPr>
          <w:lang w:val="en-GB"/>
        </w:rPr>
        <w:t>The only formal procedure remaining is the appeal lodged on 22 July 2026 against the decision of 22 June 2026 concerning special assistance. This is the first point at which the local authority is required to formally assess the application. The local authority responded by extending the decision-making period.</w:t>
      </w:r>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50FC09CE" w14:textId="77777777">
        <w:trPr>
          <w:divId w:val="953290302"/>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73738071" w14:textId="77777777" w:rsidR="009650FE" w:rsidRDefault="009650FE">
            <w:pPr>
              <w:pStyle w:val="Normaalweb"/>
              <w:spacing w:before="120"/>
              <w:jc w:val="center"/>
              <w:rPr>
                <w:sz w:val="21"/>
                <w:szCs w:val="21"/>
              </w:rPr>
            </w:pPr>
            <w:r>
              <w:rPr>
                <w:noProof/>
                <w:sz w:val="21"/>
                <w:szCs w:val="21"/>
              </w:rPr>
              <w:drawing>
                <wp:inline distT="0" distB="0" distL="0" distR="0" wp14:anchorId="1A583B7C" wp14:editId="23017614">
                  <wp:extent cx="3810000" cy="1181100"/>
                  <wp:effectExtent l="0" t="0" r="0" b="0"/>
                  <wp:docPr id="43" name="Afbeelding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3810000" cy="1181100"/>
                          </a:xfrm>
                          <a:prstGeom prst="rect">
                            <a:avLst/>
                          </a:prstGeom>
                          <a:noFill/>
                          <a:ln>
                            <a:noFill/>
                          </a:ln>
                        </pic:spPr>
                      </pic:pic>
                    </a:graphicData>
                  </a:graphic>
                </wp:inline>
              </w:drawing>
            </w:r>
          </w:p>
          <w:p w14:paraId="31136AFC" w14:textId="77777777" w:rsidR="009650FE" w:rsidRDefault="009650FE">
            <w:pPr>
              <w:pStyle w:val="caption"/>
              <w:spacing w:after="120" w:afterAutospacing="0"/>
            </w:pPr>
            <w:r>
              <w:rPr>
                <w:rStyle w:val="Zwaar"/>
              </w:rPr>
              <w:t>Figure XI.2 — The pending appeal.</w:t>
            </w:r>
            <w:r>
              <w:t xml:space="preserve"> </w:t>
            </w:r>
            <w:r>
              <w:t>The appeal against the decision on special assistance was lodged on 22 July 2026. The local authority confirmed receipt on 21 September 2026 and extended the decision-making period by six weeks. The applicant did not request an oral hearing, as the grounds had already been sufficiently set out.</w:t>
            </w:r>
          </w:p>
        </w:tc>
      </w:tr>
    </w:tbl>
    <w:p w14:paraId="70110FE1" w14:textId="77777777" w:rsidR="009650FE" w:rsidRDefault="009650FE">
      <w:pPr>
        <w:pStyle w:val="Kop3"/>
        <w:divId w:val="953290302"/>
        <w:rPr>
          <w:rFonts w:eastAsia="Times New Roman"/>
          <w:lang w:val="en-GB"/>
        </w:rPr>
      </w:pPr>
      <w:bookmarkStart w:id="75" w:name="_Toc242103213"/>
      <w:r>
        <w:rPr>
          <w:rFonts w:eastAsia="Times New Roman"/>
          <w:lang w:val="en-GB"/>
        </w:rPr>
        <w:t>Part C — The mathematical models that fail to reflect reality</w:t>
      </w:r>
      <w:bookmarkEnd w:id="75"/>
    </w:p>
    <w:p w14:paraId="599B2818" w14:textId="77777777" w:rsidR="009650FE" w:rsidRDefault="009650FE">
      <w:pPr>
        <w:pStyle w:val="Normaalweb"/>
        <w:divId w:val="953290302"/>
        <w:rPr>
          <w:lang w:val="en-GB"/>
        </w:rPr>
      </w:pPr>
      <w:r>
        <w:rPr>
          <w:lang w:val="en-GB"/>
        </w:rPr>
        <w:t>The reason why the local authority, like Parentia, does not allocate any funds is down to the calculation model. Social security benefits and special social security benefits are means-tested against an income threshold. In principle, that makes sense. But the model does not take the actual situation into account.</w:t>
      </w:r>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7156DC7D" w14:textId="77777777">
        <w:trPr>
          <w:divId w:val="953290302"/>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305DF637" w14:textId="77777777" w:rsidR="009650FE" w:rsidRDefault="009650FE">
            <w:pPr>
              <w:pStyle w:val="Normaalweb"/>
              <w:spacing w:before="120"/>
              <w:jc w:val="center"/>
              <w:rPr>
                <w:sz w:val="21"/>
                <w:szCs w:val="21"/>
              </w:rPr>
            </w:pPr>
            <w:r>
              <w:rPr>
                <w:noProof/>
                <w:sz w:val="21"/>
                <w:szCs w:val="21"/>
              </w:rPr>
              <w:drawing>
                <wp:inline distT="0" distB="0" distL="0" distR="0" wp14:anchorId="71F7E1DE" wp14:editId="33AA3008">
                  <wp:extent cx="3810000" cy="1181100"/>
                  <wp:effectExtent l="0" t="0" r="0" b="0"/>
                  <wp:docPr id="44" name="Afbeelding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3810000" cy="1181100"/>
                          </a:xfrm>
                          <a:prstGeom prst="rect">
                            <a:avLst/>
                          </a:prstGeom>
                          <a:noFill/>
                          <a:ln>
                            <a:noFill/>
                          </a:ln>
                        </pic:spPr>
                      </pic:pic>
                    </a:graphicData>
                  </a:graphic>
                </wp:inline>
              </w:drawing>
            </w:r>
          </w:p>
          <w:p w14:paraId="1FBB5920" w14:textId="77777777" w:rsidR="009650FE" w:rsidRDefault="009650FE">
            <w:pPr>
              <w:pStyle w:val="caption"/>
              <w:spacing w:after="120" w:afterAutospacing="0"/>
            </w:pPr>
            <w:r>
              <w:t>The calculation model uses historical tax data. It does not take into account that actual income has fallen to zero, that medical costs have risen, and that the household is living below the poverty line. It is exactly the same pattern as with Parentia.</w:t>
            </w:r>
          </w:p>
        </w:tc>
      </w:tr>
    </w:tbl>
    <w:p w14:paraId="2C55ACA2" w14:textId="77777777" w:rsidR="009650FE" w:rsidRDefault="009650FE">
      <w:pPr>
        <w:pStyle w:val="Kop3"/>
        <w:divId w:val="953290302"/>
        <w:rPr>
          <w:rFonts w:eastAsia="Times New Roman"/>
          <w:lang w:val="en-GB"/>
        </w:rPr>
      </w:pPr>
      <w:bookmarkStart w:id="76" w:name="_Toc242103214"/>
      <w:r>
        <w:rPr>
          <w:rFonts w:eastAsia="Times New Roman"/>
          <w:lang w:val="en-GB"/>
        </w:rPr>
        <w:t>Part D — The mobility antics</w:t>
      </w:r>
      <w:bookmarkEnd w:id="76"/>
    </w:p>
    <w:p w14:paraId="6DCC9B31" w14:textId="77777777" w:rsidR="009650FE" w:rsidRDefault="009650FE">
      <w:pPr>
        <w:pStyle w:val="Normaalweb"/>
        <w:divId w:val="953290302"/>
        <w:rPr>
          <w:lang w:val="en-GB"/>
        </w:rPr>
      </w:pPr>
      <w:r>
        <w:rPr>
          <w:lang w:val="en-GB"/>
        </w:rPr>
        <w:t>The local authority does offer something: mobility. There are two schemes: the disabled parking permit (GPK) and the Wmo pass for adapted transport. Both work — to some extent. And both come with their own personal contribution.</w:t>
      </w:r>
    </w:p>
    <w:p w14:paraId="5D6A868F" w14:textId="77777777" w:rsidR="009650FE" w:rsidRDefault="009650FE">
      <w:pPr>
        <w:pStyle w:val="Kop4"/>
        <w:divId w:val="953290302"/>
        <w:rPr>
          <w:rFonts w:eastAsia="Times New Roman"/>
          <w:lang w:val="en-GB"/>
        </w:rPr>
      </w:pPr>
      <w:r>
        <w:rPr>
          <w:rFonts w:eastAsia="Times New Roman"/>
          <w:lang w:val="en-GB"/>
        </w:rPr>
        <w:t>The disabled parking permit</w:t>
      </w:r>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7607729A" w14:textId="77777777">
        <w:trPr>
          <w:divId w:val="953290302"/>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5AB8FB2F" w14:textId="77777777" w:rsidR="009650FE" w:rsidRDefault="009650FE">
            <w:pPr>
              <w:pStyle w:val="Normaalweb"/>
              <w:spacing w:before="120"/>
              <w:jc w:val="center"/>
              <w:rPr>
                <w:sz w:val="21"/>
                <w:szCs w:val="21"/>
              </w:rPr>
            </w:pPr>
            <w:r>
              <w:rPr>
                <w:noProof/>
                <w:sz w:val="21"/>
                <w:szCs w:val="21"/>
              </w:rPr>
              <w:drawing>
                <wp:inline distT="0" distB="0" distL="0" distR="0" wp14:anchorId="3178407B" wp14:editId="45539C91">
                  <wp:extent cx="3810000" cy="971550"/>
                  <wp:effectExtent l="0" t="0" r="0" b="0"/>
                  <wp:docPr id="45" name="Afbeelding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3810000" cy="971550"/>
                          </a:xfrm>
                          <a:prstGeom prst="rect">
                            <a:avLst/>
                          </a:prstGeom>
                          <a:noFill/>
                          <a:ln>
                            <a:noFill/>
                          </a:ln>
                        </pic:spPr>
                      </pic:pic>
                    </a:graphicData>
                  </a:graphic>
                </wp:inline>
              </w:drawing>
            </w:r>
          </w:p>
          <w:p w14:paraId="05890EBF" w14:textId="77777777" w:rsidR="009650FE" w:rsidRDefault="009650FE">
            <w:pPr>
              <w:pStyle w:val="caption"/>
              <w:spacing w:after="120" w:afterAutospacing="0"/>
            </w:pPr>
            <w:r>
              <w:t>The patient holds a European parking card issued by the Belgian federal government. The municipality of Hulst refuses to accept it and is demanding a new local assessment, with the associated administrative fees. What is striking is that the patient was required to resubmit the medical file on 17 September 2026, even though it had already been submitted on 7 March 2026 and 20 August 2026.</w:t>
            </w:r>
          </w:p>
        </w:tc>
      </w:tr>
    </w:tbl>
    <w:p w14:paraId="16C46726" w14:textId="77777777" w:rsidR="009650FE" w:rsidRDefault="009650FE">
      <w:pPr>
        <w:pStyle w:val="Kop4"/>
        <w:divId w:val="953290302"/>
        <w:rPr>
          <w:rFonts w:eastAsia="Times New Roman"/>
          <w:lang w:val="en-GB"/>
        </w:rPr>
      </w:pPr>
      <w:r>
        <w:rPr>
          <w:rFonts w:eastAsia="Times New Roman"/>
          <w:lang w:val="en-GB"/>
        </w:rPr>
        <w:t>The Wmo card and the personal contribution</w:t>
      </w:r>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175F3419" w14:textId="77777777">
        <w:trPr>
          <w:divId w:val="953290302"/>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07B5D12F" w14:textId="77777777" w:rsidR="009650FE" w:rsidRDefault="009650FE">
            <w:pPr>
              <w:pStyle w:val="Normaalweb"/>
              <w:spacing w:before="120"/>
              <w:jc w:val="center"/>
              <w:rPr>
                <w:sz w:val="21"/>
                <w:szCs w:val="21"/>
              </w:rPr>
            </w:pPr>
            <w:r>
              <w:rPr>
                <w:noProof/>
                <w:sz w:val="21"/>
                <w:szCs w:val="21"/>
              </w:rPr>
              <w:drawing>
                <wp:inline distT="0" distB="0" distL="0" distR="0" wp14:anchorId="79E3A252" wp14:editId="401D7663">
                  <wp:extent cx="3810000" cy="1104900"/>
                  <wp:effectExtent l="0" t="0" r="0" b="0"/>
                  <wp:docPr id="46" name="Afbeelding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3810000" cy="1104900"/>
                          </a:xfrm>
                          <a:prstGeom prst="rect">
                            <a:avLst/>
                          </a:prstGeom>
                          <a:noFill/>
                          <a:ln>
                            <a:noFill/>
                          </a:ln>
                        </pic:spPr>
                      </pic:pic>
                    </a:graphicData>
                  </a:graphic>
                </wp:inline>
              </w:drawing>
            </w:r>
          </w:p>
          <w:p w14:paraId="6526AA46" w14:textId="77777777" w:rsidR="009650FE" w:rsidRDefault="009650FE">
            <w:pPr>
              <w:pStyle w:val="caption"/>
              <w:spacing w:after="120" w:afterAutospacing="0"/>
            </w:pPr>
            <w:r>
              <w:t>The Wmo card enables patients to get about. However, the personal contribution falls due during a period when they have no income. And anyone who fails to pay on time loses their card.</w:t>
            </w:r>
          </w:p>
        </w:tc>
      </w:tr>
    </w:tbl>
    <w:p w14:paraId="3A5E4F71" w14:textId="77777777" w:rsidR="009650FE" w:rsidRDefault="009650FE">
      <w:pPr>
        <w:pStyle w:val="Kop3"/>
        <w:divId w:val="953290302"/>
        <w:rPr>
          <w:rFonts w:eastAsia="Times New Roman"/>
          <w:lang w:val="en-GB"/>
        </w:rPr>
      </w:pPr>
      <w:bookmarkStart w:id="77" w:name="_Toc242103215"/>
      <w:r>
        <w:rPr>
          <w:rFonts w:eastAsia="Times New Roman"/>
          <w:lang w:val="en-GB"/>
        </w:rPr>
        <w:t>Part E — The limits of transport under the Wmo</w:t>
      </w:r>
      <w:bookmarkEnd w:id="77"/>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002FE122" w14:textId="77777777">
        <w:trPr>
          <w:divId w:val="953290302"/>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4F1A69E8" w14:textId="77777777" w:rsidR="009650FE" w:rsidRDefault="009650FE">
            <w:pPr>
              <w:pStyle w:val="Normaalweb"/>
              <w:spacing w:before="120"/>
              <w:jc w:val="center"/>
              <w:rPr>
                <w:sz w:val="21"/>
                <w:szCs w:val="21"/>
              </w:rPr>
            </w:pPr>
            <w:r>
              <w:rPr>
                <w:noProof/>
                <w:sz w:val="21"/>
                <w:szCs w:val="21"/>
              </w:rPr>
              <w:drawing>
                <wp:inline distT="0" distB="0" distL="0" distR="0" wp14:anchorId="548C9905" wp14:editId="5338ABA3">
                  <wp:extent cx="3810000" cy="1384300"/>
                  <wp:effectExtent l="0" t="0" r="0" b="6350"/>
                  <wp:docPr id="47" name="Afbeelding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3810000" cy="1384300"/>
                          </a:xfrm>
                          <a:prstGeom prst="rect">
                            <a:avLst/>
                          </a:prstGeom>
                          <a:noFill/>
                          <a:ln>
                            <a:noFill/>
                          </a:ln>
                        </pic:spPr>
                      </pic:pic>
                    </a:graphicData>
                  </a:graphic>
                </wp:inline>
              </w:drawing>
            </w:r>
          </w:p>
          <w:p w14:paraId="435DCA8A" w14:textId="77777777" w:rsidR="009650FE" w:rsidRDefault="009650FE">
            <w:pPr>
              <w:pStyle w:val="caption"/>
              <w:spacing w:after="120" w:afterAutospacing="0"/>
            </w:pPr>
            <w:r>
              <w:t>The system allows journeys to academic hospitals across the border, but refuses journeys to Belgian government agencies at exactly the same distance. Requests for assistance in cases of vision loss are also not recorded.</w:t>
            </w:r>
          </w:p>
        </w:tc>
      </w:tr>
    </w:tbl>
    <w:p w14:paraId="47DC9664" w14:textId="77777777" w:rsidR="009650FE" w:rsidRDefault="009650FE">
      <w:pPr>
        <w:pStyle w:val="Kop3"/>
        <w:divId w:val="953290302"/>
        <w:rPr>
          <w:rFonts w:eastAsia="Times New Roman"/>
          <w:lang w:val="en-GB"/>
        </w:rPr>
      </w:pPr>
      <w:bookmarkStart w:id="78" w:name="_Toc242103216"/>
      <w:r>
        <w:rPr>
          <w:rFonts w:eastAsia="Times New Roman"/>
          <w:lang w:val="en-GB"/>
        </w:rPr>
        <w:t>Part F — The pattern repeats itself</w:t>
      </w:r>
      <w:bookmarkEnd w:id="78"/>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163A23C3" w14:textId="77777777">
        <w:trPr>
          <w:divId w:val="953290302"/>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74824747" w14:textId="77777777" w:rsidR="009650FE" w:rsidRDefault="009650FE">
            <w:pPr>
              <w:pStyle w:val="Normaalweb"/>
              <w:spacing w:before="120"/>
              <w:jc w:val="center"/>
              <w:rPr>
                <w:sz w:val="21"/>
                <w:szCs w:val="21"/>
              </w:rPr>
            </w:pPr>
            <w:r>
              <w:rPr>
                <w:noProof/>
                <w:sz w:val="21"/>
                <w:szCs w:val="21"/>
              </w:rPr>
              <w:drawing>
                <wp:inline distT="0" distB="0" distL="0" distR="0" wp14:anchorId="4B1FC974" wp14:editId="08EBA57F">
                  <wp:extent cx="3810000" cy="1333500"/>
                  <wp:effectExtent l="0" t="0" r="0" b="0"/>
                  <wp:docPr id="48" name="Afbeelding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3810000" cy="1333500"/>
                          </a:xfrm>
                          <a:prstGeom prst="rect">
                            <a:avLst/>
                          </a:prstGeom>
                          <a:noFill/>
                          <a:ln>
                            <a:noFill/>
                          </a:ln>
                        </pic:spPr>
                      </pic:pic>
                    </a:graphicData>
                  </a:graphic>
                </wp:inline>
              </w:drawing>
            </w:r>
          </w:p>
          <w:p w14:paraId="44F56BEC" w14:textId="77777777" w:rsidR="009650FE" w:rsidRDefault="009650FE">
            <w:pPr>
              <w:pStyle w:val="caption"/>
              <w:spacing w:after="120" w:afterAutospacing="0"/>
            </w:pPr>
            <w:r>
              <w:rPr>
                <w:rStyle w:val="Zwaar"/>
              </w:rPr>
              <w:t>Figure XI.5 — Three bodies, one pattern.</w:t>
            </w:r>
            <w:r>
              <w:t xml:space="preserve"> </w:t>
            </w:r>
            <w:r>
              <w:t>Parentia, the municipality of Hulst and CZ all apply the same mechanism: medical reality is recognised where it fits within the protocol, and rejected where the protocol imposes a procedural requirement that the citizen cannot fulfil.</w:t>
            </w:r>
          </w:p>
        </w:tc>
      </w:tr>
    </w:tbl>
    <w:p w14:paraId="4F7AC050" w14:textId="77777777" w:rsidR="009650FE" w:rsidRDefault="009650FE">
      <w:pPr>
        <w:pStyle w:val="Kop3"/>
        <w:divId w:val="953290302"/>
        <w:rPr>
          <w:rFonts w:eastAsia="Times New Roman"/>
          <w:lang w:val="en-GB"/>
        </w:rPr>
      </w:pPr>
      <w:bookmarkStart w:id="79" w:name="_Toc242103217"/>
      <w:r>
        <w:rPr>
          <w:rFonts w:eastAsia="Times New Roman"/>
          <w:lang w:val="en-GB"/>
        </w:rPr>
        <w:t>What the local authority should have been</w:t>
      </w:r>
      <w:bookmarkEnd w:id="79"/>
    </w:p>
    <w:p w14:paraId="33309A0D" w14:textId="77777777" w:rsidR="009650FE" w:rsidRDefault="009650FE">
      <w:pPr>
        <w:pStyle w:val="Normaalweb"/>
        <w:divId w:val="953290302"/>
        <w:rPr>
          <w:lang w:val="en-GB"/>
        </w:rPr>
      </w:pPr>
      <w:r>
        <w:rPr>
          <w:lang w:val="en-GB"/>
        </w:rPr>
        <w:t>In theory, the local authority is the first point of contact. It knows its residents, is familiar with the local situation and has the tools to intervene quickly. In this case, however, the local authority failed to do so. It received the distress call six times and issued six procedural responses. Not once was the financial situation assessed in any substantive way.</w:t>
      </w:r>
    </w:p>
    <w:p w14:paraId="6A92A828" w14:textId="77777777" w:rsidR="009650FE" w:rsidRDefault="009650FE">
      <w:pPr>
        <w:pStyle w:val="Normaalweb"/>
        <w:divId w:val="953290302"/>
        <w:rPr>
          <w:lang w:val="en-GB"/>
        </w:rPr>
      </w:pPr>
      <w:r>
        <w:rPr>
          <w:lang w:val="en-GB"/>
        </w:rPr>
        <w:t xml:space="preserve">And the crux of the matter is this: </w:t>
      </w:r>
      <w:r>
        <w:rPr>
          <w:rStyle w:val="Zwaar"/>
          <w:lang w:val="en-GB"/>
        </w:rPr>
        <w:t>in theory, the benefits should be enough.</w:t>
      </w:r>
      <w:r>
        <w:rPr>
          <w:lang w:val="en-GB"/>
        </w:rPr>
        <w:t xml:space="preserve"> The Belgian sickness benefit, the Dutch WIA, the top-ups, the family allowance — together, they should be enough to keep a household afloat. The problem isn’t that the money isn’t there. The problem is that nobody is plugging the gap that has arisen between the various schemes. Medical costs are the trigger, but the administrative deadlock is the cause of the impoverishment.</w:t>
      </w:r>
    </w:p>
    <w:p w14:paraId="1749F2A8" w14:textId="77777777" w:rsidR="009650FE" w:rsidRDefault="009650FE">
      <w:pPr>
        <w:pStyle w:val="Normaalweb"/>
        <w:divId w:val="953290302"/>
        <w:rPr>
          <w:lang w:val="en-GB"/>
        </w:rPr>
      </w:pPr>
      <w:r>
        <w:rPr>
          <w:lang w:val="en-GB"/>
        </w:rPr>
        <w:t>The only formal procedure currently underway is the notice of objection dated 22 July 2026. The deadline for a decision on this has been extended by six weeks. The applicant has not requested an oral hearing, as the grounds have already been sufficiently set out. The decision will follow at a later date. Until then, the financial situation remains unchanged.</w:t>
      </w:r>
    </w:p>
    <w:tbl>
      <w:tblPr>
        <w:tblW w:w="5000" w:type="pct"/>
        <w:tblCellMar>
          <w:top w:w="15" w:type="dxa"/>
          <w:left w:w="15" w:type="dxa"/>
          <w:bottom w:w="15" w:type="dxa"/>
          <w:right w:w="15" w:type="dxa"/>
        </w:tblCellMar>
        <w:tblLook w:val="04A0" w:firstRow="1" w:lastRow="0" w:firstColumn="1" w:lastColumn="0" w:noHBand="0" w:noVBand="1"/>
      </w:tblPr>
      <w:tblGrid>
        <w:gridCol w:w="9019"/>
      </w:tblGrid>
      <w:tr w:rsidR="00000000" w14:paraId="00ADB771" w14:textId="77777777">
        <w:trPr>
          <w:divId w:val="953290302"/>
        </w:trPr>
        <w:tc>
          <w:tcPr>
            <w:tcW w:w="0" w:type="auto"/>
            <w:tcBorders>
              <w:top w:val="single" w:sz="6" w:space="0" w:color="D5D0C5"/>
              <w:left w:val="single" w:sz="36" w:space="0" w:color="4A3B6B"/>
              <w:bottom w:val="single" w:sz="6" w:space="0" w:color="D5D0C5"/>
              <w:right w:val="single" w:sz="6" w:space="0" w:color="D5D0C5"/>
            </w:tcBorders>
            <w:shd w:val="clear" w:color="auto" w:fill="EDE9F5"/>
            <w:tcMar>
              <w:top w:w="200" w:type="dxa"/>
              <w:left w:w="280" w:type="dxa"/>
              <w:bottom w:w="200" w:type="dxa"/>
              <w:right w:w="280" w:type="dxa"/>
            </w:tcMar>
            <w:hideMark/>
          </w:tcPr>
          <w:p w14:paraId="0AEECEA2" w14:textId="77777777" w:rsidR="009650FE" w:rsidRDefault="009650FE">
            <w:pPr>
              <w:spacing w:before="240" w:after="240"/>
              <w:rPr>
                <w:rFonts w:eastAsia="Times New Roman"/>
                <w:szCs w:val="22"/>
              </w:rPr>
            </w:pPr>
            <w:r>
              <w:rPr>
                <w:rStyle w:val="Zwaar"/>
                <w:rFonts w:eastAsia="Times New Roman"/>
                <w:szCs w:val="22"/>
              </w:rPr>
              <w:t>For anyone in the same situation:</w:t>
            </w:r>
            <w:r>
              <w:rPr>
                <w:rFonts w:eastAsia="Times New Roman"/>
                <w:szCs w:val="22"/>
              </w:rPr>
              <w:t xml:space="preserve"> the local authority is legally obliged to assess claims for social assistance and special assistance. A rejection on procedural grounds or because of an income model that does not reflect the actual situation can be challenged. Four steps: </w:t>
            </w:r>
          </w:p>
          <w:p w14:paraId="0679C7CA" w14:textId="77777777" w:rsidR="009650FE" w:rsidRDefault="009650FE">
            <w:pPr>
              <w:numPr>
                <w:ilvl w:val="0"/>
                <w:numId w:val="15"/>
              </w:numPr>
              <w:spacing w:before="100" w:beforeAutospacing="1" w:after="100" w:afterAutospacing="1"/>
              <w:rPr>
                <w:rFonts w:eastAsia="Times New Roman"/>
                <w:szCs w:val="22"/>
              </w:rPr>
            </w:pPr>
            <w:r>
              <w:rPr>
                <w:rFonts w:eastAsia="Times New Roman"/>
                <w:szCs w:val="22"/>
              </w:rPr>
              <w:t>Submit a formal application for special assistance, detailing the specific emergency (medical costs, debts, blocked benefits).</w:t>
            </w:r>
          </w:p>
          <w:p w14:paraId="08F246EF" w14:textId="77777777" w:rsidR="009650FE" w:rsidRDefault="009650FE">
            <w:pPr>
              <w:numPr>
                <w:ilvl w:val="0"/>
                <w:numId w:val="15"/>
              </w:numPr>
              <w:spacing w:before="100" w:beforeAutospacing="1" w:after="100" w:afterAutospacing="1"/>
              <w:rPr>
                <w:rFonts w:eastAsia="Times New Roman"/>
                <w:szCs w:val="22"/>
              </w:rPr>
            </w:pPr>
            <w:r>
              <w:rPr>
                <w:rFonts w:eastAsia="Times New Roman"/>
                <w:szCs w:val="22"/>
              </w:rPr>
              <w:t>If the local authority does not respond within the statutory time limit (8 weeks), lodge an appeal on the grounds of a delayed decision.</w:t>
            </w:r>
          </w:p>
          <w:p w14:paraId="5197FB4A" w14:textId="77777777" w:rsidR="009650FE" w:rsidRDefault="009650FE">
            <w:pPr>
              <w:numPr>
                <w:ilvl w:val="0"/>
                <w:numId w:val="15"/>
              </w:numPr>
              <w:spacing w:before="100" w:beforeAutospacing="1" w:after="100" w:afterAutospacing="1"/>
              <w:rPr>
                <w:rFonts w:eastAsia="Times New Roman"/>
                <w:szCs w:val="22"/>
              </w:rPr>
            </w:pPr>
            <w:r>
              <w:rPr>
                <w:rFonts w:eastAsia="Times New Roman"/>
                <w:szCs w:val="22"/>
              </w:rPr>
              <w:t>Request a face-to-face meeting with a debt counselling officer or a social welfare adviser.</w:t>
            </w:r>
          </w:p>
          <w:p w14:paraId="4E903620" w14:textId="77777777" w:rsidR="009650FE" w:rsidRDefault="009650FE">
            <w:pPr>
              <w:numPr>
                <w:ilvl w:val="0"/>
                <w:numId w:val="15"/>
              </w:numPr>
              <w:spacing w:before="100" w:beforeAutospacing="1" w:after="100" w:afterAutospacing="1"/>
              <w:rPr>
                <w:rFonts w:eastAsia="Times New Roman"/>
                <w:szCs w:val="22"/>
              </w:rPr>
            </w:pPr>
            <w:r>
              <w:rPr>
                <w:rFonts w:eastAsia="Times New Roman"/>
                <w:szCs w:val="22"/>
              </w:rPr>
              <w:t>If the local authority continues to refuse: lodge a formal objection with the mayor and aldermen and, if necessary, lodge an appeal with the administrative court. Be aware that the local authority is legally permitted to extend the decision-making period by six weeks (Section 7:10(3) of the General Administrative Law Act) — which is what has happened here.</w:t>
            </w:r>
          </w:p>
          <w:p w14:paraId="0D794737" w14:textId="77777777" w:rsidR="009650FE" w:rsidRDefault="009650FE">
            <w:pPr>
              <w:spacing w:after="0"/>
              <w:rPr>
                <w:rFonts w:eastAsia="Times New Roman"/>
                <w:szCs w:val="22"/>
              </w:rPr>
            </w:pPr>
            <w:r>
              <w:rPr>
                <w:rFonts w:eastAsia="Times New Roman"/>
                <w:szCs w:val="22"/>
              </w:rPr>
              <w:t xml:space="preserve">Regarding the Wmo pass and the GPK: a European parking card is a recognised EU document. The local authority cannot simply refuse to accept it. A formal objection on the grounds of mutual recognition may help. </w:t>
            </w:r>
          </w:p>
        </w:tc>
      </w:tr>
    </w:tbl>
    <w:p w14:paraId="23630ED8" w14:textId="77777777" w:rsidR="009650FE" w:rsidRDefault="009650FE">
      <w:pPr>
        <w:pStyle w:val="noot"/>
        <w:spacing w:after="120" w:afterAutospacing="0"/>
        <w:divId w:val="953290302"/>
        <w:rPr>
          <w:lang w:val="en-GB"/>
        </w:rPr>
      </w:pPr>
      <w:r>
        <w:rPr>
          <w:lang w:val="en-GB"/>
        </w:rPr>
        <w:t>All organisations mentioned in this chapter are legal entities. Natural persons are referred to by their title or the symbol (</w:t>
      </w:r>
      <w:r>
        <w:rPr>
          <w:rFonts w:ascii="Segoe UI Symbol" w:hAnsi="Segoe UI Symbol" w:cs="Segoe UI Symbol"/>
          <w:lang w:val="en-GB"/>
        </w:rPr>
        <w:t>♂</w:t>
      </w:r>
      <w:r>
        <w:rPr>
          <w:lang w:val="en-GB"/>
        </w:rPr>
        <w:t>). The facts are based on Document B. This chapter does not constitute legal advice.</w:t>
      </w:r>
    </w:p>
    <w:p w14:paraId="27918E10" w14:textId="77777777" w:rsidR="009650FE" w:rsidRDefault="009650FE">
      <w:pPr>
        <w:pStyle w:val="marker"/>
        <w:ind w:left="800" w:right="800"/>
        <w:divId w:val="953290302"/>
        <w:rPr>
          <w:lang w:val="en-GB"/>
        </w:rPr>
      </w:pPr>
      <w:r>
        <w:br w:type="page"/>
      </w:r>
    </w:p>
    <w:p w14:paraId="08435FCE" w14:textId="77777777" w:rsidR="009650FE" w:rsidRDefault="009650FE">
      <w:pPr>
        <w:pStyle w:val="Kop2"/>
        <w:divId w:val="953290302"/>
        <w:rPr>
          <w:rFonts w:eastAsia="Times New Roman"/>
          <w:lang w:val="en-GB"/>
        </w:rPr>
      </w:pPr>
      <w:bookmarkStart w:id="80" w:name="_Toc242103218"/>
      <w:r>
        <w:rPr>
          <w:rFonts w:eastAsia="Times New Roman"/>
          <w:lang w:val="en-GB"/>
        </w:rPr>
        <w:t>Tax and Customs Administration and benefits</w:t>
      </w:r>
      <w:bookmarkEnd w:id="80"/>
    </w:p>
    <w:p w14:paraId="1BBF1BA5" w14:textId="77777777" w:rsidR="009650FE" w:rsidRDefault="009650FE">
      <w:pPr>
        <w:pStyle w:val="lead"/>
        <w:divId w:val="953290302"/>
        <w:rPr>
          <w:lang w:val="en-GB"/>
        </w:rPr>
      </w:pPr>
      <w:r>
        <w:rPr>
          <w:lang w:val="en-GB"/>
        </w:rPr>
        <w:t>The Benefits Service pays out three means-tested benefits: healthcare allowance, housing benefit and child-related budget. In this family, one person is on full benefits, one is on partial benefits, and one is in work. And the tax return itself presents the taxpayer with a task they cannot carry out: entering a ‘worldwide income’ that they do not know, whilst being held personally responsible for its accuracy.</w:t>
      </w:r>
    </w:p>
    <w:p w14:paraId="0D9454CF" w14:textId="77777777" w:rsidR="009650FE" w:rsidRDefault="009650FE">
      <w:pPr>
        <w:pStyle w:val="Kop3"/>
        <w:divId w:val="953290302"/>
        <w:rPr>
          <w:rFonts w:eastAsia="Times New Roman"/>
          <w:lang w:val="en-GB"/>
        </w:rPr>
      </w:pPr>
      <w:bookmarkStart w:id="81" w:name="_Toc242103219"/>
      <w:r>
        <w:rPr>
          <w:rFonts w:eastAsia="Times New Roman"/>
          <w:lang w:val="en-GB"/>
        </w:rPr>
        <w:t>Part A — The three allowances</w:t>
      </w:r>
      <w:bookmarkEnd w:id="81"/>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2AFEFBB1" w14:textId="77777777">
        <w:trPr>
          <w:divId w:val="953290302"/>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0E864C73" w14:textId="77777777" w:rsidR="009650FE" w:rsidRDefault="009650FE">
            <w:pPr>
              <w:pStyle w:val="Normaalweb"/>
              <w:spacing w:before="120"/>
              <w:jc w:val="center"/>
              <w:rPr>
                <w:sz w:val="21"/>
                <w:szCs w:val="21"/>
              </w:rPr>
            </w:pPr>
            <w:r>
              <w:rPr>
                <w:noProof/>
                <w:sz w:val="21"/>
                <w:szCs w:val="21"/>
              </w:rPr>
              <w:drawing>
                <wp:inline distT="0" distB="0" distL="0" distR="0" wp14:anchorId="5A3BA685" wp14:editId="4E896B71">
                  <wp:extent cx="3810000" cy="1397000"/>
                  <wp:effectExtent l="0" t="0" r="0" b="0"/>
                  <wp:docPr id="49" name="Afbeelding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3810000" cy="1397000"/>
                          </a:xfrm>
                          <a:prstGeom prst="rect">
                            <a:avLst/>
                          </a:prstGeom>
                          <a:noFill/>
                          <a:ln>
                            <a:noFill/>
                          </a:ln>
                        </pic:spPr>
                      </pic:pic>
                    </a:graphicData>
                  </a:graphic>
                </wp:inline>
              </w:drawing>
            </w:r>
          </w:p>
          <w:p w14:paraId="512F9F4C" w14:textId="77777777" w:rsidR="009650FE" w:rsidRDefault="009650FE">
            <w:pPr>
              <w:pStyle w:val="caption"/>
              <w:spacing w:after="120" w:afterAutospacing="0"/>
            </w:pPr>
            <w:r>
              <w:rPr>
                <w:rStyle w:val="Zwaar"/>
              </w:rPr>
              <w:t>Figure XIII.1 — Three allowances.</w:t>
            </w:r>
            <w:r>
              <w:t xml:space="preserve"> The healthcare allowance remains at zero because CZ does not register the treaty policy as Dutch insurance. The rent allowance is partially effective, but the assessed income differs due to the foreign income. The child-related budget only came into effect after the SVB link was established — and was paid out retrospectively.</w:t>
            </w:r>
          </w:p>
        </w:tc>
      </w:tr>
    </w:tbl>
    <w:p w14:paraId="130A85A1" w14:textId="77777777" w:rsidR="009650FE" w:rsidRDefault="009650FE">
      <w:pPr>
        <w:pStyle w:val="Kop3"/>
        <w:divId w:val="953290302"/>
        <w:rPr>
          <w:rFonts w:eastAsia="Times New Roman"/>
          <w:lang w:val="en-GB"/>
        </w:rPr>
      </w:pPr>
      <w:bookmarkStart w:id="82" w:name="_Toc242103220"/>
      <w:r>
        <w:rPr>
          <w:rFonts w:eastAsia="Times New Roman"/>
          <w:lang w:val="en-GB"/>
        </w:rPr>
        <w:t>Part B — The mechanics behind it</w:t>
      </w:r>
      <w:bookmarkEnd w:id="82"/>
    </w:p>
    <w:p w14:paraId="15B51A2D" w14:textId="77777777" w:rsidR="009650FE" w:rsidRDefault="009650FE">
      <w:pPr>
        <w:pStyle w:val="Normaalweb"/>
        <w:divId w:val="953290302"/>
        <w:rPr>
          <w:lang w:val="en-GB"/>
        </w:rPr>
      </w:pPr>
      <w:r>
        <w:rPr>
          <w:lang w:val="en-GB"/>
        </w:rPr>
        <w:t>What the results of the benefit assessments do not show is what the citizen has to do to achieve those results. And what goes wrong when they do not do so, or are unable to do so.</w:t>
      </w:r>
    </w:p>
    <w:p w14:paraId="5FB9FC06" w14:textId="77777777" w:rsidR="009650FE" w:rsidRDefault="009650FE">
      <w:pPr>
        <w:pStyle w:val="Kop4"/>
        <w:divId w:val="953290302"/>
        <w:rPr>
          <w:rFonts w:eastAsia="Times New Roman"/>
          <w:lang w:val="en-GB"/>
        </w:rPr>
      </w:pPr>
      <w:r>
        <w:rPr>
          <w:rFonts w:eastAsia="Times New Roman"/>
          <w:lang w:val="en-GB"/>
        </w:rPr>
        <w:t>The global income that the citizen must enter</w:t>
      </w:r>
    </w:p>
    <w:p w14:paraId="7D065D8C" w14:textId="77777777" w:rsidR="009650FE" w:rsidRDefault="009650FE">
      <w:pPr>
        <w:pStyle w:val="Normaalweb"/>
        <w:divId w:val="953290302"/>
        <w:rPr>
          <w:lang w:val="en-GB"/>
        </w:rPr>
      </w:pPr>
      <w:r>
        <w:rPr>
          <w:lang w:val="en-GB"/>
        </w:rPr>
        <w:t xml:space="preserve">When filing an income tax return, the Dutch Tax and Customs Administration asks for your </w:t>
      </w:r>
      <w:r>
        <w:rPr>
          <w:rStyle w:val="Zwaar"/>
          <w:lang w:val="en-GB"/>
        </w:rPr>
        <w:t>worldwide income</w:t>
      </w:r>
      <w:r>
        <w:rPr>
          <w:lang w:val="en-GB"/>
        </w:rPr>
        <w:t>: all income that you have earned anywhere in the world. For a cross-border worker, this means: your Belgian salary, your Belgian benefits, your Belgian allowances – everything.</w:t>
      </w:r>
    </w:p>
    <w:p w14:paraId="783FCF39" w14:textId="77777777" w:rsidR="009650FE" w:rsidRDefault="009650FE">
      <w:pPr>
        <w:pStyle w:val="Normaalweb"/>
        <w:divId w:val="953290302"/>
        <w:rPr>
          <w:lang w:val="en-GB"/>
        </w:rPr>
      </w:pPr>
      <w:r>
        <w:rPr>
          <w:lang w:val="en-GB"/>
        </w:rPr>
        <w:t>However, citizens do not receive this information automatically. The Belgian tax authorities do not send it to the Dutch tax authorities. The DAC (Directive on Administrative Cooperation) infrastructure is designed for the automatic exchange of income data — but the exchange is not in real time and is not always complete. Citizens must enter the amounts themselves, based on their own payslips, benefit statements and their estimate of their Belgian income.</w:t>
      </w:r>
    </w:p>
    <w:p w14:paraId="42FDB837" w14:textId="77777777" w:rsidR="009650FE" w:rsidRDefault="009650FE">
      <w:pPr>
        <w:pStyle w:val="Normaalweb"/>
        <w:divId w:val="953290302"/>
        <w:rPr>
          <w:lang w:val="en-GB"/>
        </w:rPr>
      </w:pPr>
      <w:r>
        <w:rPr>
          <w:lang w:val="en-GB"/>
        </w:rPr>
        <w:t>The Tax and Customs Administration explicitly places the responsibility on the taxpayer. Whatever the taxpayer enters is assumed to be true. If it is incorrect, a correction will follow later. And in the event of a correction, any overpayment may be reclaimed.</w:t>
      </w:r>
    </w:p>
    <w:p w14:paraId="1A90EF39" w14:textId="77777777" w:rsidR="009650FE" w:rsidRDefault="009650FE">
      <w:pPr>
        <w:pStyle w:val="Kop4"/>
        <w:divId w:val="953290302"/>
        <w:rPr>
          <w:rFonts w:eastAsia="Times New Roman"/>
          <w:lang w:val="en-GB"/>
        </w:rPr>
      </w:pPr>
      <w:r>
        <w:rPr>
          <w:rFonts w:eastAsia="Times New Roman"/>
          <w:lang w:val="en-GB"/>
        </w:rPr>
        <w:t>Gross national income versus global income</w:t>
      </w:r>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7E117913" w14:textId="77777777">
        <w:trPr>
          <w:divId w:val="953290302"/>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45361DFF" w14:textId="77777777" w:rsidR="009650FE" w:rsidRDefault="009650FE">
            <w:pPr>
              <w:pStyle w:val="Normaalweb"/>
              <w:spacing w:before="120"/>
              <w:jc w:val="center"/>
              <w:rPr>
                <w:sz w:val="21"/>
                <w:szCs w:val="21"/>
              </w:rPr>
            </w:pPr>
            <w:r>
              <w:rPr>
                <w:noProof/>
                <w:sz w:val="21"/>
                <w:szCs w:val="21"/>
              </w:rPr>
              <w:drawing>
                <wp:inline distT="0" distB="0" distL="0" distR="0" wp14:anchorId="13C64366" wp14:editId="49E0C243">
                  <wp:extent cx="3810000" cy="1250950"/>
                  <wp:effectExtent l="0" t="0" r="0" b="6350"/>
                  <wp:docPr id="50" name="Afbeelding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3810000" cy="1250950"/>
                          </a:xfrm>
                          <a:prstGeom prst="rect">
                            <a:avLst/>
                          </a:prstGeom>
                          <a:noFill/>
                          <a:ln>
                            <a:noFill/>
                          </a:ln>
                        </pic:spPr>
                      </pic:pic>
                    </a:graphicData>
                  </a:graphic>
                </wp:inline>
              </w:drawing>
            </w:r>
          </w:p>
          <w:p w14:paraId="482993A2" w14:textId="77777777" w:rsidR="009650FE" w:rsidRDefault="009650FE">
            <w:pPr>
              <w:pStyle w:val="caption"/>
              <w:spacing w:after="120" w:afterAutospacing="0"/>
            </w:pPr>
            <w:r>
              <w:rPr>
                <w:rStyle w:val="Zwaar"/>
              </w:rPr>
              <w:t>Figure XIII.2 — World income versus joint income.</w:t>
            </w:r>
            <w:r>
              <w:t xml:space="preserve"> Belgian income is taxed in Belgium under the tax treaty and is exempt in the Netherlands. However, for the purposes of the allowances, it counts in full as global income. A euro in Belgium is not the same as a euro in the Netherlands — different purchasing power, different social security provisions, different cost structures. The allowance model does not take this difference into account.</w:t>
            </w:r>
          </w:p>
        </w:tc>
      </w:tr>
    </w:tbl>
    <w:p w14:paraId="7F5EDC30" w14:textId="77777777" w:rsidR="009650FE" w:rsidRDefault="009650FE">
      <w:pPr>
        <w:pStyle w:val="Kop3"/>
        <w:divId w:val="953290302"/>
        <w:rPr>
          <w:rFonts w:eastAsia="Times New Roman"/>
          <w:lang w:val="en-GB"/>
        </w:rPr>
      </w:pPr>
      <w:bookmarkStart w:id="83" w:name="_Toc242103221"/>
      <w:r>
        <w:rPr>
          <w:rFonts w:eastAsia="Times New Roman"/>
          <w:lang w:val="en-GB"/>
        </w:rPr>
        <w:t>Part C — Medical expenses that were reduced to zero</w:t>
      </w:r>
      <w:bookmarkEnd w:id="83"/>
    </w:p>
    <w:p w14:paraId="75321B3D" w14:textId="77777777" w:rsidR="009650FE" w:rsidRDefault="009650FE">
      <w:pPr>
        <w:pStyle w:val="Normaalweb"/>
        <w:divId w:val="953290302"/>
        <w:rPr>
          <w:lang w:val="en-GB"/>
        </w:rPr>
      </w:pPr>
      <w:r>
        <w:rPr>
          <w:lang w:val="en-GB"/>
        </w:rPr>
        <w:t xml:space="preserve">The patient then tries to claim the medical expenses as </w:t>
      </w:r>
      <w:r>
        <w:rPr>
          <w:rStyle w:val="Zwaar"/>
          <w:lang w:val="en-GB"/>
        </w:rPr>
        <w:t>a personal allowance</w:t>
      </w:r>
      <w:r>
        <w:rPr>
          <w:lang w:val="en-GB"/>
        </w:rPr>
        <w:t>. In the Netherlands, medical expenses above a certain threshold are deductible from income. This reduces the assessed income — and that, in turn, reduces the basis for calculating the benefits.</w:t>
      </w:r>
    </w:p>
    <w:p w14:paraId="1E4BF277" w14:textId="77777777" w:rsidR="009650FE" w:rsidRDefault="009650FE">
      <w:pPr>
        <w:pStyle w:val="Normaalweb"/>
        <w:divId w:val="953290302"/>
        <w:rPr>
          <w:lang w:val="en-GB"/>
        </w:rPr>
      </w:pPr>
      <w:r>
        <w:rPr>
          <w:lang w:val="en-GB"/>
        </w:rPr>
        <w:t>The strategy makes sense: deducting medical expenses reduces the assessed income, and increases the benefits. It is an indirect way of compensating the family for the costs that the system does not cover.</w:t>
      </w:r>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7C234BDF" w14:textId="77777777">
        <w:trPr>
          <w:divId w:val="953290302"/>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62A18A15" w14:textId="77777777" w:rsidR="009650FE" w:rsidRDefault="009650FE">
            <w:pPr>
              <w:pStyle w:val="Normaalweb"/>
              <w:spacing w:before="120"/>
              <w:jc w:val="center"/>
              <w:rPr>
                <w:sz w:val="21"/>
                <w:szCs w:val="21"/>
              </w:rPr>
            </w:pPr>
            <w:r>
              <w:rPr>
                <w:noProof/>
                <w:sz w:val="21"/>
                <w:szCs w:val="21"/>
              </w:rPr>
              <w:drawing>
                <wp:inline distT="0" distB="0" distL="0" distR="0" wp14:anchorId="01509D80" wp14:editId="5439D658">
                  <wp:extent cx="3810000" cy="1250950"/>
                  <wp:effectExtent l="0" t="0" r="0" b="6350"/>
                  <wp:docPr id="51" name="Afbeelding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3810000" cy="1250950"/>
                          </a:xfrm>
                          <a:prstGeom prst="rect">
                            <a:avLst/>
                          </a:prstGeom>
                          <a:noFill/>
                          <a:ln>
                            <a:noFill/>
                          </a:ln>
                        </pic:spPr>
                      </pic:pic>
                    </a:graphicData>
                  </a:graphic>
                </wp:inline>
              </w:drawing>
            </w:r>
          </w:p>
          <w:p w14:paraId="6A3B3313" w14:textId="77777777" w:rsidR="009650FE" w:rsidRDefault="009650FE">
            <w:pPr>
              <w:pStyle w:val="caption"/>
              <w:spacing w:after="120" w:afterAutospacing="0"/>
            </w:pPr>
            <w:r>
              <w:rPr>
                <w:rStyle w:val="Zwaar"/>
              </w:rPr>
              <w:t>Figure XIII.3 — Medical expenses.</w:t>
            </w:r>
            <w:r>
              <w:t xml:space="preserve"> The patient enters the medical expenses. The calculation model applies the deduction threshold. The result is zero. The assessment income does not fall, the benefits remain the same, and the actual costs continue to weigh on the family.</w:t>
            </w:r>
          </w:p>
        </w:tc>
      </w:tr>
    </w:tbl>
    <w:p w14:paraId="7122A065" w14:textId="77777777" w:rsidR="009650FE" w:rsidRDefault="009650FE">
      <w:pPr>
        <w:pStyle w:val="Kop3"/>
        <w:divId w:val="953290302"/>
        <w:rPr>
          <w:rFonts w:eastAsia="Times New Roman"/>
          <w:lang w:val="en-GB"/>
        </w:rPr>
      </w:pPr>
      <w:bookmarkStart w:id="84" w:name="_Toc242103222"/>
      <w:r>
        <w:rPr>
          <w:rFonts w:eastAsia="Times New Roman"/>
          <w:lang w:val="en-GB"/>
        </w:rPr>
        <w:t>Part D — Citizens’ responsibilities</w:t>
      </w:r>
      <w:bookmarkEnd w:id="84"/>
    </w:p>
    <w:p w14:paraId="58704298" w14:textId="77777777" w:rsidR="009650FE" w:rsidRDefault="009650FE">
      <w:pPr>
        <w:pStyle w:val="Normaalweb"/>
        <w:divId w:val="953290302"/>
        <w:rPr>
          <w:lang w:val="en-GB"/>
        </w:rPr>
      </w:pPr>
      <w:r>
        <w:rPr>
          <w:lang w:val="en-GB"/>
        </w:rPr>
        <w:t>The Tax and Customs Administration consistently states that the responsibility for the accuracy of the tax return lies with the taxpayer. The taxpayer must:</w:t>
      </w:r>
    </w:p>
    <w:p w14:paraId="65B79D74" w14:textId="77777777" w:rsidR="009650FE" w:rsidRDefault="009650FE">
      <w:pPr>
        <w:numPr>
          <w:ilvl w:val="0"/>
          <w:numId w:val="16"/>
        </w:numPr>
        <w:spacing w:before="100" w:beforeAutospacing="1" w:after="100" w:afterAutospacing="1"/>
        <w:divId w:val="953290302"/>
        <w:rPr>
          <w:rFonts w:eastAsia="Times New Roman"/>
          <w:lang w:val="en-GB"/>
        </w:rPr>
      </w:pPr>
      <w:r>
        <w:rPr>
          <w:rFonts w:eastAsia="Times New Roman"/>
          <w:lang w:val="en-GB"/>
        </w:rPr>
        <w:t>Enter his worldwide income, including any foreign components that are not automatically provided to him.</w:t>
      </w:r>
    </w:p>
    <w:p w14:paraId="50205BFB" w14:textId="77777777" w:rsidR="009650FE" w:rsidRDefault="009650FE">
      <w:pPr>
        <w:numPr>
          <w:ilvl w:val="0"/>
          <w:numId w:val="16"/>
        </w:numPr>
        <w:spacing w:before="100" w:beforeAutospacing="1" w:after="100" w:afterAutospacing="1"/>
        <w:divId w:val="953290302"/>
        <w:rPr>
          <w:rFonts w:eastAsia="Times New Roman"/>
          <w:lang w:val="en-GB"/>
        </w:rPr>
      </w:pPr>
      <w:r>
        <w:rPr>
          <w:rFonts w:eastAsia="Times New Roman"/>
          <w:lang w:val="en-GB"/>
        </w:rPr>
        <w:t>To justify the accuracy of figures he has estimated himself.</w:t>
      </w:r>
    </w:p>
    <w:p w14:paraId="04759B28" w14:textId="77777777" w:rsidR="009650FE" w:rsidRDefault="009650FE">
      <w:pPr>
        <w:numPr>
          <w:ilvl w:val="0"/>
          <w:numId w:val="16"/>
        </w:numPr>
        <w:spacing w:before="100" w:beforeAutospacing="1" w:after="100" w:afterAutospacing="1"/>
        <w:divId w:val="953290302"/>
        <w:rPr>
          <w:rFonts w:eastAsia="Times New Roman"/>
          <w:lang w:val="en-GB"/>
        </w:rPr>
      </w:pPr>
      <w:r>
        <w:rPr>
          <w:rFonts w:eastAsia="Times New Roman"/>
          <w:lang w:val="en-GB"/>
        </w:rPr>
        <w:t>Dealing with the consequences of mistakes, including the recovery of benefits.</w:t>
      </w:r>
    </w:p>
    <w:p w14:paraId="2ECE0162" w14:textId="77777777" w:rsidR="009650FE" w:rsidRDefault="009650FE">
      <w:pPr>
        <w:numPr>
          <w:ilvl w:val="0"/>
          <w:numId w:val="16"/>
        </w:numPr>
        <w:spacing w:before="100" w:beforeAutospacing="1" w:after="100" w:afterAutospacing="1"/>
        <w:divId w:val="953290302"/>
        <w:rPr>
          <w:rFonts w:eastAsia="Times New Roman"/>
          <w:lang w:val="en-GB"/>
        </w:rPr>
      </w:pPr>
      <w:r>
        <w:rPr>
          <w:rFonts w:eastAsia="Times New Roman"/>
          <w:lang w:val="en-GB"/>
        </w:rPr>
        <w:t>Check for yourself whether the automatic exchange of data between Belgium and the Netherlands has worked.</w:t>
      </w:r>
    </w:p>
    <w:p w14:paraId="3017DAC1" w14:textId="77777777" w:rsidR="009650FE" w:rsidRDefault="009650FE">
      <w:pPr>
        <w:numPr>
          <w:ilvl w:val="0"/>
          <w:numId w:val="16"/>
        </w:numPr>
        <w:spacing w:before="100" w:beforeAutospacing="1" w:after="100" w:afterAutospacing="1"/>
        <w:divId w:val="953290302"/>
        <w:rPr>
          <w:rFonts w:eastAsia="Times New Roman"/>
          <w:lang w:val="en-GB"/>
        </w:rPr>
      </w:pPr>
      <w:r>
        <w:rPr>
          <w:rFonts w:eastAsia="Times New Roman"/>
          <w:lang w:val="en-GB"/>
        </w:rPr>
        <w:t>Retrieve the DAC log files yourself to check what data has been exchanged.</w:t>
      </w:r>
    </w:p>
    <w:p w14:paraId="1E2FE2E6" w14:textId="77777777" w:rsidR="009650FE" w:rsidRDefault="009650FE">
      <w:pPr>
        <w:pStyle w:val="Normaalweb"/>
        <w:divId w:val="953290302"/>
        <w:rPr>
          <w:lang w:val="en-GB"/>
        </w:rPr>
      </w:pPr>
      <w:r>
        <w:rPr>
          <w:lang w:val="en-GB"/>
        </w:rPr>
        <w:t>And if the automatic exchange of information has not worked — if Belgium has not sent the data, or if the Netherlands has not processed it — that is no reason to delay filing the tax return. The taxpayer must sort it out themselves.</w:t>
      </w:r>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162BAA64" w14:textId="77777777">
        <w:trPr>
          <w:divId w:val="953290302"/>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2E2061A8" w14:textId="77777777" w:rsidR="009650FE" w:rsidRDefault="009650FE">
            <w:pPr>
              <w:pStyle w:val="Normaalweb"/>
              <w:spacing w:before="120"/>
              <w:jc w:val="center"/>
              <w:rPr>
                <w:sz w:val="21"/>
                <w:szCs w:val="21"/>
              </w:rPr>
            </w:pPr>
            <w:r>
              <w:rPr>
                <w:noProof/>
                <w:sz w:val="21"/>
                <w:szCs w:val="21"/>
              </w:rPr>
              <w:drawing>
                <wp:inline distT="0" distB="0" distL="0" distR="0" wp14:anchorId="61CE5A11" wp14:editId="1D25F522">
                  <wp:extent cx="3810000" cy="1104900"/>
                  <wp:effectExtent l="0" t="0" r="0" b="0"/>
                  <wp:docPr id="52" name="Afbeelding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3810000" cy="1104900"/>
                          </a:xfrm>
                          <a:prstGeom prst="rect">
                            <a:avLst/>
                          </a:prstGeom>
                          <a:noFill/>
                          <a:ln>
                            <a:noFill/>
                          </a:ln>
                        </pic:spPr>
                      </pic:pic>
                    </a:graphicData>
                  </a:graphic>
                </wp:inline>
              </w:drawing>
            </w:r>
          </w:p>
          <w:p w14:paraId="2B4F242D" w14:textId="77777777" w:rsidR="009650FE" w:rsidRDefault="009650FE">
            <w:pPr>
              <w:pStyle w:val="caption"/>
              <w:spacing w:after="120" w:afterAutospacing="0"/>
            </w:pPr>
            <w:r>
              <w:t>The Tax and Customs Administration places the responsibility for accuracy on the taxpayer. However, taxpayers cannot always obtain the correct information, as the automatic exchange of data between Belgium and the Netherlands is not comprehensive. The system shifts the risk of an administrative error onto those least able to cope with it.</w:t>
            </w:r>
          </w:p>
        </w:tc>
      </w:tr>
    </w:tbl>
    <w:p w14:paraId="24348237" w14:textId="77777777" w:rsidR="009650FE" w:rsidRDefault="009650FE">
      <w:pPr>
        <w:pStyle w:val="Kop3"/>
        <w:divId w:val="953290302"/>
        <w:rPr>
          <w:rFonts w:eastAsia="Times New Roman"/>
          <w:lang w:val="en-GB"/>
        </w:rPr>
      </w:pPr>
      <w:bookmarkStart w:id="85" w:name="_Toc242103223"/>
      <w:r>
        <w:rPr>
          <w:rFonts w:eastAsia="Times New Roman"/>
          <w:lang w:val="en-GB"/>
        </w:rPr>
        <w:t>Part E — What this achieves</w:t>
      </w:r>
      <w:bookmarkEnd w:id="85"/>
    </w:p>
    <w:p w14:paraId="0D744130" w14:textId="77777777" w:rsidR="009650FE" w:rsidRDefault="009650FE">
      <w:pPr>
        <w:pStyle w:val="Normaalweb"/>
        <w:divId w:val="953290302"/>
        <w:rPr>
          <w:lang w:val="en-GB"/>
        </w:rPr>
      </w:pPr>
      <w:r>
        <w:rPr>
          <w:lang w:val="en-GB"/>
        </w:rPr>
        <w:t>Three allowances, three outcomes. One completely blocked, one partially blocked, one working. And the tax return itself asks the taxpayer to enter an income that they cannot calculate, placing the responsibility for its accuracy on them, with the consequences of a recalculation that automatically follows as soon as the Tax and Customs Administration has the actual figures.</w:t>
      </w:r>
    </w:p>
    <w:p w14:paraId="3FF593AC" w14:textId="77777777" w:rsidR="009650FE" w:rsidRDefault="009650FE">
      <w:pPr>
        <w:pStyle w:val="Normaalweb"/>
        <w:divId w:val="953290302"/>
        <w:rPr>
          <w:lang w:val="en-GB"/>
        </w:rPr>
      </w:pPr>
      <w:r>
        <w:rPr>
          <w:lang w:val="en-GB"/>
        </w:rPr>
        <w:t xml:space="preserve">What becomes apparent here is a pattern that recurs throughout the case file. The system has the tools, the laws and the intentions to support citizens. But the system does not interpret reality in the same way as citizens experience it. The benefits are calculated on the basis of an assessed income that treats a Belgian euro as equivalent to a Dutch euro. Medical expenses are entered but do not result in any deduction. And the citizen is personally responsible for the accuracy of an income figure of which </w:t>
      </w:r>
      <w:r>
        <w:rPr>
          <w:lang w:val="en-GB"/>
        </w:rPr>
        <w:t>they are unaware.</w:t>
      </w:r>
    </w:p>
    <w:tbl>
      <w:tblPr>
        <w:tblW w:w="5000" w:type="pct"/>
        <w:tblCellMar>
          <w:top w:w="15" w:type="dxa"/>
          <w:left w:w="15" w:type="dxa"/>
          <w:bottom w:w="15" w:type="dxa"/>
          <w:right w:w="15" w:type="dxa"/>
        </w:tblCellMar>
        <w:tblLook w:val="04A0" w:firstRow="1" w:lastRow="0" w:firstColumn="1" w:lastColumn="0" w:noHBand="0" w:noVBand="1"/>
      </w:tblPr>
      <w:tblGrid>
        <w:gridCol w:w="9019"/>
      </w:tblGrid>
      <w:tr w:rsidR="00000000" w14:paraId="4D22BCB4" w14:textId="77777777">
        <w:trPr>
          <w:divId w:val="953290302"/>
        </w:trPr>
        <w:tc>
          <w:tcPr>
            <w:tcW w:w="0" w:type="auto"/>
            <w:tcBorders>
              <w:top w:val="single" w:sz="6" w:space="0" w:color="D5D0C5"/>
              <w:left w:val="single" w:sz="36" w:space="0" w:color="4A3B6B"/>
              <w:bottom w:val="single" w:sz="6" w:space="0" w:color="D5D0C5"/>
              <w:right w:val="single" w:sz="6" w:space="0" w:color="D5D0C5"/>
            </w:tcBorders>
            <w:shd w:val="clear" w:color="auto" w:fill="EDE9F5"/>
            <w:tcMar>
              <w:top w:w="200" w:type="dxa"/>
              <w:left w:w="280" w:type="dxa"/>
              <w:bottom w:w="200" w:type="dxa"/>
              <w:right w:w="280" w:type="dxa"/>
            </w:tcMar>
            <w:hideMark/>
          </w:tcPr>
          <w:p w14:paraId="4B2F0107" w14:textId="77777777" w:rsidR="009650FE" w:rsidRDefault="009650FE">
            <w:pPr>
              <w:spacing w:before="240" w:after="240"/>
              <w:rPr>
                <w:rFonts w:eastAsia="Times New Roman"/>
                <w:szCs w:val="22"/>
              </w:rPr>
            </w:pPr>
            <w:r>
              <w:rPr>
                <w:rStyle w:val="Zwaar"/>
                <w:rFonts w:eastAsia="Times New Roman"/>
                <w:szCs w:val="22"/>
              </w:rPr>
              <w:t>For anyone in the same situation:</w:t>
            </w:r>
            <w:r>
              <w:rPr>
                <w:rFonts w:eastAsia="Times New Roman"/>
                <w:szCs w:val="22"/>
              </w:rPr>
              <w:t xml:space="preserve"> when it comes to cross-border income and benefits, there are three important points to bear in mind: </w:t>
            </w:r>
          </w:p>
          <w:p w14:paraId="654757B0" w14:textId="77777777" w:rsidR="009650FE" w:rsidRDefault="009650FE">
            <w:pPr>
              <w:numPr>
                <w:ilvl w:val="0"/>
                <w:numId w:val="17"/>
              </w:numPr>
              <w:spacing w:before="100" w:beforeAutospacing="1" w:after="100" w:afterAutospacing="1"/>
              <w:rPr>
                <w:rFonts w:eastAsia="Times New Roman"/>
                <w:szCs w:val="22"/>
              </w:rPr>
            </w:pPr>
            <w:r>
              <w:rPr>
                <w:rFonts w:eastAsia="Times New Roman"/>
                <w:szCs w:val="22"/>
              </w:rPr>
              <w:t>Ask the Belgian tax authorities for a statement of your annual income and include this in your Dutch tax return. Keep all the documents.</w:t>
            </w:r>
          </w:p>
          <w:p w14:paraId="7CFBD539" w14:textId="77777777" w:rsidR="009650FE" w:rsidRDefault="009650FE">
            <w:pPr>
              <w:numPr>
                <w:ilvl w:val="0"/>
                <w:numId w:val="17"/>
              </w:numPr>
              <w:spacing w:before="100" w:beforeAutospacing="1" w:after="100" w:afterAutospacing="1"/>
              <w:rPr>
                <w:rFonts w:eastAsia="Times New Roman"/>
                <w:szCs w:val="22"/>
              </w:rPr>
            </w:pPr>
            <w:r>
              <w:rPr>
                <w:rFonts w:eastAsia="Times New Roman"/>
                <w:szCs w:val="22"/>
              </w:rPr>
              <w:t>Request an extension if the information is not yet complete — this extends the deadline, but not your liability.</w:t>
            </w:r>
          </w:p>
          <w:p w14:paraId="642FE730" w14:textId="77777777" w:rsidR="009650FE" w:rsidRDefault="009650FE">
            <w:pPr>
              <w:numPr>
                <w:ilvl w:val="0"/>
                <w:numId w:val="17"/>
              </w:numPr>
              <w:spacing w:before="100" w:beforeAutospacing="1" w:after="100" w:afterAutospacing="1"/>
              <w:rPr>
                <w:rFonts w:eastAsia="Times New Roman"/>
                <w:szCs w:val="22"/>
              </w:rPr>
            </w:pPr>
            <w:r>
              <w:rPr>
                <w:rFonts w:eastAsia="Times New Roman"/>
                <w:szCs w:val="22"/>
              </w:rPr>
              <w:t>If the benefits are recalculated or reclaimed: submit an appeal based on the actual figures, with supporting evidence. Base your appeal on the fact that the assessed income has not been correctly determined.</w:t>
            </w:r>
          </w:p>
          <w:p w14:paraId="1CC50377" w14:textId="77777777" w:rsidR="009650FE" w:rsidRDefault="009650FE">
            <w:pPr>
              <w:spacing w:after="0"/>
              <w:rPr>
                <w:rFonts w:eastAsia="Times New Roman"/>
                <w:szCs w:val="22"/>
              </w:rPr>
            </w:pPr>
            <w:r>
              <w:rPr>
                <w:rFonts w:eastAsia="Times New Roman"/>
                <w:szCs w:val="22"/>
              </w:rPr>
              <w:t xml:space="preserve">Specifically regarding the healthcare allowance: the block is with CZ (RIV registration), not with the Benefits Service. A manual correction via the CZ claims and proof of payment of the excess is the way to lift the block. </w:t>
            </w:r>
          </w:p>
        </w:tc>
      </w:tr>
    </w:tbl>
    <w:p w14:paraId="48AE2260" w14:textId="77777777" w:rsidR="009650FE" w:rsidRDefault="009650FE">
      <w:pPr>
        <w:pStyle w:val="noot"/>
        <w:spacing w:after="120" w:afterAutospacing="0"/>
        <w:divId w:val="953290302"/>
        <w:rPr>
          <w:lang w:val="en-GB"/>
        </w:rPr>
      </w:pPr>
      <w:r>
        <w:rPr>
          <w:lang w:val="en-GB"/>
        </w:rPr>
        <w:t>All organisations in this chapter are legal entities. Natural persons are identified by their role or their symbol (</w:t>
      </w:r>
      <w:r>
        <w:rPr>
          <w:rFonts w:ascii="Segoe UI Symbol" w:hAnsi="Segoe UI Symbol" w:cs="Segoe UI Symbol"/>
          <w:lang w:val="en-GB"/>
        </w:rPr>
        <w:t>♂</w:t>
      </w:r>
      <w:r>
        <w:rPr>
          <w:lang w:val="en-GB"/>
        </w:rPr>
        <w:t xml:space="preserve">, </w:t>
      </w:r>
      <w:r>
        <w:rPr>
          <w:rFonts w:ascii="Segoe UI Symbol" w:hAnsi="Segoe UI Symbol" w:cs="Segoe UI Symbol"/>
          <w:lang w:val="en-GB"/>
        </w:rPr>
        <w:t>♀</w:t>
      </w:r>
      <w:r>
        <w:rPr>
          <w:lang w:val="en-GB"/>
        </w:rPr>
        <w:t>). The facts are based on Document B. This chapter does not constitute tax or legal advice. For the exact amounts and conditions, please consult the tax authorities or a tax adviser.</w:t>
      </w:r>
    </w:p>
    <w:p w14:paraId="2859C52F" w14:textId="77777777" w:rsidR="009650FE" w:rsidRDefault="009650FE">
      <w:pPr>
        <w:pStyle w:val="marker"/>
        <w:ind w:left="800" w:right="800"/>
        <w:divId w:val="953290302"/>
        <w:rPr>
          <w:lang w:val="en-GB"/>
        </w:rPr>
      </w:pPr>
      <w:r>
        <w:br w:type="page"/>
      </w:r>
    </w:p>
    <w:p w14:paraId="7F2C009A" w14:textId="77777777" w:rsidR="009650FE" w:rsidRDefault="009650FE">
      <w:pPr>
        <w:pStyle w:val="Kop1"/>
        <w:divId w:val="953290302"/>
        <w:rPr>
          <w:rFonts w:eastAsia="Times New Roman"/>
          <w:lang w:val="en-GB"/>
        </w:rPr>
      </w:pPr>
      <w:bookmarkStart w:id="86" w:name="_Toc242103224"/>
      <w:r>
        <w:rPr>
          <w:rFonts w:eastAsia="Times New Roman"/>
          <w:lang w:val="en-GB"/>
        </w:rPr>
        <w:t>IV. Back and forth</w:t>
      </w:r>
      <w:bookmarkEnd w:id="86"/>
    </w:p>
    <w:p w14:paraId="56201845" w14:textId="77777777" w:rsidR="009650FE" w:rsidRDefault="009650FE">
      <w:pPr>
        <w:pStyle w:val="Kop2"/>
        <w:divId w:val="953290302"/>
        <w:rPr>
          <w:rFonts w:eastAsia="Times New Roman"/>
          <w:lang w:val="en-GB"/>
        </w:rPr>
      </w:pPr>
      <w:bookmarkStart w:id="87" w:name="_Toc242103225"/>
      <w:r>
        <w:rPr>
          <w:rFonts w:eastAsia="Times New Roman"/>
          <w:lang w:val="en-GB"/>
        </w:rPr>
        <w:t>The manual U1 problem</w:t>
      </w:r>
      <w:bookmarkEnd w:id="87"/>
    </w:p>
    <w:p w14:paraId="284FE084" w14:textId="77777777" w:rsidR="009650FE" w:rsidRDefault="009650FE">
      <w:pPr>
        <w:pStyle w:val="lead"/>
        <w:divId w:val="953290302"/>
        <w:rPr>
          <w:lang w:val="en-GB"/>
        </w:rPr>
      </w:pPr>
      <w:r>
        <w:rPr>
          <w:lang w:val="en-GB"/>
        </w:rPr>
        <w:t>The PD U1 is the European certificate of a person’s employment history. A cross-border worker needs it in both directions: to have their Belgian years recognised in the Netherlands, and to have their Dutch years recognised in Belgium. In both directions, the transfer is carried out manually. And the ESSPASS will not resolve this by 2030, as the individual remains the link in the chain.</w:t>
      </w:r>
    </w:p>
    <w:p w14:paraId="1B64EC71" w14:textId="77777777" w:rsidR="009650FE" w:rsidRDefault="009650FE">
      <w:pPr>
        <w:pStyle w:val="Kop3"/>
        <w:divId w:val="953290302"/>
        <w:rPr>
          <w:rFonts w:eastAsia="Times New Roman"/>
          <w:lang w:val="en-GB"/>
        </w:rPr>
      </w:pPr>
      <w:bookmarkStart w:id="88" w:name="_Toc242103226"/>
      <w:r>
        <w:rPr>
          <w:rFonts w:eastAsia="Times New Roman"/>
          <w:lang w:val="en-GB"/>
        </w:rPr>
        <w:t>The two directions</w:t>
      </w:r>
      <w:bookmarkEnd w:id="88"/>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1AE892C7" w14:textId="77777777">
        <w:trPr>
          <w:divId w:val="953290302"/>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09CF5F48" w14:textId="77777777" w:rsidR="009650FE" w:rsidRDefault="009650FE">
            <w:pPr>
              <w:pStyle w:val="Normaalweb"/>
              <w:spacing w:before="120"/>
              <w:jc w:val="center"/>
              <w:rPr>
                <w:sz w:val="21"/>
                <w:szCs w:val="21"/>
              </w:rPr>
            </w:pPr>
            <w:r>
              <w:rPr>
                <w:noProof/>
                <w:sz w:val="21"/>
                <w:szCs w:val="21"/>
              </w:rPr>
              <w:drawing>
                <wp:inline distT="0" distB="0" distL="0" distR="0" wp14:anchorId="05F62859" wp14:editId="134A1C22">
                  <wp:extent cx="3810000" cy="1270000"/>
                  <wp:effectExtent l="0" t="0" r="0" b="6350"/>
                  <wp:docPr id="53" name="Afbeelding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3810000" cy="1270000"/>
                          </a:xfrm>
                          <a:prstGeom prst="rect">
                            <a:avLst/>
                          </a:prstGeom>
                          <a:noFill/>
                          <a:ln>
                            <a:noFill/>
                          </a:ln>
                        </pic:spPr>
                      </pic:pic>
                    </a:graphicData>
                  </a:graphic>
                </wp:inline>
              </w:drawing>
            </w:r>
          </w:p>
          <w:p w14:paraId="7386F16B" w14:textId="77777777" w:rsidR="009650FE" w:rsidRDefault="009650FE">
            <w:pPr>
              <w:pStyle w:val="caption"/>
              <w:spacing w:after="120" w:afterAutospacing="0"/>
            </w:pPr>
            <w:r>
              <w:rPr>
                <w:rStyle w:val="Zwaar"/>
              </w:rPr>
              <w:t>Figure VIII.1 — Two directions.</w:t>
            </w:r>
            <w:r>
              <w:t xml:space="preserve"> Direction 1 works: the NEO supplies the PD U1 for the Belgian employment history to the UWV. Direction 2 is blocked: the UWV supplies the PD U1 for the Dutch employment history, but the NEO refuses to integrate foreign employment history data into its system. In both directions, the citizen must personally take the document from one authority to the other.</w:t>
            </w:r>
          </w:p>
        </w:tc>
      </w:tr>
    </w:tbl>
    <w:p w14:paraId="6753AE56" w14:textId="77777777" w:rsidR="009650FE" w:rsidRDefault="009650FE">
      <w:pPr>
        <w:pStyle w:val="Kop3"/>
        <w:divId w:val="953290302"/>
        <w:rPr>
          <w:rFonts w:eastAsia="Times New Roman"/>
          <w:lang w:val="en-GB"/>
        </w:rPr>
      </w:pPr>
      <w:bookmarkStart w:id="89" w:name="_Toc242103227"/>
      <w:r>
        <w:rPr>
          <w:rFonts w:eastAsia="Times New Roman"/>
          <w:lang w:val="en-GB"/>
        </w:rPr>
        <w:t>Direction 1 — Belgium to the Netherlands</w:t>
      </w:r>
      <w:bookmarkEnd w:id="89"/>
    </w:p>
    <w:p w14:paraId="1054157A" w14:textId="77777777" w:rsidR="009650FE" w:rsidRDefault="009650FE">
      <w:pPr>
        <w:pStyle w:val="Normaalweb"/>
        <w:divId w:val="953290302"/>
        <w:rPr>
          <w:lang w:val="en-GB"/>
        </w:rPr>
      </w:pPr>
      <w:r>
        <w:rPr>
          <w:lang w:val="en-GB"/>
        </w:rPr>
        <w:t>The individual has worked in Belgium for 21 years. In order to claim Dutch benefits, that period of employment in Belgium must be verifiable within the Dutch system. To this end, NEO provides the PD U1 form to the UWV.</w:t>
      </w:r>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7DDC3014" w14:textId="77777777">
        <w:trPr>
          <w:divId w:val="953290302"/>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04C8A2F2" w14:textId="77777777" w:rsidR="009650FE" w:rsidRDefault="009650FE">
            <w:pPr>
              <w:pStyle w:val="Normaalweb"/>
              <w:spacing w:before="120"/>
              <w:jc w:val="center"/>
              <w:rPr>
                <w:sz w:val="21"/>
                <w:szCs w:val="21"/>
              </w:rPr>
            </w:pPr>
            <w:r>
              <w:rPr>
                <w:noProof/>
                <w:sz w:val="21"/>
                <w:szCs w:val="21"/>
              </w:rPr>
              <w:drawing>
                <wp:inline distT="0" distB="0" distL="0" distR="0" wp14:anchorId="150929C0" wp14:editId="3CDA06F8">
                  <wp:extent cx="3810000" cy="901700"/>
                  <wp:effectExtent l="0" t="0" r="0" b="0"/>
                  <wp:docPr id="54" name="Afbeelding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3810000" cy="901700"/>
                          </a:xfrm>
                          <a:prstGeom prst="rect">
                            <a:avLst/>
                          </a:prstGeom>
                          <a:noFill/>
                          <a:ln>
                            <a:noFill/>
                          </a:ln>
                        </pic:spPr>
                      </pic:pic>
                    </a:graphicData>
                  </a:graphic>
                </wp:inline>
              </w:drawing>
            </w:r>
          </w:p>
          <w:p w14:paraId="201FC52E" w14:textId="77777777" w:rsidR="009650FE" w:rsidRDefault="009650FE">
            <w:pPr>
              <w:pStyle w:val="caption"/>
              <w:spacing w:after="120" w:afterAutospacing="0"/>
            </w:pPr>
            <w:r>
              <w:t>NEO provides three PD U1 forms. Upon comparison, it appears that five periods are missing — student work from 1999, gaps in 2001–2002, and transition periods. The citizen applies for the additional certificates themselves. The file is only complete once the information has been added manually. The system works, but only because the citizen detects and fills in the gaps themselves.</w:t>
            </w:r>
          </w:p>
        </w:tc>
      </w:tr>
    </w:tbl>
    <w:p w14:paraId="032D5C37" w14:textId="77777777" w:rsidR="009650FE" w:rsidRDefault="009650FE">
      <w:pPr>
        <w:pStyle w:val="Kop3"/>
        <w:divId w:val="953290302"/>
        <w:rPr>
          <w:rFonts w:eastAsia="Times New Roman"/>
          <w:lang w:val="en-GB"/>
        </w:rPr>
      </w:pPr>
      <w:bookmarkStart w:id="90" w:name="_Toc242103228"/>
      <w:r>
        <w:rPr>
          <w:rFonts w:eastAsia="Times New Roman"/>
          <w:lang w:val="en-GB"/>
        </w:rPr>
        <w:t>Route 2 — From the Netherlands to Belgium</w:t>
      </w:r>
      <w:bookmarkEnd w:id="90"/>
    </w:p>
    <w:p w14:paraId="7E3761A6" w14:textId="77777777" w:rsidR="009650FE" w:rsidRDefault="009650FE">
      <w:pPr>
        <w:pStyle w:val="Normaalweb"/>
        <w:divId w:val="953290302"/>
        <w:rPr>
          <w:lang w:val="en-GB"/>
        </w:rPr>
      </w:pPr>
      <w:r>
        <w:rPr>
          <w:lang w:val="en-GB"/>
        </w:rPr>
        <w:t>The individual also worked in the Netherlands for eight months. In order to claim Belgian entitlements, this period of employment in the Netherlands must be verifiable within the Belgian system. The UWV issues the PD U1 form for this purpose. However, NEO refuses to integrate foreign employment records into its system.</w:t>
      </w:r>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4DDB5A68" w14:textId="77777777">
        <w:trPr>
          <w:divId w:val="953290302"/>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2DAA1BF0" w14:textId="77777777" w:rsidR="009650FE" w:rsidRDefault="009650FE">
            <w:pPr>
              <w:pStyle w:val="Normaalweb"/>
              <w:spacing w:before="120"/>
              <w:jc w:val="center"/>
              <w:rPr>
                <w:sz w:val="21"/>
                <w:szCs w:val="21"/>
              </w:rPr>
            </w:pPr>
            <w:r>
              <w:rPr>
                <w:noProof/>
                <w:sz w:val="21"/>
                <w:szCs w:val="21"/>
              </w:rPr>
              <w:drawing>
                <wp:inline distT="0" distB="0" distL="0" distR="0" wp14:anchorId="013C159B" wp14:editId="568163AF">
                  <wp:extent cx="3810000" cy="1104900"/>
                  <wp:effectExtent l="0" t="0" r="0" b="0"/>
                  <wp:docPr id="55" name="Afbeelding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3810000" cy="1104900"/>
                          </a:xfrm>
                          <a:prstGeom prst="rect">
                            <a:avLst/>
                          </a:prstGeom>
                          <a:noFill/>
                          <a:ln>
                            <a:noFill/>
                          </a:ln>
                        </pic:spPr>
                      </pic:pic>
                    </a:graphicData>
                  </a:graphic>
                </wp:inline>
              </w:drawing>
            </w:r>
          </w:p>
          <w:p w14:paraId="71FE8FB0" w14:textId="77777777" w:rsidR="009650FE" w:rsidRDefault="009650FE">
            <w:pPr>
              <w:pStyle w:val="caption"/>
              <w:spacing w:after="120" w:afterAutospacing="0"/>
            </w:pPr>
            <w:r>
              <w:t>The UWV provides a PD U1 for the eight Dutch months. NEO refuses to integrate this data into its system: the agency regards itself as a sender, not a recipient. The only solution is for the citizen to manually enter the Dutch career data into the portal of another Belgian federal agency (FPS Social Security), which then transfers the data to MyCareer.</w:t>
            </w:r>
          </w:p>
        </w:tc>
      </w:tr>
    </w:tbl>
    <w:p w14:paraId="73283134" w14:textId="77777777" w:rsidR="009650FE" w:rsidRDefault="009650FE">
      <w:pPr>
        <w:pStyle w:val="Kop3"/>
        <w:divId w:val="953290302"/>
        <w:rPr>
          <w:rFonts w:eastAsia="Times New Roman"/>
          <w:lang w:val="en-GB"/>
        </w:rPr>
      </w:pPr>
      <w:bookmarkStart w:id="91" w:name="_Toc242103229"/>
      <w:r>
        <w:rPr>
          <w:rFonts w:eastAsia="Times New Roman"/>
          <w:lang w:val="en-GB"/>
        </w:rPr>
        <w:t>The pattern</w:t>
      </w:r>
      <w:bookmarkEnd w:id="91"/>
    </w:p>
    <w:tbl>
      <w:tblPr>
        <w:tblW w:w="5000" w:type="pct"/>
        <w:tblCellMar>
          <w:top w:w="15" w:type="dxa"/>
          <w:left w:w="15" w:type="dxa"/>
          <w:bottom w:w="15" w:type="dxa"/>
          <w:right w:w="15" w:type="dxa"/>
        </w:tblCellMar>
        <w:tblLook w:val="04A0" w:firstRow="1" w:lastRow="0" w:firstColumn="1" w:lastColumn="0" w:noHBand="0" w:noVBand="1"/>
      </w:tblPr>
      <w:tblGrid>
        <w:gridCol w:w="1992"/>
        <w:gridCol w:w="3532"/>
        <w:gridCol w:w="3532"/>
      </w:tblGrid>
      <w:tr w:rsidR="00000000" w14:paraId="743A8B09" w14:textId="77777777">
        <w:trPr>
          <w:divId w:val="953290302"/>
          <w:tblHeader/>
        </w:trPr>
        <w:tc>
          <w:tcPr>
            <w:tcW w:w="1100" w:type="pct"/>
            <w:tcBorders>
              <w:top w:val="single" w:sz="6" w:space="0" w:color="4A3B6B"/>
              <w:left w:val="single" w:sz="6" w:space="0" w:color="4A3B6B"/>
              <w:bottom w:val="single" w:sz="6" w:space="0" w:color="4A3B6B"/>
              <w:right w:val="single" w:sz="6" w:space="0" w:color="4A3B6B"/>
            </w:tcBorders>
            <w:shd w:val="clear" w:color="auto" w:fill="4A3B6B"/>
            <w:tcMar>
              <w:top w:w="140" w:type="dxa"/>
              <w:left w:w="180" w:type="dxa"/>
              <w:bottom w:w="140" w:type="dxa"/>
              <w:right w:w="180" w:type="dxa"/>
            </w:tcMar>
            <w:vAlign w:val="center"/>
            <w:hideMark/>
          </w:tcPr>
          <w:p w14:paraId="67F48788" w14:textId="77777777" w:rsidR="009650FE" w:rsidRDefault="009650FE">
            <w:pPr>
              <w:spacing w:before="200" w:after="360"/>
              <w:rPr>
                <w:rFonts w:eastAsia="Times New Roman"/>
                <w:b/>
                <w:bCs/>
                <w:color w:val="FFFFFF"/>
                <w:sz w:val="21"/>
                <w:szCs w:val="21"/>
              </w:rPr>
            </w:pPr>
            <w:r>
              <w:rPr>
                <w:rFonts w:eastAsia="Times New Roman"/>
                <w:b/>
                <w:bCs/>
                <w:color w:val="FFFFFF"/>
                <w:sz w:val="21"/>
                <w:szCs w:val="21"/>
              </w:rPr>
              <w:t>Aspect</w:t>
            </w:r>
          </w:p>
        </w:tc>
        <w:tc>
          <w:tcPr>
            <w:tcW w:w="1950" w:type="pct"/>
            <w:tcBorders>
              <w:top w:val="single" w:sz="6" w:space="0" w:color="4A3B6B"/>
              <w:left w:val="single" w:sz="6" w:space="0" w:color="4A3B6B"/>
              <w:bottom w:val="single" w:sz="6" w:space="0" w:color="4A3B6B"/>
              <w:right w:val="single" w:sz="6" w:space="0" w:color="4A3B6B"/>
            </w:tcBorders>
            <w:shd w:val="clear" w:color="auto" w:fill="4A3B6B"/>
            <w:tcMar>
              <w:top w:w="140" w:type="dxa"/>
              <w:left w:w="180" w:type="dxa"/>
              <w:bottom w:w="140" w:type="dxa"/>
              <w:right w:w="180" w:type="dxa"/>
            </w:tcMar>
            <w:vAlign w:val="center"/>
            <w:hideMark/>
          </w:tcPr>
          <w:p w14:paraId="2B005F20" w14:textId="77777777" w:rsidR="009650FE" w:rsidRDefault="009650FE">
            <w:pPr>
              <w:spacing w:before="200" w:after="360"/>
              <w:rPr>
                <w:rFonts w:eastAsia="Times New Roman"/>
                <w:b/>
                <w:bCs/>
                <w:color w:val="FFFFFF"/>
                <w:sz w:val="21"/>
                <w:szCs w:val="21"/>
              </w:rPr>
            </w:pPr>
            <w:r>
              <w:rPr>
                <w:rFonts w:eastAsia="Times New Roman"/>
                <w:b/>
                <w:bCs/>
                <w:color w:val="FFFFFF"/>
                <w:sz w:val="21"/>
                <w:szCs w:val="21"/>
              </w:rPr>
              <w:t>Direction 1 — BE → NL</w:t>
            </w:r>
          </w:p>
        </w:tc>
        <w:tc>
          <w:tcPr>
            <w:tcW w:w="1950" w:type="pct"/>
            <w:tcBorders>
              <w:top w:val="single" w:sz="6" w:space="0" w:color="4A3B6B"/>
              <w:left w:val="single" w:sz="6" w:space="0" w:color="4A3B6B"/>
              <w:bottom w:val="single" w:sz="6" w:space="0" w:color="4A3B6B"/>
              <w:right w:val="single" w:sz="6" w:space="0" w:color="4A3B6B"/>
            </w:tcBorders>
            <w:shd w:val="clear" w:color="auto" w:fill="4A3B6B"/>
            <w:tcMar>
              <w:top w:w="140" w:type="dxa"/>
              <w:left w:w="180" w:type="dxa"/>
              <w:bottom w:w="140" w:type="dxa"/>
              <w:right w:w="180" w:type="dxa"/>
            </w:tcMar>
            <w:vAlign w:val="center"/>
            <w:hideMark/>
          </w:tcPr>
          <w:p w14:paraId="484E059F" w14:textId="77777777" w:rsidR="009650FE" w:rsidRDefault="009650FE">
            <w:pPr>
              <w:spacing w:before="200" w:after="360"/>
              <w:rPr>
                <w:rFonts w:eastAsia="Times New Roman"/>
                <w:b/>
                <w:bCs/>
                <w:color w:val="FFFFFF"/>
                <w:sz w:val="21"/>
                <w:szCs w:val="21"/>
              </w:rPr>
            </w:pPr>
            <w:r>
              <w:rPr>
                <w:rFonts w:eastAsia="Times New Roman"/>
                <w:b/>
                <w:bCs/>
                <w:color w:val="FFFFFF"/>
                <w:sz w:val="21"/>
                <w:szCs w:val="21"/>
              </w:rPr>
              <w:t>Direction 2 — NL → BE</w:t>
            </w:r>
          </w:p>
        </w:tc>
      </w:tr>
      <w:tr w:rsidR="00000000" w14:paraId="699147AD" w14:textId="77777777">
        <w:trPr>
          <w:divId w:val="953290302"/>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04F4D627" w14:textId="77777777" w:rsidR="009650FE" w:rsidRDefault="009650FE">
            <w:pPr>
              <w:spacing w:before="200" w:after="360"/>
              <w:rPr>
                <w:rFonts w:eastAsia="Times New Roman"/>
                <w:sz w:val="21"/>
                <w:szCs w:val="21"/>
              </w:rPr>
            </w:pPr>
            <w:r>
              <w:rPr>
                <w:rStyle w:val="Zwaar"/>
                <w:rFonts w:eastAsia="Times New Roman"/>
                <w:sz w:val="21"/>
                <w:szCs w:val="21"/>
              </w:rPr>
              <w:t>Publishing body</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3FC84FA3" w14:textId="77777777" w:rsidR="009650FE" w:rsidRDefault="009650FE">
            <w:pPr>
              <w:spacing w:before="200" w:after="360"/>
              <w:rPr>
                <w:rFonts w:eastAsia="Times New Roman"/>
                <w:sz w:val="21"/>
                <w:szCs w:val="21"/>
              </w:rPr>
            </w:pPr>
            <w:r>
              <w:rPr>
                <w:rFonts w:eastAsia="Times New Roman"/>
                <w:sz w:val="21"/>
                <w:szCs w:val="21"/>
              </w:rPr>
              <w:t>NEO (Antwerp)</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02A40645" w14:textId="77777777" w:rsidR="009650FE" w:rsidRDefault="009650FE">
            <w:pPr>
              <w:spacing w:before="200" w:after="360"/>
              <w:rPr>
                <w:rFonts w:eastAsia="Times New Roman"/>
                <w:sz w:val="21"/>
                <w:szCs w:val="21"/>
              </w:rPr>
            </w:pPr>
            <w:r>
              <w:rPr>
                <w:rFonts w:eastAsia="Times New Roman"/>
                <w:sz w:val="21"/>
                <w:szCs w:val="21"/>
              </w:rPr>
              <w:t>UWV</w:t>
            </w:r>
          </w:p>
        </w:tc>
      </w:tr>
      <w:tr w:rsidR="00000000" w14:paraId="15DE5227" w14:textId="77777777">
        <w:trPr>
          <w:divId w:val="953290302"/>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0577A40D" w14:textId="77777777" w:rsidR="009650FE" w:rsidRDefault="009650FE">
            <w:pPr>
              <w:spacing w:before="200" w:after="360"/>
              <w:rPr>
                <w:rFonts w:eastAsia="Times New Roman"/>
                <w:sz w:val="21"/>
                <w:szCs w:val="21"/>
              </w:rPr>
            </w:pPr>
            <w:r>
              <w:rPr>
                <w:rStyle w:val="Zwaar"/>
                <w:rFonts w:eastAsia="Times New Roman"/>
                <w:sz w:val="21"/>
                <w:szCs w:val="21"/>
              </w:rPr>
              <w:t>Receiving body</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59DD35ED" w14:textId="77777777" w:rsidR="009650FE" w:rsidRDefault="009650FE">
            <w:pPr>
              <w:spacing w:before="200" w:after="360"/>
              <w:rPr>
                <w:rFonts w:eastAsia="Times New Roman"/>
                <w:sz w:val="21"/>
                <w:szCs w:val="21"/>
              </w:rPr>
            </w:pPr>
            <w:r>
              <w:rPr>
                <w:rFonts w:eastAsia="Times New Roman"/>
                <w:sz w:val="21"/>
                <w:szCs w:val="21"/>
              </w:rPr>
              <w:t>UWV</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166AAF93" w14:textId="77777777" w:rsidR="009650FE" w:rsidRDefault="009650FE">
            <w:pPr>
              <w:spacing w:before="200" w:after="360"/>
              <w:rPr>
                <w:rFonts w:eastAsia="Times New Roman"/>
                <w:sz w:val="21"/>
                <w:szCs w:val="21"/>
              </w:rPr>
            </w:pPr>
            <w:r>
              <w:rPr>
                <w:rFonts w:eastAsia="Times New Roman"/>
                <w:sz w:val="21"/>
                <w:szCs w:val="21"/>
              </w:rPr>
              <w:t>NEO</w:t>
            </w:r>
          </w:p>
        </w:tc>
      </w:tr>
      <w:tr w:rsidR="00000000" w14:paraId="2A975E6C" w14:textId="77777777">
        <w:trPr>
          <w:divId w:val="953290302"/>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0D025B0B" w14:textId="77777777" w:rsidR="009650FE" w:rsidRDefault="009650FE">
            <w:pPr>
              <w:spacing w:before="200" w:after="360"/>
              <w:rPr>
                <w:rFonts w:eastAsia="Times New Roman"/>
                <w:sz w:val="21"/>
                <w:szCs w:val="21"/>
              </w:rPr>
            </w:pPr>
            <w:r>
              <w:rPr>
                <w:rStyle w:val="Zwaar"/>
                <w:rFonts w:eastAsia="Times New Roman"/>
                <w:sz w:val="21"/>
                <w:szCs w:val="21"/>
              </w:rPr>
              <w:t>Length of career</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2E6B634E" w14:textId="77777777" w:rsidR="009650FE" w:rsidRDefault="009650FE">
            <w:pPr>
              <w:spacing w:before="200" w:after="360"/>
              <w:rPr>
                <w:rFonts w:eastAsia="Times New Roman"/>
                <w:sz w:val="21"/>
                <w:szCs w:val="21"/>
              </w:rPr>
            </w:pPr>
            <w:r>
              <w:rPr>
                <w:rFonts w:eastAsia="Times New Roman"/>
                <w:sz w:val="21"/>
                <w:szCs w:val="21"/>
              </w:rPr>
              <w:t>21 years and 2 months</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68CD648D" w14:textId="77777777" w:rsidR="009650FE" w:rsidRDefault="009650FE">
            <w:pPr>
              <w:spacing w:before="200" w:after="360"/>
              <w:rPr>
                <w:rFonts w:eastAsia="Times New Roman"/>
                <w:sz w:val="21"/>
                <w:szCs w:val="21"/>
              </w:rPr>
            </w:pPr>
            <w:r>
              <w:rPr>
                <w:rFonts w:eastAsia="Times New Roman"/>
                <w:sz w:val="21"/>
                <w:szCs w:val="21"/>
              </w:rPr>
              <w:t>8 months</w:t>
            </w:r>
          </w:p>
        </w:tc>
      </w:tr>
      <w:tr w:rsidR="00000000" w14:paraId="7F77C167" w14:textId="77777777">
        <w:trPr>
          <w:divId w:val="953290302"/>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0C0E2FFA" w14:textId="77777777" w:rsidR="009650FE" w:rsidRDefault="009650FE">
            <w:pPr>
              <w:spacing w:before="200" w:after="360"/>
              <w:rPr>
                <w:rFonts w:eastAsia="Times New Roman"/>
                <w:sz w:val="21"/>
                <w:szCs w:val="21"/>
              </w:rPr>
            </w:pPr>
            <w:r>
              <w:rPr>
                <w:rStyle w:val="Zwaar"/>
                <w:rFonts w:eastAsia="Times New Roman"/>
                <w:sz w:val="21"/>
                <w:szCs w:val="21"/>
              </w:rPr>
              <w:t>Application</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17533C06" w14:textId="77777777" w:rsidR="009650FE" w:rsidRDefault="009650FE">
            <w:pPr>
              <w:spacing w:before="200" w:after="360"/>
              <w:rPr>
                <w:rFonts w:eastAsia="Times New Roman"/>
                <w:sz w:val="21"/>
                <w:szCs w:val="21"/>
              </w:rPr>
            </w:pPr>
            <w:r>
              <w:rPr>
                <w:rFonts w:eastAsia="Times New Roman"/>
                <w:sz w:val="21"/>
                <w:szCs w:val="21"/>
              </w:rPr>
              <w:t>Manually, by email or via a form</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6F32807A" w14:textId="77777777" w:rsidR="009650FE" w:rsidRDefault="009650FE">
            <w:pPr>
              <w:spacing w:before="200" w:after="360"/>
              <w:rPr>
                <w:rFonts w:eastAsia="Times New Roman"/>
                <w:sz w:val="21"/>
                <w:szCs w:val="21"/>
              </w:rPr>
            </w:pPr>
            <w:r>
              <w:rPr>
                <w:rFonts w:eastAsia="Times New Roman"/>
                <w:sz w:val="21"/>
                <w:szCs w:val="21"/>
              </w:rPr>
              <w:t>Manually, using a form</w:t>
            </w:r>
          </w:p>
        </w:tc>
      </w:tr>
      <w:tr w:rsidR="00000000" w14:paraId="3F236BEF" w14:textId="77777777">
        <w:trPr>
          <w:divId w:val="953290302"/>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30437AA4" w14:textId="77777777" w:rsidR="009650FE" w:rsidRDefault="009650FE">
            <w:pPr>
              <w:spacing w:before="200" w:after="360"/>
              <w:rPr>
                <w:rFonts w:eastAsia="Times New Roman"/>
                <w:sz w:val="21"/>
                <w:szCs w:val="21"/>
              </w:rPr>
            </w:pPr>
            <w:r>
              <w:rPr>
                <w:rStyle w:val="Zwaar"/>
                <w:rFonts w:eastAsia="Times New Roman"/>
                <w:sz w:val="21"/>
                <w:szCs w:val="21"/>
              </w:rPr>
              <w:t>Delivery</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27C4A08C" w14:textId="77777777" w:rsidR="009650FE" w:rsidRDefault="009650FE">
            <w:pPr>
              <w:spacing w:before="200" w:after="360"/>
              <w:rPr>
                <w:rFonts w:eastAsia="Times New Roman"/>
                <w:sz w:val="21"/>
                <w:szCs w:val="21"/>
              </w:rPr>
            </w:pPr>
            <w:r>
              <w:rPr>
                <w:rFonts w:eastAsia="Times New Roman"/>
                <w:sz w:val="21"/>
                <w:szCs w:val="21"/>
              </w:rPr>
              <w:t>Works, with gaps</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3D4FF2D3" w14:textId="77777777" w:rsidR="009650FE" w:rsidRDefault="009650FE">
            <w:pPr>
              <w:spacing w:before="200" w:after="360"/>
              <w:rPr>
                <w:rFonts w:eastAsia="Times New Roman"/>
                <w:sz w:val="21"/>
                <w:szCs w:val="21"/>
              </w:rPr>
            </w:pPr>
            <w:r>
              <w:rPr>
                <w:rFonts w:eastAsia="Times New Roman"/>
                <w:sz w:val="21"/>
                <w:szCs w:val="21"/>
              </w:rPr>
              <w:t>It works, but the recipient refuses</w:t>
            </w:r>
          </w:p>
        </w:tc>
      </w:tr>
      <w:tr w:rsidR="00000000" w14:paraId="0AC26A10" w14:textId="77777777">
        <w:trPr>
          <w:divId w:val="953290302"/>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4CF07D26" w14:textId="77777777" w:rsidR="009650FE" w:rsidRDefault="009650FE">
            <w:pPr>
              <w:spacing w:before="200" w:after="360"/>
              <w:rPr>
                <w:rFonts w:eastAsia="Times New Roman"/>
                <w:sz w:val="21"/>
                <w:szCs w:val="21"/>
              </w:rPr>
            </w:pPr>
            <w:r>
              <w:rPr>
                <w:rStyle w:val="Zwaar"/>
                <w:rFonts w:eastAsia="Times New Roman"/>
                <w:sz w:val="21"/>
                <w:szCs w:val="21"/>
              </w:rPr>
              <w:t>Transfer</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40FE0607" w14:textId="77777777" w:rsidR="009650FE" w:rsidRDefault="009650FE">
            <w:pPr>
              <w:spacing w:before="200" w:after="360"/>
              <w:rPr>
                <w:rFonts w:eastAsia="Times New Roman"/>
                <w:sz w:val="21"/>
                <w:szCs w:val="21"/>
              </w:rPr>
            </w:pPr>
            <w:r>
              <w:rPr>
                <w:rFonts w:eastAsia="Times New Roman"/>
                <w:sz w:val="21"/>
                <w:szCs w:val="21"/>
              </w:rPr>
              <w:t>Citizens must submit their applications to the UWV themselves</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6C3A119B" w14:textId="77777777" w:rsidR="009650FE" w:rsidRDefault="009650FE">
            <w:pPr>
              <w:spacing w:before="200" w:after="360"/>
              <w:rPr>
                <w:rFonts w:eastAsia="Times New Roman"/>
                <w:sz w:val="21"/>
                <w:szCs w:val="21"/>
              </w:rPr>
            </w:pPr>
            <w:r>
              <w:rPr>
                <w:rFonts w:eastAsia="Times New Roman"/>
                <w:sz w:val="21"/>
                <w:szCs w:val="21"/>
              </w:rPr>
              <w:t>Citizen administers injection to FOD SZ</w:t>
            </w:r>
          </w:p>
        </w:tc>
      </w:tr>
      <w:tr w:rsidR="00000000" w14:paraId="7F397064" w14:textId="77777777">
        <w:trPr>
          <w:divId w:val="953290302"/>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5F6B99F0" w14:textId="77777777" w:rsidR="009650FE" w:rsidRDefault="009650FE">
            <w:pPr>
              <w:spacing w:before="200" w:after="360"/>
              <w:rPr>
                <w:rFonts w:eastAsia="Times New Roman"/>
                <w:sz w:val="21"/>
                <w:szCs w:val="21"/>
              </w:rPr>
            </w:pPr>
            <w:r>
              <w:rPr>
                <w:rStyle w:val="Zwaar"/>
                <w:rFonts w:eastAsia="Times New Roman"/>
                <w:sz w:val="21"/>
                <w:szCs w:val="21"/>
              </w:rPr>
              <w:t>Blockade</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3DFD79E2" w14:textId="77777777" w:rsidR="009650FE" w:rsidRDefault="009650FE">
            <w:pPr>
              <w:spacing w:before="200" w:after="360"/>
              <w:rPr>
                <w:rFonts w:eastAsia="Times New Roman"/>
                <w:sz w:val="21"/>
                <w:szCs w:val="21"/>
              </w:rPr>
            </w:pPr>
            <w:r>
              <w:rPr>
                <w:rFonts w:eastAsia="Times New Roman"/>
                <w:sz w:val="21"/>
                <w:szCs w:val="21"/>
              </w:rPr>
              <w:t>5 periods are missing; the citizen must fill them in themselves</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4039A9F2" w14:textId="77777777" w:rsidR="009650FE" w:rsidRDefault="009650FE">
            <w:pPr>
              <w:spacing w:before="200" w:after="360"/>
              <w:rPr>
                <w:rFonts w:eastAsia="Times New Roman"/>
                <w:sz w:val="21"/>
                <w:szCs w:val="21"/>
              </w:rPr>
            </w:pPr>
            <w:r>
              <w:rPr>
                <w:rFonts w:eastAsia="Times New Roman"/>
                <w:sz w:val="21"/>
                <w:szCs w:val="21"/>
              </w:rPr>
              <w:t>NEO refuses to accept data from abroad</w:t>
            </w:r>
          </w:p>
        </w:tc>
      </w:tr>
      <w:tr w:rsidR="00000000" w14:paraId="08DC01C1" w14:textId="77777777">
        <w:trPr>
          <w:divId w:val="953290302"/>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5999B778" w14:textId="77777777" w:rsidR="009650FE" w:rsidRDefault="009650FE">
            <w:pPr>
              <w:spacing w:before="200" w:after="360"/>
              <w:rPr>
                <w:rFonts w:eastAsia="Times New Roman"/>
                <w:sz w:val="21"/>
                <w:szCs w:val="21"/>
              </w:rPr>
            </w:pPr>
            <w:r>
              <w:rPr>
                <w:rStyle w:val="Zwaar"/>
                <w:rFonts w:eastAsia="Times New Roman"/>
                <w:sz w:val="21"/>
                <w:szCs w:val="21"/>
              </w:rPr>
              <w:t>Bypass</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79205C45" w14:textId="77777777" w:rsidR="009650FE" w:rsidRDefault="009650FE">
            <w:pPr>
              <w:spacing w:before="200" w:after="360"/>
              <w:rPr>
                <w:rFonts w:eastAsia="Times New Roman"/>
                <w:sz w:val="21"/>
                <w:szCs w:val="21"/>
              </w:rPr>
            </w:pPr>
            <w:r>
              <w:rPr>
                <w:rFonts w:eastAsia="Times New Roman"/>
                <w:sz w:val="21"/>
                <w:szCs w:val="21"/>
              </w:rPr>
              <w:t>Requesting additional certificates from employers</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6980AF8F" w14:textId="77777777" w:rsidR="009650FE" w:rsidRDefault="009650FE">
            <w:pPr>
              <w:spacing w:before="200" w:after="360"/>
              <w:rPr>
                <w:rFonts w:eastAsia="Times New Roman"/>
                <w:sz w:val="21"/>
                <w:szCs w:val="21"/>
              </w:rPr>
            </w:pPr>
            <w:r>
              <w:rPr>
                <w:rFonts w:eastAsia="Times New Roman"/>
                <w:sz w:val="21"/>
                <w:szCs w:val="21"/>
              </w:rPr>
              <w:t>Manual entry via the FOD SZ portal</w:t>
            </w:r>
          </w:p>
        </w:tc>
      </w:tr>
    </w:tbl>
    <w:p w14:paraId="7B3C05CD" w14:textId="77777777" w:rsidR="009650FE" w:rsidRDefault="009650FE">
      <w:pPr>
        <w:pStyle w:val="Normaalweb"/>
        <w:divId w:val="953290302"/>
        <w:rPr>
          <w:sz w:val="24"/>
          <w:lang w:val="en-GB"/>
        </w:rPr>
      </w:pPr>
      <w:r>
        <w:rPr>
          <w:lang w:val="en-GB"/>
        </w:rPr>
        <w:t>In both directions, the citizen is the only party who submits the document, either physically or digitally. NEO and the UWV do send documents to each other, but do not receive them from one another. There is no automatic system-to-system link. In direction 1, the citizen fills in the gaps themselves. In direction 2, they bypass the uncooperative NEO via another federal agency.</w:t>
      </w:r>
    </w:p>
    <w:p w14:paraId="48B78E9F" w14:textId="77777777" w:rsidR="009650FE" w:rsidRDefault="009650FE">
      <w:pPr>
        <w:pStyle w:val="Kop3"/>
        <w:divId w:val="953290302"/>
        <w:rPr>
          <w:rFonts w:eastAsia="Times New Roman"/>
          <w:lang w:val="en-GB"/>
        </w:rPr>
      </w:pPr>
      <w:bookmarkStart w:id="92" w:name="_Toc242103230"/>
      <w:r>
        <w:rPr>
          <w:rFonts w:eastAsia="Times New Roman"/>
          <w:lang w:val="en-GB"/>
        </w:rPr>
        <w:t>ESSPASS in 2030 — what won’t change</w:t>
      </w:r>
      <w:bookmarkEnd w:id="92"/>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02DC2B42" w14:textId="77777777">
        <w:trPr>
          <w:divId w:val="953290302"/>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44E73B0F" w14:textId="77777777" w:rsidR="009650FE" w:rsidRDefault="009650FE">
            <w:pPr>
              <w:pStyle w:val="Normaalweb"/>
              <w:spacing w:before="120"/>
              <w:jc w:val="center"/>
              <w:rPr>
                <w:sz w:val="21"/>
                <w:szCs w:val="21"/>
              </w:rPr>
            </w:pPr>
            <w:r>
              <w:rPr>
                <w:noProof/>
                <w:sz w:val="21"/>
                <w:szCs w:val="21"/>
              </w:rPr>
              <w:drawing>
                <wp:inline distT="0" distB="0" distL="0" distR="0" wp14:anchorId="4B97C0BE" wp14:editId="57B1AE87">
                  <wp:extent cx="3810000" cy="1181100"/>
                  <wp:effectExtent l="0" t="0" r="0" b="0"/>
                  <wp:docPr id="56" name="Afbeelding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3810000" cy="1181100"/>
                          </a:xfrm>
                          <a:prstGeom prst="rect">
                            <a:avLst/>
                          </a:prstGeom>
                          <a:noFill/>
                          <a:ln>
                            <a:noFill/>
                          </a:ln>
                        </pic:spPr>
                      </pic:pic>
                    </a:graphicData>
                  </a:graphic>
                </wp:inline>
              </w:drawing>
            </w:r>
          </w:p>
          <w:p w14:paraId="75D18B5B" w14:textId="77777777" w:rsidR="009650FE" w:rsidRDefault="009650FE">
            <w:pPr>
              <w:pStyle w:val="caption"/>
              <w:spacing w:after="120" w:afterAutospacing="0"/>
            </w:pPr>
            <w:r>
              <w:rPr>
                <w:rStyle w:val="Zwaar"/>
              </w:rPr>
              <w:t>Figure VIII.2 — ESSPASS in 2030.</w:t>
            </w:r>
            <w:r>
              <w:t xml:space="preserve"> </w:t>
            </w:r>
            <w:r>
              <w:t>The wallet digitises the document. Verification becomes faster. But the citizen’s process remains the same: they apply for the document and share it with the verifying authority. Member States do not automatically link their systems together. In 2030, NEO will still refuse to integrate foreign employment data, and citizens will still have to use the same workaround.</w:t>
            </w:r>
          </w:p>
        </w:tc>
      </w:tr>
    </w:tbl>
    <w:p w14:paraId="53742691" w14:textId="77777777" w:rsidR="009650FE" w:rsidRDefault="009650FE">
      <w:pPr>
        <w:pStyle w:val="Kop3"/>
        <w:divId w:val="953290302"/>
        <w:rPr>
          <w:rFonts w:eastAsia="Times New Roman"/>
          <w:lang w:val="en-GB"/>
        </w:rPr>
      </w:pPr>
      <w:bookmarkStart w:id="93" w:name="_Toc242103231"/>
      <w:r>
        <w:rPr>
          <w:rFonts w:eastAsia="Times New Roman"/>
          <w:lang w:val="en-GB"/>
        </w:rPr>
        <w:t>What ESSPASS does and does not solve</w:t>
      </w:r>
      <w:bookmarkEnd w:id="93"/>
    </w:p>
    <w:tbl>
      <w:tblPr>
        <w:tblW w:w="5000" w:type="pct"/>
        <w:tblCellMar>
          <w:top w:w="15" w:type="dxa"/>
          <w:left w:w="15" w:type="dxa"/>
          <w:bottom w:w="15" w:type="dxa"/>
          <w:right w:w="15" w:type="dxa"/>
        </w:tblCellMar>
        <w:tblLook w:val="04A0" w:firstRow="1" w:lastRow="0" w:firstColumn="1" w:lastColumn="0" w:noHBand="0" w:noVBand="1"/>
      </w:tblPr>
      <w:tblGrid>
        <w:gridCol w:w="3080"/>
        <w:gridCol w:w="2988"/>
        <w:gridCol w:w="2988"/>
      </w:tblGrid>
      <w:tr w:rsidR="00000000" w14:paraId="2DDC119C" w14:textId="77777777">
        <w:trPr>
          <w:divId w:val="953290302"/>
          <w:tblHeader/>
        </w:trPr>
        <w:tc>
          <w:tcPr>
            <w:tcW w:w="1700" w:type="pct"/>
            <w:tcBorders>
              <w:top w:val="single" w:sz="6" w:space="0" w:color="4A3B6B"/>
              <w:left w:val="single" w:sz="6" w:space="0" w:color="4A3B6B"/>
              <w:bottom w:val="single" w:sz="6" w:space="0" w:color="4A3B6B"/>
              <w:right w:val="single" w:sz="6" w:space="0" w:color="4A3B6B"/>
            </w:tcBorders>
            <w:shd w:val="clear" w:color="auto" w:fill="4A3B6B"/>
            <w:tcMar>
              <w:top w:w="140" w:type="dxa"/>
              <w:left w:w="180" w:type="dxa"/>
              <w:bottom w:w="140" w:type="dxa"/>
              <w:right w:w="180" w:type="dxa"/>
            </w:tcMar>
            <w:vAlign w:val="center"/>
            <w:hideMark/>
          </w:tcPr>
          <w:p w14:paraId="29F86D3C" w14:textId="77777777" w:rsidR="009650FE" w:rsidRDefault="009650FE">
            <w:pPr>
              <w:spacing w:before="200" w:after="360"/>
              <w:rPr>
                <w:rFonts w:eastAsia="Times New Roman"/>
                <w:b/>
                <w:bCs/>
                <w:color w:val="FFFFFF"/>
                <w:sz w:val="21"/>
                <w:szCs w:val="21"/>
              </w:rPr>
            </w:pPr>
            <w:r>
              <w:rPr>
                <w:rFonts w:eastAsia="Times New Roman"/>
                <w:b/>
                <w:bCs/>
                <w:color w:val="FFFFFF"/>
                <w:sz w:val="21"/>
                <w:szCs w:val="21"/>
              </w:rPr>
              <w:t>Aspect</w:t>
            </w:r>
          </w:p>
        </w:tc>
        <w:tc>
          <w:tcPr>
            <w:tcW w:w="1650" w:type="pct"/>
            <w:tcBorders>
              <w:top w:val="single" w:sz="6" w:space="0" w:color="4A3B6B"/>
              <w:left w:val="single" w:sz="6" w:space="0" w:color="4A3B6B"/>
              <w:bottom w:val="single" w:sz="6" w:space="0" w:color="4A3B6B"/>
              <w:right w:val="single" w:sz="6" w:space="0" w:color="4A3B6B"/>
            </w:tcBorders>
            <w:shd w:val="clear" w:color="auto" w:fill="4A3B6B"/>
            <w:tcMar>
              <w:top w:w="140" w:type="dxa"/>
              <w:left w:w="180" w:type="dxa"/>
              <w:bottom w:w="140" w:type="dxa"/>
              <w:right w:w="180" w:type="dxa"/>
            </w:tcMar>
            <w:vAlign w:val="center"/>
            <w:hideMark/>
          </w:tcPr>
          <w:p w14:paraId="3A835823" w14:textId="77777777" w:rsidR="009650FE" w:rsidRDefault="009650FE">
            <w:pPr>
              <w:spacing w:before="200" w:after="360"/>
              <w:rPr>
                <w:rFonts w:eastAsia="Times New Roman"/>
                <w:b/>
                <w:bCs/>
                <w:color w:val="FFFFFF"/>
                <w:sz w:val="21"/>
                <w:szCs w:val="21"/>
              </w:rPr>
            </w:pPr>
            <w:r>
              <w:rPr>
                <w:rFonts w:eastAsia="Times New Roman"/>
                <w:b/>
                <w:bCs/>
                <w:color w:val="FFFFFF"/>
                <w:sz w:val="21"/>
                <w:szCs w:val="21"/>
              </w:rPr>
              <w:t>Now (2026)</w:t>
            </w:r>
          </w:p>
        </w:tc>
        <w:tc>
          <w:tcPr>
            <w:tcW w:w="1650" w:type="pct"/>
            <w:tcBorders>
              <w:top w:val="single" w:sz="6" w:space="0" w:color="4A3B6B"/>
              <w:left w:val="single" w:sz="6" w:space="0" w:color="4A3B6B"/>
              <w:bottom w:val="single" w:sz="6" w:space="0" w:color="4A3B6B"/>
              <w:right w:val="single" w:sz="6" w:space="0" w:color="4A3B6B"/>
            </w:tcBorders>
            <w:shd w:val="clear" w:color="auto" w:fill="4A3B6B"/>
            <w:tcMar>
              <w:top w:w="140" w:type="dxa"/>
              <w:left w:w="180" w:type="dxa"/>
              <w:bottom w:w="140" w:type="dxa"/>
              <w:right w:w="180" w:type="dxa"/>
            </w:tcMar>
            <w:vAlign w:val="center"/>
            <w:hideMark/>
          </w:tcPr>
          <w:p w14:paraId="5BD8F92D" w14:textId="77777777" w:rsidR="009650FE" w:rsidRDefault="009650FE">
            <w:pPr>
              <w:spacing w:before="200" w:after="360"/>
              <w:rPr>
                <w:rFonts w:eastAsia="Times New Roman"/>
                <w:b/>
                <w:bCs/>
                <w:color w:val="FFFFFF"/>
                <w:sz w:val="21"/>
                <w:szCs w:val="21"/>
              </w:rPr>
            </w:pPr>
            <w:r>
              <w:rPr>
                <w:rFonts w:eastAsia="Times New Roman"/>
                <w:b/>
                <w:bCs/>
                <w:color w:val="FFFFFF"/>
                <w:sz w:val="21"/>
                <w:szCs w:val="21"/>
              </w:rPr>
              <w:t>ESSPASS (2030)</w:t>
            </w:r>
          </w:p>
        </w:tc>
      </w:tr>
      <w:tr w:rsidR="00000000" w14:paraId="5F5B05BB" w14:textId="77777777">
        <w:trPr>
          <w:divId w:val="953290302"/>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6E9C547A" w14:textId="77777777" w:rsidR="009650FE" w:rsidRDefault="009650FE">
            <w:pPr>
              <w:spacing w:before="200" w:after="360"/>
              <w:rPr>
                <w:rFonts w:eastAsia="Times New Roman"/>
                <w:sz w:val="21"/>
                <w:szCs w:val="21"/>
              </w:rPr>
            </w:pPr>
            <w:r>
              <w:rPr>
                <w:rStyle w:val="Zwaar"/>
                <w:rFonts w:eastAsia="Times New Roman"/>
                <w:sz w:val="21"/>
                <w:szCs w:val="21"/>
              </w:rPr>
              <w:t>Carrier</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7E61BF1B" w14:textId="77777777" w:rsidR="009650FE" w:rsidRDefault="009650FE">
            <w:pPr>
              <w:spacing w:before="200" w:after="360"/>
              <w:rPr>
                <w:rFonts w:eastAsia="Times New Roman"/>
                <w:sz w:val="21"/>
                <w:szCs w:val="21"/>
              </w:rPr>
            </w:pPr>
            <w:r>
              <w:rPr>
                <w:rFonts w:eastAsia="Times New Roman"/>
                <w:sz w:val="21"/>
                <w:szCs w:val="21"/>
              </w:rPr>
              <w:t>Paper</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06ED7981" w14:textId="77777777" w:rsidR="009650FE" w:rsidRDefault="009650FE">
            <w:pPr>
              <w:spacing w:before="200" w:after="360"/>
              <w:rPr>
                <w:rFonts w:eastAsia="Times New Roman"/>
                <w:sz w:val="21"/>
                <w:szCs w:val="21"/>
              </w:rPr>
            </w:pPr>
            <w:r>
              <w:rPr>
                <w:rFonts w:eastAsia="Times New Roman"/>
                <w:sz w:val="21"/>
                <w:szCs w:val="21"/>
              </w:rPr>
              <w:t>EUDI Wallet</w:t>
            </w:r>
          </w:p>
        </w:tc>
      </w:tr>
      <w:tr w:rsidR="00000000" w14:paraId="7A495D0D" w14:textId="77777777">
        <w:trPr>
          <w:divId w:val="953290302"/>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41F7B5CB" w14:textId="77777777" w:rsidR="009650FE" w:rsidRDefault="009650FE">
            <w:pPr>
              <w:spacing w:before="200" w:after="360"/>
              <w:rPr>
                <w:rFonts w:eastAsia="Times New Roman"/>
                <w:sz w:val="21"/>
                <w:szCs w:val="21"/>
              </w:rPr>
            </w:pPr>
            <w:r>
              <w:rPr>
                <w:rStyle w:val="Zwaar"/>
                <w:rFonts w:eastAsia="Times New Roman"/>
                <w:sz w:val="21"/>
                <w:szCs w:val="21"/>
              </w:rPr>
              <w:t>Application</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570604F0" w14:textId="77777777" w:rsidR="009650FE" w:rsidRDefault="009650FE">
            <w:pPr>
              <w:spacing w:before="200" w:after="360"/>
              <w:rPr>
                <w:rFonts w:eastAsia="Times New Roman"/>
                <w:sz w:val="21"/>
                <w:szCs w:val="21"/>
              </w:rPr>
            </w:pPr>
            <w:r>
              <w:rPr>
                <w:rFonts w:eastAsia="Times New Roman"/>
                <w:sz w:val="21"/>
                <w:szCs w:val="21"/>
              </w:rPr>
              <w:t>Manual, 75% no online application</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1CF83D03" w14:textId="77777777" w:rsidR="009650FE" w:rsidRDefault="009650FE">
            <w:pPr>
              <w:spacing w:before="200" w:after="360"/>
              <w:rPr>
                <w:rFonts w:eastAsia="Times New Roman"/>
                <w:sz w:val="21"/>
                <w:szCs w:val="21"/>
              </w:rPr>
            </w:pPr>
            <w:r>
              <w:rPr>
                <w:rFonts w:eastAsia="Times New Roman"/>
                <w:sz w:val="21"/>
                <w:szCs w:val="21"/>
              </w:rPr>
              <w:t>Manually via the wallet</w:t>
            </w:r>
          </w:p>
        </w:tc>
      </w:tr>
      <w:tr w:rsidR="00000000" w14:paraId="4D78BD26" w14:textId="77777777">
        <w:trPr>
          <w:divId w:val="953290302"/>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6B83A811" w14:textId="77777777" w:rsidR="009650FE" w:rsidRDefault="009650FE">
            <w:pPr>
              <w:spacing w:before="200" w:after="360"/>
              <w:rPr>
                <w:rFonts w:eastAsia="Times New Roman"/>
                <w:sz w:val="21"/>
                <w:szCs w:val="21"/>
              </w:rPr>
            </w:pPr>
            <w:r>
              <w:rPr>
                <w:rStyle w:val="Zwaar"/>
                <w:rFonts w:eastAsia="Times New Roman"/>
                <w:sz w:val="21"/>
                <w:szCs w:val="21"/>
              </w:rPr>
              <w:t>Issue</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34D38731" w14:textId="77777777" w:rsidR="009650FE" w:rsidRDefault="009650FE">
            <w:pPr>
              <w:spacing w:before="200" w:after="360"/>
              <w:rPr>
                <w:rFonts w:eastAsia="Times New Roman"/>
                <w:sz w:val="21"/>
                <w:szCs w:val="21"/>
              </w:rPr>
            </w:pPr>
            <w:r>
              <w:rPr>
                <w:rFonts w:eastAsia="Times New Roman"/>
                <w:sz w:val="21"/>
                <w:szCs w:val="21"/>
              </w:rPr>
              <w:t>Manually, taking days to weeks</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31F635BF" w14:textId="77777777" w:rsidR="009650FE" w:rsidRDefault="009650FE">
            <w:pPr>
              <w:spacing w:before="200" w:after="360"/>
              <w:rPr>
                <w:rFonts w:eastAsia="Times New Roman"/>
                <w:sz w:val="21"/>
                <w:szCs w:val="21"/>
              </w:rPr>
            </w:pPr>
            <w:r>
              <w:rPr>
                <w:rFonts w:eastAsia="Times New Roman"/>
                <w:sz w:val="21"/>
                <w:szCs w:val="21"/>
              </w:rPr>
              <w:t>Automatically from the source, seconds</w:t>
            </w:r>
          </w:p>
        </w:tc>
      </w:tr>
      <w:tr w:rsidR="00000000" w14:paraId="49927D71" w14:textId="77777777">
        <w:trPr>
          <w:divId w:val="953290302"/>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2BFD2FB3" w14:textId="77777777" w:rsidR="009650FE" w:rsidRDefault="009650FE">
            <w:pPr>
              <w:spacing w:before="200" w:after="360"/>
              <w:rPr>
                <w:rFonts w:eastAsia="Times New Roman"/>
                <w:sz w:val="21"/>
                <w:szCs w:val="21"/>
              </w:rPr>
            </w:pPr>
            <w:r>
              <w:rPr>
                <w:rStyle w:val="Zwaar"/>
                <w:rFonts w:eastAsia="Times New Roman"/>
                <w:sz w:val="21"/>
                <w:szCs w:val="21"/>
              </w:rPr>
              <w:t>Transfer</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2B1BB826" w14:textId="77777777" w:rsidR="009650FE" w:rsidRDefault="009650FE">
            <w:pPr>
              <w:spacing w:before="200" w:after="360"/>
              <w:rPr>
                <w:rFonts w:eastAsia="Times New Roman"/>
                <w:sz w:val="21"/>
                <w:szCs w:val="21"/>
              </w:rPr>
            </w:pPr>
            <w:r>
              <w:rPr>
                <w:rFonts w:eastAsia="Times New Roman"/>
                <w:sz w:val="21"/>
                <w:szCs w:val="21"/>
              </w:rPr>
              <w:t>In person, by post or by email</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617466A4" w14:textId="77777777" w:rsidR="009650FE" w:rsidRDefault="009650FE">
            <w:pPr>
              <w:spacing w:before="200" w:after="360"/>
              <w:rPr>
                <w:rFonts w:eastAsia="Times New Roman"/>
                <w:sz w:val="21"/>
                <w:szCs w:val="21"/>
              </w:rPr>
            </w:pPr>
            <w:r>
              <w:rPr>
                <w:rFonts w:eastAsia="Times New Roman"/>
                <w:sz w:val="21"/>
                <w:szCs w:val="21"/>
              </w:rPr>
              <w:t>Manually via the wallet</w:t>
            </w:r>
          </w:p>
        </w:tc>
      </w:tr>
      <w:tr w:rsidR="00000000" w14:paraId="7E69D503" w14:textId="77777777">
        <w:trPr>
          <w:divId w:val="953290302"/>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13E3260E" w14:textId="77777777" w:rsidR="009650FE" w:rsidRDefault="009650FE">
            <w:pPr>
              <w:spacing w:before="200" w:after="360"/>
              <w:rPr>
                <w:rFonts w:eastAsia="Times New Roman"/>
                <w:sz w:val="21"/>
                <w:szCs w:val="21"/>
              </w:rPr>
            </w:pPr>
            <w:r>
              <w:rPr>
                <w:rStyle w:val="Zwaar"/>
                <w:rFonts w:eastAsia="Times New Roman"/>
                <w:sz w:val="21"/>
                <w:szCs w:val="21"/>
              </w:rPr>
              <w:t>Verification</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0C379DF0" w14:textId="77777777" w:rsidR="009650FE" w:rsidRDefault="009650FE">
            <w:pPr>
              <w:spacing w:before="200" w:after="360"/>
              <w:rPr>
                <w:rFonts w:eastAsia="Times New Roman"/>
                <w:sz w:val="21"/>
                <w:szCs w:val="21"/>
              </w:rPr>
            </w:pPr>
            <w:r>
              <w:rPr>
                <w:rFonts w:eastAsia="Times New Roman"/>
                <w:sz w:val="21"/>
                <w:szCs w:val="21"/>
              </w:rPr>
              <w:t>Manually by a civil servant</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4CB2B22A" w14:textId="77777777" w:rsidR="009650FE" w:rsidRDefault="009650FE">
            <w:pPr>
              <w:spacing w:before="200" w:after="360"/>
              <w:rPr>
                <w:rFonts w:eastAsia="Times New Roman"/>
                <w:sz w:val="21"/>
                <w:szCs w:val="21"/>
              </w:rPr>
            </w:pPr>
            <w:r>
              <w:rPr>
                <w:rFonts w:eastAsia="Times New Roman"/>
                <w:sz w:val="21"/>
                <w:szCs w:val="21"/>
              </w:rPr>
              <w:t>Real-time QR scan</w:t>
            </w:r>
          </w:p>
        </w:tc>
      </w:tr>
      <w:tr w:rsidR="00000000" w14:paraId="28925127" w14:textId="77777777">
        <w:trPr>
          <w:divId w:val="953290302"/>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3D1DD98A" w14:textId="77777777" w:rsidR="009650FE" w:rsidRDefault="009650FE">
            <w:pPr>
              <w:spacing w:before="200" w:after="360"/>
              <w:rPr>
                <w:rFonts w:eastAsia="Times New Roman"/>
                <w:sz w:val="21"/>
                <w:szCs w:val="21"/>
              </w:rPr>
            </w:pPr>
            <w:r>
              <w:rPr>
                <w:rStyle w:val="Zwaar"/>
                <w:rFonts w:eastAsia="Times New Roman"/>
                <w:sz w:val="21"/>
                <w:szCs w:val="21"/>
              </w:rPr>
              <w:t>Fraud detection</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3D2F49F1" w14:textId="77777777" w:rsidR="009650FE" w:rsidRDefault="009650FE">
            <w:pPr>
              <w:spacing w:before="200" w:after="360"/>
              <w:rPr>
                <w:rFonts w:eastAsia="Times New Roman"/>
                <w:sz w:val="21"/>
                <w:szCs w:val="21"/>
              </w:rPr>
            </w:pPr>
            <w:r>
              <w:rPr>
                <w:rFonts w:eastAsia="Times New Roman"/>
                <w:sz w:val="21"/>
                <w:szCs w:val="21"/>
              </w:rPr>
              <w:t>Limited</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5A346EFA" w14:textId="77777777" w:rsidR="009650FE" w:rsidRDefault="009650FE">
            <w:pPr>
              <w:spacing w:before="200" w:after="360"/>
              <w:rPr>
                <w:rFonts w:eastAsia="Times New Roman"/>
                <w:sz w:val="21"/>
                <w:szCs w:val="21"/>
              </w:rPr>
            </w:pPr>
            <w:r>
              <w:rPr>
                <w:rFonts w:eastAsia="Times New Roman"/>
                <w:sz w:val="21"/>
                <w:szCs w:val="21"/>
              </w:rPr>
              <w:t>Cryptographically strong</w:t>
            </w:r>
          </w:p>
        </w:tc>
      </w:tr>
      <w:tr w:rsidR="00000000" w14:paraId="3BC3C555" w14:textId="77777777">
        <w:trPr>
          <w:divId w:val="953290302"/>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104000F7" w14:textId="77777777" w:rsidR="009650FE" w:rsidRDefault="009650FE">
            <w:pPr>
              <w:spacing w:before="200" w:after="360"/>
              <w:rPr>
                <w:rFonts w:eastAsia="Times New Roman"/>
                <w:sz w:val="21"/>
                <w:szCs w:val="21"/>
              </w:rPr>
            </w:pPr>
            <w:r>
              <w:rPr>
                <w:rStyle w:val="Zwaar"/>
                <w:rFonts w:eastAsia="Times New Roman"/>
                <w:sz w:val="21"/>
                <w:szCs w:val="21"/>
              </w:rPr>
              <w:t>Coordination between Member States</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0271B543" w14:textId="77777777" w:rsidR="009650FE" w:rsidRDefault="009650FE">
            <w:pPr>
              <w:spacing w:before="200" w:after="360"/>
              <w:rPr>
                <w:rFonts w:eastAsia="Times New Roman"/>
                <w:sz w:val="21"/>
                <w:szCs w:val="21"/>
              </w:rPr>
            </w:pPr>
            <w:r>
              <w:rPr>
                <w:rFonts w:eastAsia="Times New Roman"/>
                <w:sz w:val="21"/>
                <w:szCs w:val="21"/>
              </w:rPr>
              <w:t>None</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5F438149" w14:textId="77777777" w:rsidR="009650FE" w:rsidRDefault="009650FE">
            <w:pPr>
              <w:spacing w:before="200" w:after="360"/>
              <w:rPr>
                <w:rFonts w:eastAsia="Times New Roman"/>
                <w:sz w:val="21"/>
                <w:szCs w:val="21"/>
              </w:rPr>
            </w:pPr>
            <w:r>
              <w:rPr>
                <w:rFonts w:eastAsia="Times New Roman"/>
                <w:sz w:val="21"/>
                <w:szCs w:val="21"/>
              </w:rPr>
              <w:t>None</w:t>
            </w:r>
          </w:p>
        </w:tc>
      </w:tr>
    </w:tbl>
    <w:p w14:paraId="6076295D" w14:textId="77777777" w:rsidR="009650FE" w:rsidRDefault="009650FE">
      <w:pPr>
        <w:pStyle w:val="Normaalweb"/>
        <w:divId w:val="953290302"/>
        <w:rPr>
          <w:sz w:val="24"/>
          <w:lang w:val="en-GB"/>
        </w:rPr>
      </w:pPr>
      <w:r>
        <w:rPr>
          <w:lang w:val="en-GB"/>
        </w:rPr>
        <w:t xml:space="preserve">ESSPASS eliminates </w:t>
      </w:r>
      <w:r>
        <w:rPr>
          <w:rStyle w:val="Nadruk"/>
          <w:lang w:val="en-GB"/>
        </w:rPr>
        <w:t>paper-based delays</w:t>
      </w:r>
      <w:r>
        <w:rPr>
          <w:lang w:val="en-GB"/>
        </w:rPr>
        <w:t xml:space="preserve">. It does not eliminate the need for </w:t>
      </w:r>
      <w:r>
        <w:rPr>
          <w:rStyle w:val="Nadruk"/>
          <w:lang w:val="en-GB"/>
        </w:rPr>
        <w:t>manual synchronisation</w:t>
      </w:r>
      <w:r>
        <w:rPr>
          <w:lang w:val="en-GB"/>
        </w:rPr>
        <w:t>. The citizen remains the party who requests and shares the document. What was a physical action in 2026 will become a digital action in 2030. The citizen’s role does not change.</w:t>
      </w:r>
    </w:p>
    <w:p w14:paraId="301DCCAC" w14:textId="77777777" w:rsidR="009650FE" w:rsidRDefault="009650FE">
      <w:pPr>
        <w:pStyle w:val="Kop3"/>
        <w:divId w:val="953290302"/>
        <w:rPr>
          <w:rFonts w:eastAsia="Times New Roman"/>
          <w:lang w:val="en-GB"/>
        </w:rPr>
      </w:pPr>
      <w:bookmarkStart w:id="94" w:name="_Toc242103232"/>
      <w:r>
        <w:rPr>
          <w:rFonts w:eastAsia="Times New Roman"/>
          <w:lang w:val="en-GB"/>
        </w:rPr>
        <w:t>Why this serves as a bridge to the Dutch section</w:t>
      </w:r>
      <w:bookmarkEnd w:id="94"/>
    </w:p>
    <w:p w14:paraId="0241ADF1" w14:textId="77777777" w:rsidR="009650FE" w:rsidRDefault="009650FE">
      <w:pPr>
        <w:pStyle w:val="Normaalweb"/>
        <w:divId w:val="953290302"/>
        <w:rPr>
          <w:lang w:val="en-GB"/>
        </w:rPr>
      </w:pPr>
      <w:r>
        <w:rPr>
          <w:lang w:val="en-GB"/>
        </w:rPr>
        <w:t>In Belgium, the main administrative obstacles to this case have now been identified and, in part, overcome via the tax bypass. What remains in Belgium are implementation issues — the reopening of the case, the disciplinary complaint and the labour audit. No new structural obstacles are emerging.</w:t>
      </w:r>
    </w:p>
    <w:p w14:paraId="2CBAA6A8" w14:textId="77777777" w:rsidR="009650FE" w:rsidRDefault="009650FE">
      <w:pPr>
        <w:pStyle w:val="Normaalweb"/>
        <w:divId w:val="953290302"/>
        <w:rPr>
          <w:lang w:val="en-GB"/>
        </w:rPr>
      </w:pPr>
      <w:r>
        <w:rPr>
          <w:lang w:val="en-GB"/>
        </w:rPr>
        <w:t>The situation is different on the Dutch side. There, the WIA, the SVB, the Tax and Customs Administration, the municipality of Hulst, the CAK, the RIV registers and the entire Dutch administrative apparatus are still awaiting their own analysis. And that is precisely where a structural difference with Belgium lies, one that has not yet been highlighted.</w:t>
      </w:r>
    </w:p>
    <w:p w14:paraId="0F98460A" w14:textId="77777777" w:rsidR="009650FE" w:rsidRDefault="009650FE">
      <w:pPr>
        <w:pStyle w:val="Normaalweb"/>
        <w:divId w:val="953290302"/>
        <w:rPr>
          <w:lang w:val="en-GB"/>
        </w:rPr>
      </w:pPr>
      <w:r>
        <w:rPr>
          <w:lang w:val="en-GB"/>
        </w:rPr>
        <w:t>The manual U1 issue is the final Belgian obstacle in this matter. At the same time, it is the gateway to the Dutch part — because direction 2 (the Netherlands to Belgium) is the first step that also affects the Dutch authorities. What is still touched upon in passing in this chapter will take centre stage in the following chapters: the WIA, the SVB, benefits, healthcare allowance and local authority implementation.</w:t>
      </w:r>
    </w:p>
    <w:tbl>
      <w:tblPr>
        <w:tblW w:w="5000" w:type="pct"/>
        <w:tblCellMar>
          <w:top w:w="15" w:type="dxa"/>
          <w:left w:w="15" w:type="dxa"/>
          <w:bottom w:w="15" w:type="dxa"/>
          <w:right w:w="15" w:type="dxa"/>
        </w:tblCellMar>
        <w:tblLook w:val="04A0" w:firstRow="1" w:lastRow="0" w:firstColumn="1" w:lastColumn="0" w:noHBand="0" w:noVBand="1"/>
      </w:tblPr>
      <w:tblGrid>
        <w:gridCol w:w="9019"/>
      </w:tblGrid>
      <w:tr w:rsidR="00000000" w14:paraId="717564E8" w14:textId="77777777">
        <w:trPr>
          <w:divId w:val="953290302"/>
        </w:trPr>
        <w:tc>
          <w:tcPr>
            <w:tcW w:w="0" w:type="auto"/>
            <w:tcBorders>
              <w:top w:val="single" w:sz="6" w:space="0" w:color="D5D0C5"/>
              <w:left w:val="single" w:sz="36" w:space="0" w:color="4A3B6B"/>
              <w:bottom w:val="single" w:sz="6" w:space="0" w:color="D5D0C5"/>
              <w:right w:val="single" w:sz="6" w:space="0" w:color="D5D0C5"/>
            </w:tcBorders>
            <w:shd w:val="clear" w:color="auto" w:fill="EDE9F5"/>
            <w:tcMar>
              <w:top w:w="200" w:type="dxa"/>
              <w:left w:w="280" w:type="dxa"/>
              <w:bottom w:w="200" w:type="dxa"/>
              <w:right w:w="280" w:type="dxa"/>
            </w:tcMar>
            <w:hideMark/>
          </w:tcPr>
          <w:p w14:paraId="5FC3B14B" w14:textId="77777777" w:rsidR="009650FE" w:rsidRDefault="009650FE">
            <w:pPr>
              <w:spacing w:before="240" w:after="240"/>
              <w:rPr>
                <w:rFonts w:eastAsia="Times New Roman"/>
                <w:szCs w:val="22"/>
              </w:rPr>
            </w:pPr>
            <w:r>
              <w:rPr>
                <w:rStyle w:val="Zwaar"/>
                <w:rFonts w:eastAsia="Times New Roman"/>
                <w:szCs w:val="22"/>
              </w:rPr>
              <w:t>For anyone in the same situation:</w:t>
            </w:r>
            <w:r>
              <w:rPr>
                <w:rFonts w:eastAsia="Times New Roman"/>
                <w:szCs w:val="22"/>
              </w:rPr>
              <w:t xml:space="preserve"> the PD U1 is a right, not a favour. You can request it from either organisation — from NEO for Belgian years of employment, and from the UWV for Dutch years of employment. If either of these bodies refuses to import foreign data, the only option is to go via the FPS Social Security (MyCareer portal). Ask your trade union or social services department about the correct procedure. ESSPASS in 2030 will simplify the application process, but will not remove the block at the receiving authority. </w:t>
            </w:r>
          </w:p>
        </w:tc>
      </w:tr>
    </w:tbl>
    <w:p w14:paraId="3FAD103E" w14:textId="77777777" w:rsidR="009650FE" w:rsidRDefault="009650FE">
      <w:pPr>
        <w:pStyle w:val="noot"/>
        <w:spacing w:after="120" w:afterAutospacing="0"/>
        <w:divId w:val="953290302"/>
        <w:rPr>
          <w:lang w:val="en-GB"/>
        </w:rPr>
      </w:pPr>
      <w:r>
        <w:rPr>
          <w:lang w:val="en-GB"/>
        </w:rPr>
        <w:t>The information on the PD U1 is based on Document B and on the official procedures of NEO and the UWV. The ESSPASS information is based on public sources from the European Commission and the European Parliament concerning the ESSPASS Regulation, the EUDI Wallet and the phased implementation of the Labour Mobility Package. This chapter does not constitute legal advice.</w:t>
      </w:r>
    </w:p>
    <w:p w14:paraId="51C1AB20" w14:textId="77777777" w:rsidR="009650FE" w:rsidRDefault="009650FE">
      <w:pPr>
        <w:pStyle w:val="marker"/>
        <w:ind w:left="800" w:right="800"/>
        <w:divId w:val="953290302"/>
        <w:rPr>
          <w:lang w:val="en-GB"/>
        </w:rPr>
      </w:pPr>
      <w:r>
        <w:br w:type="page"/>
      </w:r>
    </w:p>
    <w:p w14:paraId="6E15B221" w14:textId="77777777" w:rsidR="009650FE" w:rsidRDefault="009650FE">
      <w:pPr>
        <w:pStyle w:val="Kop2"/>
        <w:divId w:val="953290302"/>
        <w:rPr>
          <w:rFonts w:eastAsia="Times New Roman"/>
          <w:lang w:val="en-GB"/>
        </w:rPr>
      </w:pPr>
      <w:bookmarkStart w:id="95" w:name="_Toc242103233"/>
      <w:r>
        <w:rPr>
          <w:rFonts w:eastAsia="Times New Roman"/>
          <w:lang w:val="en-GB"/>
        </w:rPr>
        <w:t>SVB and Parentia — a working example</w:t>
      </w:r>
      <w:bookmarkEnd w:id="95"/>
    </w:p>
    <w:p w14:paraId="515F899C" w14:textId="77777777" w:rsidR="009650FE" w:rsidRDefault="009650FE">
      <w:pPr>
        <w:pStyle w:val="lead"/>
        <w:divId w:val="953290302"/>
        <w:rPr>
          <w:lang w:val="en-GB"/>
        </w:rPr>
      </w:pPr>
      <w:r>
        <w:rPr>
          <w:lang w:val="en-GB"/>
        </w:rPr>
        <w:t>Not everything that happens between Belgium and the Netherlands amounts to a deadlock. This chapter highlights one case where European coordination actually works: child benefit for a child who lives in the Netherlands and attends school in Flanders. Two authorities, two countries, one child. They manage to find common ground. And then a recalculation takes place.</w:t>
      </w:r>
    </w:p>
    <w:p w14:paraId="592EF59F" w14:textId="77777777" w:rsidR="009650FE" w:rsidRDefault="009650FE">
      <w:pPr>
        <w:pStyle w:val="Kop3"/>
        <w:divId w:val="953290302"/>
        <w:rPr>
          <w:rFonts w:eastAsia="Times New Roman"/>
          <w:lang w:val="en-GB"/>
        </w:rPr>
      </w:pPr>
      <w:bookmarkStart w:id="96" w:name="_Toc242103234"/>
      <w:r>
        <w:rPr>
          <w:rFonts w:eastAsia="Times New Roman"/>
          <w:lang w:val="en-GB"/>
        </w:rPr>
        <w:t>Part A — The split</w:t>
      </w:r>
      <w:bookmarkEnd w:id="96"/>
    </w:p>
    <w:p w14:paraId="7991A754" w14:textId="77777777" w:rsidR="009650FE" w:rsidRDefault="009650FE">
      <w:pPr>
        <w:pStyle w:val="Normaalweb"/>
        <w:divId w:val="953290302"/>
        <w:rPr>
          <w:lang w:val="en-GB"/>
        </w:rPr>
      </w:pPr>
      <w:r>
        <w:rPr>
          <w:lang w:val="en-GB"/>
        </w:rPr>
        <w:t>For a child whose parents work in two different countries, the European Co-ordination scheme allocates child benefit. The rule is that one country pays the main contribution, and the other country tops up the difference to the level applicable in the country of residence. For this family, this means:</w:t>
      </w:r>
    </w:p>
    <w:p w14:paraId="63CD4829" w14:textId="77777777" w:rsidR="009650FE" w:rsidRDefault="009650FE">
      <w:pPr>
        <w:numPr>
          <w:ilvl w:val="0"/>
          <w:numId w:val="18"/>
        </w:numPr>
        <w:spacing w:before="100" w:beforeAutospacing="1" w:after="100" w:afterAutospacing="1"/>
        <w:divId w:val="953290302"/>
        <w:rPr>
          <w:rFonts w:eastAsia="Times New Roman"/>
          <w:lang w:val="en-GB"/>
        </w:rPr>
      </w:pPr>
      <w:r>
        <w:rPr>
          <w:rStyle w:val="Zwaar"/>
          <w:rFonts w:eastAsia="Times New Roman"/>
          <w:lang w:val="en-GB"/>
        </w:rPr>
        <w:t>Belgium</w:t>
      </w:r>
      <w:r>
        <w:rPr>
          <w:rFonts w:eastAsia="Times New Roman"/>
          <w:lang w:val="en-GB"/>
        </w:rPr>
        <w:t xml:space="preserve"> </w:t>
      </w:r>
      <w:r>
        <w:rPr>
          <w:rFonts w:eastAsia="Times New Roman"/>
          <w:lang w:val="en-GB"/>
        </w:rPr>
        <w:t>is the main contributor, as the mother works in Belgium. Parentia pays out the Groeipakket.</w:t>
      </w:r>
    </w:p>
    <w:p w14:paraId="55563678" w14:textId="77777777" w:rsidR="009650FE" w:rsidRDefault="009650FE">
      <w:pPr>
        <w:numPr>
          <w:ilvl w:val="0"/>
          <w:numId w:val="18"/>
        </w:numPr>
        <w:spacing w:before="100" w:beforeAutospacing="1" w:after="100" w:afterAutospacing="1"/>
        <w:divId w:val="953290302"/>
        <w:rPr>
          <w:rFonts w:eastAsia="Times New Roman"/>
          <w:lang w:val="en-GB"/>
        </w:rPr>
      </w:pPr>
      <w:r>
        <w:rPr>
          <w:rStyle w:val="Zwaar"/>
          <w:rFonts w:eastAsia="Times New Roman"/>
          <w:lang w:val="en-GB"/>
        </w:rPr>
        <w:t>The Netherlands</w:t>
      </w:r>
      <w:r>
        <w:rPr>
          <w:rFonts w:eastAsia="Times New Roman"/>
          <w:lang w:val="en-GB"/>
        </w:rPr>
        <w:t xml:space="preserve"> tops up the benefit to the Dutch level, as the child lives in the Netherlands. The SVB pays out the difference.</w:t>
      </w:r>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40ACA7DA" w14:textId="77777777">
        <w:trPr>
          <w:divId w:val="953290302"/>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677470CF" w14:textId="77777777" w:rsidR="009650FE" w:rsidRDefault="009650FE">
            <w:pPr>
              <w:pStyle w:val="Normaalweb"/>
              <w:spacing w:before="120"/>
              <w:jc w:val="center"/>
              <w:rPr>
                <w:sz w:val="21"/>
                <w:szCs w:val="21"/>
              </w:rPr>
            </w:pPr>
            <w:r>
              <w:rPr>
                <w:noProof/>
                <w:sz w:val="21"/>
                <w:szCs w:val="21"/>
              </w:rPr>
              <w:drawing>
                <wp:inline distT="0" distB="0" distL="0" distR="0" wp14:anchorId="404222F0" wp14:editId="4421972F">
                  <wp:extent cx="3810000" cy="1460500"/>
                  <wp:effectExtent l="0" t="0" r="0" b="6350"/>
                  <wp:docPr id="57" name="Afbeelding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3810000" cy="1460500"/>
                          </a:xfrm>
                          <a:prstGeom prst="rect">
                            <a:avLst/>
                          </a:prstGeom>
                          <a:noFill/>
                          <a:ln>
                            <a:noFill/>
                          </a:ln>
                        </pic:spPr>
                      </pic:pic>
                    </a:graphicData>
                  </a:graphic>
                </wp:inline>
              </w:drawing>
            </w:r>
          </w:p>
          <w:p w14:paraId="79189F85" w14:textId="77777777" w:rsidR="009650FE" w:rsidRDefault="009650FE">
            <w:pPr>
              <w:pStyle w:val="caption"/>
              <w:spacing w:after="120" w:afterAutospacing="0"/>
            </w:pPr>
            <w:r>
              <w:rPr>
                <w:rStyle w:val="Zwaar"/>
              </w:rPr>
              <w:t>Figure XII.1 — The split.</w:t>
            </w:r>
            <w:r>
              <w:t xml:space="preserve"> Parentia pays the Belgian contribution in the mother’s name (country-of-employment principle). The SVB tops this up to the Dutch level in the father’s name (country-of-residence principle). The child receives the full amount to which a Dutch child is entitled, divided between the two countries.</w:t>
            </w:r>
          </w:p>
        </w:tc>
      </w:tr>
    </w:tbl>
    <w:p w14:paraId="3AB03DD2" w14:textId="77777777" w:rsidR="009650FE" w:rsidRDefault="009650FE">
      <w:pPr>
        <w:pStyle w:val="Kop3"/>
        <w:divId w:val="953290302"/>
        <w:rPr>
          <w:rFonts w:eastAsia="Times New Roman"/>
          <w:lang w:val="en-GB"/>
        </w:rPr>
      </w:pPr>
      <w:bookmarkStart w:id="97" w:name="_Toc242103235"/>
      <w:r>
        <w:rPr>
          <w:rFonts w:eastAsia="Times New Roman"/>
          <w:lang w:val="en-GB"/>
        </w:rPr>
        <w:t>Part B — Why this works</w:t>
      </w:r>
      <w:bookmarkEnd w:id="97"/>
    </w:p>
    <w:p w14:paraId="16408326" w14:textId="77777777" w:rsidR="009650FE" w:rsidRDefault="009650FE">
      <w:pPr>
        <w:pStyle w:val="Normaalweb"/>
        <w:divId w:val="953290302"/>
        <w:rPr>
          <w:lang w:val="en-GB"/>
        </w:rPr>
      </w:pPr>
      <w:r>
        <w:rPr>
          <w:lang w:val="en-GB"/>
        </w:rPr>
        <w:t>What works here is precisely what goes wrong elsewhere in this case. Two national authorities, two different sets of laws, two languages, and one child. They manage to find common ground.</w:t>
      </w:r>
    </w:p>
    <w:p w14:paraId="43F404D3" w14:textId="77777777" w:rsidR="009650FE" w:rsidRDefault="009650FE">
      <w:pPr>
        <w:pStyle w:val="Normaalweb"/>
        <w:divId w:val="953290302"/>
        <w:rPr>
          <w:lang w:val="en-GB"/>
        </w:rPr>
      </w:pPr>
      <w:r>
        <w:rPr>
          <w:lang w:val="en-GB"/>
        </w:rPr>
        <w:t xml:space="preserve">The European Coordination Regulation provides for a mechanism known as </w:t>
      </w:r>
      <w:r>
        <w:rPr>
          <w:rStyle w:val="Nadruk"/>
          <w:lang w:val="en-GB"/>
        </w:rPr>
        <w:t>the</w:t>
      </w:r>
      <w:r>
        <w:rPr>
          <w:lang w:val="en-GB"/>
        </w:rPr>
        <w:t xml:space="preserve"> </w:t>
      </w:r>
      <w:r>
        <w:rPr>
          <w:rStyle w:val="Nadruk"/>
          <w:lang w:val="en-GB"/>
        </w:rPr>
        <w:t>‘overlap of family benefits</w:t>
      </w:r>
      <w:r>
        <w:rPr>
          <w:lang w:val="en-GB"/>
        </w:rPr>
        <w:t>’. This mechanism determines which country pays the main contribution and which country pays the supplementary amount. Parentia and the SVB apply this mechanism. They exchange information on each other’s cases, recognise each other’s decisions, and settle the amounts.</w:t>
      </w:r>
    </w:p>
    <w:p w14:paraId="0369D917" w14:textId="77777777" w:rsidR="009650FE" w:rsidRDefault="009650FE">
      <w:pPr>
        <w:pStyle w:val="Normaalweb"/>
        <w:divId w:val="953290302"/>
        <w:rPr>
          <w:lang w:val="en-GB"/>
        </w:rPr>
      </w:pPr>
      <w:r>
        <w:rPr>
          <w:lang w:val="en-GB"/>
        </w:rPr>
        <w:t>The key: the supplementary benefit in the father’s name. The mother worked in Belgium, so the SVB could not award a supplement in her name — Belgium was already responsible for that. However, the father did not work outside the Netherlands and lived in the Netherlands. This made him the appropriate person to receive the difference. A straightforward application of the European rules.</w:t>
      </w:r>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25A6258C" w14:textId="77777777">
        <w:trPr>
          <w:divId w:val="953290302"/>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0EB9F0F2" w14:textId="77777777" w:rsidR="009650FE" w:rsidRDefault="009650FE">
            <w:pPr>
              <w:pStyle w:val="Normaalweb"/>
              <w:spacing w:before="120"/>
              <w:jc w:val="center"/>
              <w:rPr>
                <w:sz w:val="21"/>
                <w:szCs w:val="21"/>
              </w:rPr>
            </w:pPr>
            <w:r>
              <w:rPr>
                <w:noProof/>
                <w:sz w:val="21"/>
                <w:szCs w:val="21"/>
              </w:rPr>
              <w:drawing>
                <wp:inline distT="0" distB="0" distL="0" distR="0" wp14:anchorId="5F130602" wp14:editId="457F6A66">
                  <wp:extent cx="3810000" cy="901700"/>
                  <wp:effectExtent l="0" t="0" r="0" b="0"/>
                  <wp:docPr id="58" name="Afbeelding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3810000" cy="901700"/>
                          </a:xfrm>
                          <a:prstGeom prst="rect">
                            <a:avLst/>
                          </a:prstGeom>
                          <a:noFill/>
                          <a:ln>
                            <a:noFill/>
                          </a:ln>
                        </pic:spPr>
                      </pic:pic>
                    </a:graphicData>
                  </a:graphic>
                </wp:inline>
              </w:drawing>
            </w:r>
          </w:p>
          <w:p w14:paraId="0E5D2020" w14:textId="77777777" w:rsidR="009650FE" w:rsidRDefault="009650FE">
            <w:pPr>
              <w:pStyle w:val="caption"/>
              <w:spacing w:after="120" w:afterAutospacing="0"/>
            </w:pPr>
            <w:r>
              <w:t>The European coordination of family benefits works here because both countries recognise each other’s systems and offset the amounts. Elsewhere in this dossier, things go wrong because no offsetting takes place — in the case of medical expenses, transport costs and allowances.</w:t>
            </w:r>
          </w:p>
        </w:tc>
      </w:tr>
    </w:tbl>
    <w:p w14:paraId="71FB2EFE" w14:textId="77777777" w:rsidR="009650FE" w:rsidRDefault="009650FE">
      <w:pPr>
        <w:pStyle w:val="Kop3"/>
        <w:divId w:val="953290302"/>
        <w:rPr>
          <w:rFonts w:eastAsia="Times New Roman"/>
          <w:lang w:val="en-GB"/>
        </w:rPr>
      </w:pPr>
      <w:bookmarkStart w:id="98" w:name="_Toc242103236"/>
      <w:r>
        <w:rPr>
          <w:rFonts w:eastAsia="Times New Roman"/>
          <w:lang w:val="en-GB"/>
        </w:rPr>
        <w:t>Part C — The recalculation that threatens success</w:t>
      </w:r>
      <w:bookmarkEnd w:id="98"/>
    </w:p>
    <w:p w14:paraId="4C46BCE2" w14:textId="77777777" w:rsidR="009650FE" w:rsidRDefault="009650FE">
      <w:pPr>
        <w:pStyle w:val="Normaalweb"/>
        <w:divId w:val="953290302"/>
        <w:rPr>
          <w:lang w:val="en-GB"/>
        </w:rPr>
      </w:pPr>
      <w:r>
        <w:rPr>
          <w:lang w:val="en-GB"/>
        </w:rPr>
        <w:t>Now comes the second part of the story. As soon as the father’s retroactive reclassification to ‘disabled dependant’ status takes effect, the family’s tax situation will change.</w:t>
      </w:r>
    </w:p>
    <w:p w14:paraId="50C9189F" w14:textId="77777777" w:rsidR="009650FE" w:rsidRDefault="009650FE">
      <w:pPr>
        <w:pStyle w:val="Normaalweb"/>
        <w:divId w:val="953290302"/>
        <w:rPr>
          <w:lang w:val="en-GB"/>
        </w:rPr>
      </w:pPr>
      <w:r>
        <w:rPr>
          <w:lang w:val="en-GB"/>
        </w:rPr>
        <w:t>What will change: the mother will have more money left over after tax. Not because she earns more gross income, but because the family will be entitled to tax relief following the recognition of the father’s disability.</w:t>
      </w:r>
    </w:p>
    <w:p w14:paraId="4DC26287" w14:textId="77777777" w:rsidR="009650FE" w:rsidRDefault="009650FE">
      <w:pPr>
        <w:pStyle w:val="Normaalweb"/>
        <w:divId w:val="953290302"/>
        <w:rPr>
          <w:lang w:val="en-GB"/>
        </w:rPr>
      </w:pPr>
      <w:r>
        <w:rPr>
          <w:lang w:val="en-GB"/>
        </w:rPr>
        <w:t>And that’s when the cascade effect begins.</w:t>
      </w:r>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290EAF4C" w14:textId="77777777">
        <w:trPr>
          <w:divId w:val="953290302"/>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354ABBEC" w14:textId="77777777" w:rsidR="009650FE" w:rsidRDefault="009650FE">
            <w:pPr>
              <w:pStyle w:val="Normaalweb"/>
              <w:spacing w:before="120"/>
              <w:jc w:val="center"/>
              <w:rPr>
                <w:sz w:val="21"/>
                <w:szCs w:val="21"/>
              </w:rPr>
            </w:pPr>
            <w:r>
              <w:rPr>
                <w:noProof/>
                <w:sz w:val="21"/>
                <w:szCs w:val="21"/>
              </w:rPr>
              <w:drawing>
                <wp:inline distT="0" distB="0" distL="0" distR="0" wp14:anchorId="0F9A3CF4" wp14:editId="46FF26C7">
                  <wp:extent cx="3810000" cy="1593850"/>
                  <wp:effectExtent l="0" t="0" r="0" b="6350"/>
                  <wp:docPr id="59" name="Afbeelding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3810000" cy="1593850"/>
                          </a:xfrm>
                          <a:prstGeom prst="rect">
                            <a:avLst/>
                          </a:prstGeom>
                          <a:noFill/>
                          <a:ln>
                            <a:noFill/>
                          </a:ln>
                        </pic:spPr>
                      </pic:pic>
                    </a:graphicData>
                  </a:graphic>
                </wp:inline>
              </w:drawing>
            </w:r>
          </w:p>
          <w:p w14:paraId="0F180F46" w14:textId="77777777" w:rsidR="009650FE" w:rsidRDefault="009650FE">
            <w:pPr>
              <w:pStyle w:val="caption"/>
              <w:spacing w:after="120" w:afterAutospacing="0"/>
            </w:pPr>
            <w:r>
              <w:rPr>
                <w:rStyle w:val="Zwaar"/>
              </w:rPr>
              <w:t>Figure XII.2 — The recalculation.</w:t>
            </w:r>
            <w:r>
              <w:t xml:space="preserve"> The retroactive change in status to ‘dependent disabled person’ results in tax benefits for the family. On paper, the family’s income increases. Parentia reduces the contribution. The SVB recalculates the supplement. This may involve a recovery of benefits. What works today may be reversed tomorrow by an automatic recalculation.</w:t>
            </w:r>
          </w:p>
        </w:tc>
      </w:tr>
    </w:tbl>
    <w:p w14:paraId="3367B94C" w14:textId="77777777" w:rsidR="009650FE" w:rsidRDefault="009650FE">
      <w:pPr>
        <w:pStyle w:val="Kop3"/>
        <w:divId w:val="953290302"/>
        <w:rPr>
          <w:rFonts w:eastAsia="Times New Roman"/>
          <w:lang w:val="en-GB"/>
        </w:rPr>
      </w:pPr>
      <w:bookmarkStart w:id="99" w:name="_Toc242103237"/>
      <w:r>
        <w:rPr>
          <w:rFonts w:eastAsia="Times New Roman"/>
          <w:lang w:val="en-GB"/>
        </w:rPr>
        <w:t>Part D — What this chapter illustrates</w:t>
      </w:r>
      <w:bookmarkEnd w:id="99"/>
    </w:p>
    <w:p w14:paraId="2D3C656A" w14:textId="77777777" w:rsidR="009650FE" w:rsidRDefault="009650FE">
      <w:pPr>
        <w:pStyle w:val="Normaalweb"/>
        <w:divId w:val="953290302"/>
        <w:rPr>
          <w:lang w:val="en-GB"/>
        </w:rPr>
      </w:pPr>
      <w:r>
        <w:rPr>
          <w:lang w:val="en-GB"/>
        </w:rPr>
        <w:t>This is the only chapter in Document C in which a mechanism works in its entirety. And that is precisely what makes it interesting, for three reasons:</w:t>
      </w:r>
    </w:p>
    <w:p w14:paraId="010B4DF5" w14:textId="77777777" w:rsidR="009650FE" w:rsidRDefault="009650FE">
      <w:pPr>
        <w:pStyle w:val="Normaalweb"/>
        <w:divId w:val="953290302"/>
        <w:rPr>
          <w:lang w:val="en-GB"/>
        </w:rPr>
      </w:pPr>
      <w:r>
        <w:rPr>
          <w:rStyle w:val="Zwaar"/>
          <w:lang w:val="en-GB"/>
        </w:rPr>
        <w:t>Firstly,</w:t>
      </w:r>
      <w:r>
        <w:rPr>
          <w:lang w:val="en-GB"/>
        </w:rPr>
        <w:t xml:space="preserve"> European coordination does indeed work for family benefits, because the regulation prescribes an explicit mechanism (overlap) and both countries adhere to it. Where that mechanism is lacking — such as in the case of medical conditions, healthcare allowances and patient transport — it does not work.</w:t>
      </w:r>
    </w:p>
    <w:p w14:paraId="29BA5731" w14:textId="77777777" w:rsidR="009650FE" w:rsidRDefault="009650FE">
      <w:pPr>
        <w:pStyle w:val="Normaalweb"/>
        <w:divId w:val="953290302"/>
        <w:rPr>
          <w:lang w:val="en-GB"/>
        </w:rPr>
      </w:pPr>
      <w:r>
        <w:rPr>
          <w:rStyle w:val="Zwaar"/>
          <w:lang w:val="en-GB"/>
        </w:rPr>
        <w:t>Secondly,</w:t>
      </w:r>
      <w:r>
        <w:rPr>
          <w:lang w:val="en-GB"/>
        </w:rPr>
        <w:t xml:space="preserve"> the fact that the supplement is issued in the father’s name shows that the same administrative reality yields different results depending on who submits the application. If submitted in the mother’s name: no supplement. If submitted in the father’s name: a supplement is issued. One family, two outcomes, depending on the formal role.</w:t>
      </w:r>
    </w:p>
    <w:p w14:paraId="6CAFCC90" w14:textId="77777777" w:rsidR="009650FE" w:rsidRDefault="009650FE">
      <w:pPr>
        <w:pStyle w:val="Normaalweb"/>
        <w:divId w:val="953290302"/>
        <w:rPr>
          <w:lang w:val="en-GB"/>
        </w:rPr>
      </w:pPr>
      <w:r>
        <w:rPr>
          <w:rStyle w:val="Zwaar"/>
          <w:lang w:val="en-GB"/>
        </w:rPr>
        <w:t>Thirdly,</w:t>
      </w:r>
      <w:r>
        <w:rPr>
          <w:lang w:val="en-GB"/>
        </w:rPr>
        <w:t xml:space="preserve"> </w:t>
      </w:r>
      <w:r>
        <w:rPr>
          <w:lang w:val="en-GB"/>
        </w:rPr>
        <w:t>the retroactive reclassification poses a new risk. As soon as the father’s status changes, the amounts are recalculated. What is currently a functioning system could result in a debt next year – not because of an error, but because of a recalculation.</w:t>
      </w:r>
    </w:p>
    <w:p w14:paraId="2F47ACE2" w14:textId="77777777" w:rsidR="009650FE" w:rsidRDefault="009650FE">
      <w:pPr>
        <w:pStyle w:val="Normaalweb"/>
        <w:divId w:val="953290302"/>
        <w:rPr>
          <w:lang w:val="en-GB"/>
        </w:rPr>
      </w:pPr>
      <w:r>
        <w:rPr>
          <w:lang w:val="en-GB"/>
        </w:rPr>
        <w:t>These three points make this chapter the perfect counterpart to the Parentia case (Block II) and the Hulst Local Authority case (Block III). The same authorities, a different outcome. What this case study shows is that the system sometimes works — but it is never guaranteed. Success is the exception, not the rule.</w:t>
      </w:r>
    </w:p>
    <w:tbl>
      <w:tblPr>
        <w:tblW w:w="5000" w:type="pct"/>
        <w:tblCellMar>
          <w:top w:w="15" w:type="dxa"/>
          <w:left w:w="15" w:type="dxa"/>
          <w:bottom w:w="15" w:type="dxa"/>
          <w:right w:w="15" w:type="dxa"/>
        </w:tblCellMar>
        <w:tblLook w:val="04A0" w:firstRow="1" w:lastRow="0" w:firstColumn="1" w:lastColumn="0" w:noHBand="0" w:noVBand="1"/>
      </w:tblPr>
      <w:tblGrid>
        <w:gridCol w:w="9019"/>
      </w:tblGrid>
      <w:tr w:rsidR="00000000" w14:paraId="4498D8A0" w14:textId="77777777">
        <w:trPr>
          <w:divId w:val="953290302"/>
        </w:trPr>
        <w:tc>
          <w:tcPr>
            <w:tcW w:w="0" w:type="auto"/>
            <w:tcBorders>
              <w:top w:val="single" w:sz="6" w:space="0" w:color="D5D0C5"/>
              <w:left w:val="single" w:sz="36" w:space="0" w:color="4A3B6B"/>
              <w:bottom w:val="single" w:sz="6" w:space="0" w:color="D5D0C5"/>
              <w:right w:val="single" w:sz="6" w:space="0" w:color="D5D0C5"/>
            </w:tcBorders>
            <w:shd w:val="clear" w:color="auto" w:fill="EDE9F5"/>
            <w:tcMar>
              <w:top w:w="200" w:type="dxa"/>
              <w:left w:w="280" w:type="dxa"/>
              <w:bottom w:w="200" w:type="dxa"/>
              <w:right w:w="280" w:type="dxa"/>
            </w:tcMar>
            <w:hideMark/>
          </w:tcPr>
          <w:p w14:paraId="6BC02002" w14:textId="77777777" w:rsidR="009650FE" w:rsidRDefault="009650FE">
            <w:pPr>
              <w:spacing w:before="240" w:after="240"/>
              <w:rPr>
                <w:rFonts w:eastAsia="Times New Roman"/>
                <w:szCs w:val="22"/>
              </w:rPr>
            </w:pPr>
            <w:r>
              <w:rPr>
                <w:rStyle w:val="Zwaar"/>
                <w:rFonts w:eastAsia="Times New Roman"/>
                <w:szCs w:val="22"/>
              </w:rPr>
              <w:t>For anyone in the same situation:</w:t>
            </w:r>
            <w:r>
              <w:rPr>
                <w:rFonts w:eastAsia="Times New Roman"/>
                <w:szCs w:val="22"/>
              </w:rPr>
              <w:t xml:space="preserve"> the SVB is responsible for the child benefit supplement if you live in the Netherlands and do not work abroad. </w:t>
            </w:r>
            <w:r>
              <w:rPr>
                <w:rStyle w:val="Zwaar"/>
                <w:rFonts w:eastAsia="Times New Roman"/>
                <w:szCs w:val="22"/>
              </w:rPr>
              <w:t>Do you have</w:t>
            </w:r>
            <w:r>
              <w:rPr>
                <w:rFonts w:eastAsia="Times New Roman"/>
                <w:szCs w:val="22"/>
              </w:rPr>
              <w:t xml:space="preserve"> a working partner? In that case, you will not usually receive a supplement in your own name — ask the SVB about the correct allocation. </w:t>
            </w:r>
            <w:r>
              <w:rPr>
                <w:rFonts w:eastAsia="Times New Roman"/>
                <w:szCs w:val="22"/>
              </w:rPr>
              <w:br/>
            </w:r>
            <w:r>
              <w:rPr>
                <w:rFonts w:eastAsia="Times New Roman"/>
                <w:szCs w:val="22"/>
              </w:rPr>
              <w:br/>
            </w:r>
            <w:r>
              <w:rPr>
                <w:rStyle w:val="Nadruk"/>
                <w:rFonts w:eastAsia="Times New Roman"/>
                <w:szCs w:val="22"/>
              </w:rPr>
              <w:t>Please note regarding retroactive changes:</w:t>
            </w:r>
            <w:r>
              <w:rPr>
                <w:rFonts w:eastAsia="Times New Roman"/>
                <w:szCs w:val="22"/>
              </w:rPr>
              <w:t xml:space="preserve"> as soon as either partner’s tax status changes, both Parentia and the SVB will recalculate the amounts. This may result in recovery claims. Keep all decision notices and check the recalculations annually. </w:t>
            </w:r>
          </w:p>
        </w:tc>
      </w:tr>
    </w:tbl>
    <w:p w14:paraId="36BB3B2E" w14:textId="77777777" w:rsidR="009650FE" w:rsidRDefault="009650FE">
      <w:pPr>
        <w:pStyle w:val="noot"/>
        <w:spacing w:after="120" w:afterAutospacing="0"/>
        <w:divId w:val="953290302"/>
        <w:rPr>
          <w:lang w:val="en-GB"/>
        </w:rPr>
      </w:pPr>
      <w:r>
        <w:rPr>
          <w:lang w:val="en-GB"/>
        </w:rPr>
        <w:t>The facts are based on Document B. The retrospective recalculation is a forecast based on the pattern of recalculations in the file; the final amounts and the outcome have not yet been determined. All organisations in this chapter are legal entities. Natural persons are identified by their position or their symbol (</w:t>
      </w:r>
      <w:r>
        <w:rPr>
          <w:rFonts w:ascii="Segoe UI Symbol" w:hAnsi="Segoe UI Symbol" w:cs="Segoe UI Symbol"/>
          <w:lang w:val="en-GB"/>
        </w:rPr>
        <w:t>♂</w:t>
      </w:r>
      <w:r>
        <w:rPr>
          <w:lang w:val="en-GB"/>
        </w:rPr>
        <w:t xml:space="preserve">, </w:t>
      </w:r>
      <w:r>
        <w:rPr>
          <w:rFonts w:ascii="Segoe UI Symbol" w:hAnsi="Segoe UI Symbol" w:cs="Segoe UI Symbol"/>
          <w:lang w:val="en-GB"/>
        </w:rPr>
        <w:t>♀</w:t>
      </w:r>
      <w:r>
        <w:rPr>
          <w:lang w:val="en-GB"/>
        </w:rPr>
        <w:t>).</w:t>
      </w:r>
    </w:p>
    <w:p w14:paraId="4EE6CB53" w14:textId="77777777" w:rsidR="009650FE" w:rsidRDefault="009650FE">
      <w:pPr>
        <w:pStyle w:val="marker"/>
        <w:ind w:left="800" w:right="800"/>
        <w:divId w:val="953290302"/>
        <w:rPr>
          <w:lang w:val="en-GB"/>
        </w:rPr>
      </w:pPr>
      <w:r>
        <w:br w:type="page"/>
      </w:r>
    </w:p>
    <w:p w14:paraId="18A4E54D" w14:textId="77777777" w:rsidR="009650FE" w:rsidRDefault="009650FE">
      <w:pPr>
        <w:pStyle w:val="Kop2"/>
        <w:divId w:val="953290302"/>
        <w:rPr>
          <w:rFonts w:eastAsia="Times New Roman"/>
          <w:lang w:val="en-GB"/>
        </w:rPr>
      </w:pPr>
      <w:bookmarkStart w:id="100" w:name="_Toc242103238"/>
      <w:r>
        <w:rPr>
          <w:rFonts w:eastAsia="Times New Roman"/>
          <w:lang w:val="en-GB"/>
        </w:rPr>
        <w:t>The body without a rear guard</w:t>
      </w:r>
      <w:bookmarkEnd w:id="100"/>
    </w:p>
    <w:p w14:paraId="08FD8202" w14:textId="77777777" w:rsidR="009650FE" w:rsidRDefault="009650FE">
      <w:pPr>
        <w:pStyle w:val="lead"/>
        <w:divId w:val="953290302"/>
        <w:rPr>
          <w:lang w:val="en-GB"/>
        </w:rPr>
      </w:pPr>
      <w:r>
        <w:rPr>
          <w:lang w:val="en-GB"/>
        </w:rPr>
        <w:t>A cross-border worker lives in the Netherlands and receives treatment in Belgium. His entire medical record is stored in Belgian data silos. What happens if something goes wrong in his country of residence? An emergency, a fall, an acute complication? Who, then, is the doctor who knows him? The answer is: no one. The law prohibits it.</w:t>
      </w:r>
    </w:p>
    <w:p w14:paraId="007141B3" w14:textId="77777777" w:rsidR="009650FE" w:rsidRDefault="009650FE">
      <w:pPr>
        <w:pStyle w:val="Kop3"/>
        <w:divId w:val="953290302"/>
        <w:rPr>
          <w:rFonts w:eastAsia="Times New Roman"/>
          <w:lang w:val="en-GB"/>
        </w:rPr>
      </w:pPr>
      <w:bookmarkStart w:id="101" w:name="_Toc242103239"/>
      <w:r>
        <w:rPr>
          <w:rFonts w:eastAsia="Times New Roman"/>
          <w:lang w:val="en-GB"/>
        </w:rPr>
        <w:t>Part A — The legal impossibility</w:t>
      </w:r>
      <w:bookmarkEnd w:id="101"/>
    </w:p>
    <w:p w14:paraId="13F221A2" w14:textId="77777777" w:rsidR="009650FE" w:rsidRDefault="009650FE">
      <w:pPr>
        <w:pStyle w:val="Normaalweb"/>
        <w:divId w:val="953290302"/>
        <w:rPr>
          <w:lang w:val="en-GB"/>
        </w:rPr>
      </w:pPr>
      <w:r>
        <w:rPr>
          <w:lang w:val="en-GB"/>
        </w:rPr>
        <w:t>In the Netherlands, a patient may only be registered with one GP practice. Anyone who registers with a new practice is automatically deregistered from their old one. This is a nationwide system designed to prevent duplicate registrations. For the average Dutch person, this makes sense. For a cross-border worker who has spent their entire medical history abroad, however, it is a problem.</w:t>
      </w:r>
    </w:p>
    <w:p w14:paraId="4B0100C5" w14:textId="77777777" w:rsidR="009650FE" w:rsidRDefault="009650FE">
      <w:pPr>
        <w:pStyle w:val="Normaalweb"/>
        <w:divId w:val="953290302"/>
        <w:rPr>
          <w:lang w:val="en-GB"/>
        </w:rPr>
      </w:pPr>
      <w:r>
        <w:rPr>
          <w:lang w:val="en-GB"/>
        </w:rPr>
        <w:t>The reason why dual registration is prohibited: the Dutch Health Insurance Act and the administrative regulations governing general practice prohibit dual registration across national borders. A GP may only register a patient if they actually bear primary and active medical responsibility for that patient. Registration without active treatment is not legally possible.</w:t>
      </w:r>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176E3813" w14:textId="77777777">
        <w:trPr>
          <w:divId w:val="953290302"/>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00875E66" w14:textId="77777777" w:rsidR="009650FE" w:rsidRDefault="009650FE">
            <w:pPr>
              <w:pStyle w:val="Normaalweb"/>
              <w:spacing w:before="120"/>
              <w:jc w:val="center"/>
              <w:rPr>
                <w:sz w:val="21"/>
                <w:szCs w:val="21"/>
              </w:rPr>
            </w:pPr>
            <w:r>
              <w:rPr>
                <w:noProof/>
                <w:sz w:val="21"/>
                <w:szCs w:val="21"/>
              </w:rPr>
              <w:drawing>
                <wp:inline distT="0" distB="0" distL="0" distR="0" wp14:anchorId="2DBC28D9" wp14:editId="4AB2C367">
                  <wp:extent cx="3810000" cy="1454150"/>
                  <wp:effectExtent l="0" t="0" r="0" b="0"/>
                  <wp:docPr id="60" name="Afbeelding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3810000" cy="1454150"/>
                          </a:xfrm>
                          <a:prstGeom prst="rect">
                            <a:avLst/>
                          </a:prstGeom>
                          <a:noFill/>
                          <a:ln>
                            <a:noFill/>
                          </a:ln>
                        </pic:spPr>
                      </pic:pic>
                    </a:graphicData>
                  </a:graphic>
                </wp:inline>
              </w:drawing>
            </w:r>
          </w:p>
          <w:p w14:paraId="643D1C29" w14:textId="77777777" w:rsidR="009650FE" w:rsidRDefault="009650FE">
            <w:pPr>
              <w:pStyle w:val="caption"/>
              <w:spacing w:after="120" w:afterAutospacing="0"/>
            </w:pPr>
            <w:r>
              <w:rPr>
                <w:rStyle w:val="Zwaar"/>
              </w:rPr>
              <w:t>Figure XIX.1 — The legal impossibility.</w:t>
            </w:r>
            <w:r>
              <w:t xml:space="preserve"> The patient’s complete medical records are held in Belgium. He cannot register with a GP in the Netherlands, as the law prohibits dual registration. He lives in a country where no doctor is familiar with his medical records.</w:t>
            </w:r>
          </w:p>
        </w:tc>
      </w:tr>
    </w:tbl>
    <w:p w14:paraId="7A69F469" w14:textId="77777777" w:rsidR="009650FE" w:rsidRDefault="009650FE">
      <w:pPr>
        <w:pStyle w:val="Kop3"/>
        <w:divId w:val="953290302"/>
        <w:rPr>
          <w:rFonts w:eastAsia="Times New Roman"/>
          <w:lang w:val="en-GB"/>
        </w:rPr>
      </w:pPr>
      <w:bookmarkStart w:id="102" w:name="_Toc242103240"/>
      <w:r>
        <w:rPr>
          <w:rFonts w:eastAsia="Times New Roman"/>
          <w:lang w:val="en-GB"/>
        </w:rPr>
        <w:t>Part B — The practical implications</w:t>
      </w:r>
      <w:bookmarkEnd w:id="102"/>
    </w:p>
    <w:p w14:paraId="4DD2533C" w14:textId="77777777" w:rsidR="009650FE" w:rsidRDefault="009650FE">
      <w:pPr>
        <w:pStyle w:val="Normaalweb"/>
        <w:divId w:val="953290302"/>
        <w:rPr>
          <w:lang w:val="en-GB"/>
        </w:rPr>
      </w:pPr>
      <w:r>
        <w:rPr>
          <w:lang w:val="en-GB"/>
        </w:rPr>
        <w:t>What happens if a medical problem arises in the country of residence?</w:t>
      </w:r>
    </w:p>
    <w:p w14:paraId="18CFFEA3" w14:textId="77777777" w:rsidR="009650FE" w:rsidRDefault="009650FE">
      <w:pPr>
        <w:numPr>
          <w:ilvl w:val="0"/>
          <w:numId w:val="19"/>
        </w:numPr>
        <w:spacing w:before="100" w:beforeAutospacing="1" w:after="100" w:afterAutospacing="1"/>
        <w:divId w:val="953290302"/>
        <w:rPr>
          <w:rFonts w:eastAsia="Times New Roman"/>
          <w:lang w:val="en-GB"/>
        </w:rPr>
      </w:pPr>
      <w:r>
        <w:rPr>
          <w:rFonts w:eastAsia="Times New Roman"/>
          <w:lang w:val="en-GB"/>
        </w:rPr>
        <w:t>A fall at home, an acute complication of diabetes, an infection at the amputation site — the GP on call is not familiar with the patient’s medical records.</w:t>
      </w:r>
    </w:p>
    <w:p w14:paraId="7E6884E2" w14:textId="77777777" w:rsidR="009650FE" w:rsidRDefault="009650FE">
      <w:pPr>
        <w:numPr>
          <w:ilvl w:val="0"/>
          <w:numId w:val="19"/>
        </w:numPr>
        <w:spacing w:before="100" w:beforeAutospacing="1" w:after="100" w:afterAutospacing="1"/>
        <w:divId w:val="953290302"/>
        <w:rPr>
          <w:rFonts w:eastAsia="Times New Roman"/>
          <w:lang w:val="en-GB"/>
        </w:rPr>
      </w:pPr>
      <w:r>
        <w:rPr>
          <w:rFonts w:eastAsia="Times New Roman"/>
          <w:lang w:val="en-GB"/>
        </w:rPr>
        <w:t>The clinician must make a decision based on limited information, without the patient’s amputation history, without their medication list, and without details of their specific wound care needs.</w:t>
      </w:r>
    </w:p>
    <w:p w14:paraId="0ABED1DC" w14:textId="77777777" w:rsidR="009650FE" w:rsidRDefault="009650FE">
      <w:pPr>
        <w:numPr>
          <w:ilvl w:val="0"/>
          <w:numId w:val="19"/>
        </w:numPr>
        <w:spacing w:before="100" w:beforeAutospacing="1" w:after="100" w:afterAutospacing="1"/>
        <w:divId w:val="953290302"/>
        <w:rPr>
          <w:rFonts w:eastAsia="Times New Roman"/>
          <w:lang w:val="en-GB"/>
        </w:rPr>
      </w:pPr>
      <w:r>
        <w:rPr>
          <w:rFonts w:eastAsia="Times New Roman"/>
          <w:lang w:val="en-GB"/>
        </w:rPr>
        <w:t>The patient must explain the context themselves — in an emergency, they may not be able to do so.</w:t>
      </w:r>
    </w:p>
    <w:p w14:paraId="55858CDC" w14:textId="77777777" w:rsidR="009650FE" w:rsidRDefault="009650FE">
      <w:pPr>
        <w:numPr>
          <w:ilvl w:val="0"/>
          <w:numId w:val="19"/>
        </w:numPr>
        <w:spacing w:before="100" w:beforeAutospacing="1" w:after="100" w:afterAutospacing="1"/>
        <w:divId w:val="953290302"/>
        <w:rPr>
          <w:rFonts w:eastAsia="Times New Roman"/>
          <w:lang w:val="en-GB"/>
        </w:rPr>
      </w:pPr>
      <w:r>
        <w:rPr>
          <w:rFonts w:eastAsia="Times New Roman"/>
          <w:lang w:val="en-GB"/>
        </w:rPr>
        <w:t>In the event of an emergency admission to a Dutch clinic: no medical records, no medication history, no wound care protocol.</w:t>
      </w:r>
    </w:p>
    <w:p w14:paraId="7F79A6A4" w14:textId="77777777" w:rsidR="009650FE" w:rsidRDefault="009650FE">
      <w:pPr>
        <w:pStyle w:val="Normaalweb"/>
        <w:divId w:val="953290302"/>
        <w:rPr>
          <w:lang w:val="en-GB"/>
        </w:rPr>
      </w:pPr>
      <w:r>
        <w:rPr>
          <w:lang w:val="en-GB"/>
        </w:rPr>
        <w:t>The file explicitly sought to resolve this issue by registering the patient with a Dutch GP practice for purely informational purposes. No active treatment was provided; the aim was simply to ensure that the patient’s medical records were accessible on Dutch territory, so that an on-call doctor or an emergency doctor could see what the situation was.</w:t>
      </w:r>
    </w:p>
    <w:p w14:paraId="78FACFCB" w14:textId="77777777" w:rsidR="009650FE" w:rsidRDefault="009650FE">
      <w:pPr>
        <w:pStyle w:val="Normaalweb"/>
        <w:divId w:val="953290302"/>
        <w:rPr>
          <w:lang w:val="en-GB"/>
        </w:rPr>
      </w:pPr>
      <w:r>
        <w:rPr>
          <w:lang w:val="en-GB"/>
        </w:rPr>
        <w:t>That application was rejected. The practice acknowledged over the phone that, in an ideal world, this would be the right solution, but that the law does not permit it. Registration without an active treatment relationship is not legally possible. The letter confirmed the system block, leaving no room for reconsideration.</w:t>
      </w:r>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020DFD9C" w14:textId="77777777">
        <w:trPr>
          <w:divId w:val="953290302"/>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4902A671" w14:textId="77777777" w:rsidR="009650FE" w:rsidRDefault="009650FE">
            <w:pPr>
              <w:pStyle w:val="Normaalweb"/>
              <w:spacing w:before="120"/>
              <w:jc w:val="center"/>
              <w:rPr>
                <w:sz w:val="21"/>
                <w:szCs w:val="21"/>
              </w:rPr>
            </w:pPr>
            <w:r>
              <w:rPr>
                <w:noProof/>
                <w:sz w:val="21"/>
                <w:szCs w:val="21"/>
              </w:rPr>
              <w:drawing>
                <wp:inline distT="0" distB="0" distL="0" distR="0" wp14:anchorId="600FEF35" wp14:editId="38164DC8">
                  <wp:extent cx="3810000" cy="1104900"/>
                  <wp:effectExtent l="0" t="0" r="0" b="0"/>
                  <wp:docPr id="61" name="Afbeelding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3810000" cy="1104900"/>
                          </a:xfrm>
                          <a:prstGeom prst="rect">
                            <a:avLst/>
                          </a:prstGeom>
                          <a:noFill/>
                          <a:ln>
                            <a:noFill/>
                          </a:ln>
                        </pic:spPr>
                      </pic:pic>
                    </a:graphicData>
                  </a:graphic>
                </wp:inline>
              </w:drawing>
            </w:r>
          </w:p>
          <w:p w14:paraId="05B81518" w14:textId="77777777" w:rsidR="009650FE" w:rsidRDefault="009650FE">
            <w:pPr>
              <w:pStyle w:val="caption"/>
              <w:spacing w:after="120" w:afterAutospacing="0"/>
            </w:pPr>
            <w:r>
              <w:rPr>
                <w:rStyle w:val="Zwaar"/>
              </w:rPr>
              <w:t>Figure XIX.2 — The practice’s response.</w:t>
            </w:r>
            <w:r>
              <w:t xml:space="preserve"> The GP practice acknowledged that, in theory, an ‘informative’ registration would be the ideal solution, but that the law prohibits dual registration across borders. The practice cannot register a patient without an active treatment relationship.</w:t>
            </w:r>
          </w:p>
        </w:tc>
      </w:tr>
    </w:tbl>
    <w:p w14:paraId="6DC6EC83" w14:textId="77777777" w:rsidR="009650FE" w:rsidRDefault="009650FE">
      <w:pPr>
        <w:pStyle w:val="Kop3"/>
        <w:divId w:val="953290302"/>
        <w:rPr>
          <w:rFonts w:eastAsia="Times New Roman"/>
          <w:lang w:val="en-GB"/>
        </w:rPr>
      </w:pPr>
      <w:bookmarkStart w:id="103" w:name="_Toc242103241"/>
      <w:r>
        <w:rPr>
          <w:rFonts w:eastAsia="Times New Roman"/>
          <w:lang w:val="en-GB"/>
        </w:rPr>
        <w:t>Part C — The law that protects and paralyses the family</w:t>
      </w:r>
      <w:bookmarkEnd w:id="103"/>
    </w:p>
    <w:p w14:paraId="036C4931" w14:textId="77777777" w:rsidR="009650FE" w:rsidRDefault="009650FE">
      <w:pPr>
        <w:pStyle w:val="Normaalweb"/>
        <w:divId w:val="953290302"/>
        <w:rPr>
          <w:lang w:val="en-GB"/>
        </w:rPr>
      </w:pPr>
      <w:r>
        <w:rPr>
          <w:lang w:val="en-GB"/>
        </w:rPr>
        <w:t>The rule that a patient may only be registered with one GP practice is intended to safeguard the quality and continuity of care. For ordinary citizens, this rule works. For cross-border workers who have spent their entire medical history in another country, however, this same rule creates a gap in their healthcare security.</w:t>
      </w:r>
    </w:p>
    <w:p w14:paraId="6C40A10F" w14:textId="77777777" w:rsidR="009650FE" w:rsidRDefault="009650FE">
      <w:pPr>
        <w:pStyle w:val="Normaalweb"/>
        <w:divId w:val="953290302"/>
        <w:rPr>
          <w:lang w:val="en-GB"/>
        </w:rPr>
      </w:pPr>
      <w:r>
        <w:rPr>
          <w:lang w:val="en-GB"/>
        </w:rPr>
        <w:t>The European Union recognises the right to free movement. It also recognises the right to medical care abroad. However, it does not provide a solution for patients whose medical records are held in one Member State whilst they are physically in another. The law safeguards continuity within a single country. It does not provide for continuity across borders.</w:t>
      </w:r>
    </w:p>
    <w:p w14:paraId="066FA880" w14:textId="77777777" w:rsidR="009650FE" w:rsidRDefault="009650FE">
      <w:pPr>
        <w:pStyle w:val="Normaalweb"/>
        <w:divId w:val="953290302"/>
        <w:rPr>
          <w:lang w:val="en-GB"/>
        </w:rPr>
      </w:pPr>
      <w:r>
        <w:rPr>
          <w:lang w:val="en-GB"/>
        </w:rPr>
        <w:t>What the family is left with is a pragmatic solution: the patient carries his own medical history with him, either in physical or digital form. If he has to see a Dutch doctor in an emergency, he must be able to explain the situation himself. If they are admitted to hospital in the Netherlands, they must provide the Belgian medical records themselves. They are not only the data hub for the administration, but also for their own immediate medical safety.</w:t>
      </w:r>
    </w:p>
    <w:p w14:paraId="049FE748" w14:textId="77777777" w:rsidR="009650FE" w:rsidRDefault="009650FE">
      <w:pPr>
        <w:pStyle w:val="Kop3"/>
        <w:divId w:val="953290302"/>
        <w:rPr>
          <w:rFonts w:eastAsia="Times New Roman"/>
          <w:lang w:val="en-GB"/>
        </w:rPr>
      </w:pPr>
      <w:bookmarkStart w:id="104" w:name="_Toc242103242"/>
      <w:r>
        <w:rPr>
          <w:rFonts w:eastAsia="Times New Roman"/>
          <w:lang w:val="en-GB"/>
        </w:rPr>
        <w:t>Part D — The paradox</w:t>
      </w:r>
      <w:bookmarkEnd w:id="104"/>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766AD62E" w14:textId="77777777">
        <w:trPr>
          <w:divId w:val="953290302"/>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05787227" w14:textId="77777777" w:rsidR="009650FE" w:rsidRDefault="009650FE">
            <w:pPr>
              <w:pStyle w:val="Normaalweb"/>
              <w:spacing w:before="120"/>
              <w:jc w:val="center"/>
              <w:rPr>
                <w:sz w:val="21"/>
                <w:szCs w:val="21"/>
              </w:rPr>
            </w:pPr>
            <w:r>
              <w:rPr>
                <w:noProof/>
                <w:sz w:val="21"/>
                <w:szCs w:val="21"/>
              </w:rPr>
              <w:drawing>
                <wp:inline distT="0" distB="0" distL="0" distR="0" wp14:anchorId="0BA12EC5" wp14:editId="7CF402A4">
                  <wp:extent cx="3810000" cy="1104900"/>
                  <wp:effectExtent l="0" t="0" r="0" b="0"/>
                  <wp:docPr id="62" name="Afbeelding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3810000" cy="1104900"/>
                          </a:xfrm>
                          <a:prstGeom prst="rect">
                            <a:avLst/>
                          </a:prstGeom>
                          <a:noFill/>
                          <a:ln>
                            <a:noFill/>
                          </a:ln>
                        </pic:spPr>
                      </pic:pic>
                    </a:graphicData>
                  </a:graphic>
                </wp:inline>
              </w:drawing>
            </w:r>
          </w:p>
          <w:p w14:paraId="78BFF019" w14:textId="77777777" w:rsidR="009650FE" w:rsidRDefault="009650FE">
            <w:pPr>
              <w:pStyle w:val="caption"/>
              <w:spacing w:after="120" w:afterAutospacing="0"/>
            </w:pPr>
            <w:r>
              <w:rPr>
                <w:rStyle w:val="Zwaar"/>
              </w:rPr>
              <w:t>Figure XIX.3 — The paradox.</w:t>
            </w:r>
            <w:r>
              <w:t xml:space="preserve"> </w:t>
            </w:r>
            <w:r>
              <w:t>The law safeguards continuity of care within a single country. It does not provide for continuity across borders. For the average citizen, the rule works. For a cross-border worker, that same rule creates a gap in protection.</w:t>
            </w:r>
          </w:p>
        </w:tc>
      </w:tr>
    </w:tbl>
    <w:p w14:paraId="7BA7A083" w14:textId="77777777" w:rsidR="009650FE" w:rsidRDefault="009650FE">
      <w:pPr>
        <w:pStyle w:val="Kop3"/>
        <w:divId w:val="953290302"/>
        <w:rPr>
          <w:rFonts w:eastAsia="Times New Roman"/>
          <w:lang w:val="en-GB"/>
        </w:rPr>
      </w:pPr>
      <w:bookmarkStart w:id="105" w:name="_Toc242103243"/>
      <w:r>
        <w:rPr>
          <w:rFonts w:eastAsia="Times New Roman"/>
          <w:lang w:val="en-GB"/>
        </w:rPr>
        <w:t>What this chapter sets out</w:t>
      </w:r>
      <w:bookmarkEnd w:id="105"/>
    </w:p>
    <w:p w14:paraId="68C5C0E4" w14:textId="77777777" w:rsidR="009650FE" w:rsidRDefault="009650FE">
      <w:pPr>
        <w:pStyle w:val="Normaalweb"/>
        <w:divId w:val="953290302"/>
        <w:rPr>
          <w:lang w:val="en-GB"/>
        </w:rPr>
      </w:pPr>
      <w:r>
        <w:rPr>
          <w:lang w:val="en-GB"/>
        </w:rPr>
        <w:t>The patient lives in the Netherlands, but his entire medical history is in Belgium. Dutch law prohibits patients from being registered with two GPs. The patient is therefore unable to establish a medical base in the country where he lives. And in an emergency, there is no doctor who is familiar with his medical records.</w:t>
      </w:r>
    </w:p>
    <w:p w14:paraId="0585DC0C" w14:textId="77777777" w:rsidR="009650FE" w:rsidRDefault="009650FE">
      <w:pPr>
        <w:pStyle w:val="Normaalweb"/>
        <w:divId w:val="953290302"/>
        <w:rPr>
          <w:lang w:val="en-GB"/>
        </w:rPr>
      </w:pPr>
      <w:r>
        <w:rPr>
          <w:lang w:val="en-GB"/>
        </w:rPr>
        <w:t>The GP practice approached about this acknowledged that, in an ideal world, this would be the right solution. The law prohibits it. The European Union recognises freedom of movement and cross-border healthcare, but does not provide for continuity of care across borders. The family gets round this by having the patient carry their own medical records. Once again: not because the system requires it, but because there is no alternative.</w:t>
      </w:r>
    </w:p>
    <w:tbl>
      <w:tblPr>
        <w:tblW w:w="5000" w:type="pct"/>
        <w:tblCellMar>
          <w:top w:w="15" w:type="dxa"/>
          <w:left w:w="15" w:type="dxa"/>
          <w:bottom w:w="15" w:type="dxa"/>
          <w:right w:w="15" w:type="dxa"/>
        </w:tblCellMar>
        <w:tblLook w:val="04A0" w:firstRow="1" w:lastRow="0" w:firstColumn="1" w:lastColumn="0" w:noHBand="0" w:noVBand="1"/>
      </w:tblPr>
      <w:tblGrid>
        <w:gridCol w:w="9019"/>
      </w:tblGrid>
      <w:tr w:rsidR="00000000" w14:paraId="5B1BAD69" w14:textId="77777777">
        <w:trPr>
          <w:divId w:val="953290302"/>
        </w:trPr>
        <w:tc>
          <w:tcPr>
            <w:tcW w:w="0" w:type="auto"/>
            <w:tcBorders>
              <w:top w:val="single" w:sz="6" w:space="0" w:color="D5D0C5"/>
              <w:left w:val="single" w:sz="36" w:space="0" w:color="4A3B6B"/>
              <w:bottom w:val="single" w:sz="6" w:space="0" w:color="D5D0C5"/>
              <w:right w:val="single" w:sz="6" w:space="0" w:color="D5D0C5"/>
            </w:tcBorders>
            <w:shd w:val="clear" w:color="auto" w:fill="EDE9F5"/>
            <w:tcMar>
              <w:top w:w="200" w:type="dxa"/>
              <w:left w:w="280" w:type="dxa"/>
              <w:bottom w:w="200" w:type="dxa"/>
              <w:right w:w="280" w:type="dxa"/>
            </w:tcMar>
            <w:hideMark/>
          </w:tcPr>
          <w:p w14:paraId="7B577D71" w14:textId="77777777" w:rsidR="009650FE" w:rsidRDefault="009650FE">
            <w:pPr>
              <w:spacing w:before="240" w:after="240"/>
              <w:rPr>
                <w:rFonts w:eastAsia="Times New Roman"/>
                <w:szCs w:val="22"/>
              </w:rPr>
            </w:pPr>
            <w:r>
              <w:rPr>
                <w:rStyle w:val="Zwaar"/>
                <w:rFonts w:eastAsia="Times New Roman"/>
                <w:szCs w:val="22"/>
              </w:rPr>
              <w:t>For anyone in the same situation:</w:t>
            </w:r>
            <w:r>
              <w:rPr>
                <w:rFonts w:eastAsia="Times New Roman"/>
                <w:szCs w:val="22"/>
              </w:rPr>
              <w:t xml:space="preserve"> three things to bear in mind: </w:t>
            </w:r>
          </w:p>
          <w:p w14:paraId="66744405" w14:textId="77777777" w:rsidR="009650FE" w:rsidRDefault="009650FE">
            <w:pPr>
              <w:numPr>
                <w:ilvl w:val="0"/>
                <w:numId w:val="20"/>
              </w:numPr>
              <w:spacing w:before="100" w:beforeAutospacing="1" w:after="100" w:afterAutospacing="1"/>
              <w:rPr>
                <w:rFonts w:eastAsia="Times New Roman"/>
                <w:szCs w:val="22"/>
              </w:rPr>
            </w:pPr>
            <w:r>
              <w:rPr>
                <w:rFonts w:eastAsia="Times New Roman"/>
                <w:szCs w:val="22"/>
              </w:rPr>
              <w:t>It is not legally possible to register with a Dutch GP practice for information purposes only. Ask your Belgian GP for an up-to-date medical passport in paper form (list of medications, diagnoses, treating practitioners).</w:t>
            </w:r>
          </w:p>
          <w:p w14:paraId="15626A48" w14:textId="77777777" w:rsidR="009650FE" w:rsidRDefault="009650FE">
            <w:pPr>
              <w:numPr>
                <w:ilvl w:val="0"/>
                <w:numId w:val="20"/>
              </w:numPr>
              <w:spacing w:before="100" w:beforeAutospacing="1" w:after="100" w:afterAutospacing="1"/>
              <w:rPr>
                <w:rFonts w:eastAsia="Times New Roman"/>
                <w:szCs w:val="22"/>
              </w:rPr>
            </w:pPr>
            <w:r>
              <w:rPr>
                <w:rFonts w:eastAsia="Times New Roman"/>
                <w:szCs w:val="22"/>
              </w:rPr>
              <w:t>Carry this record with you at all times, even in emergencies. If necessary, keep an emergency card in your wallet containing your key medical details.</w:t>
            </w:r>
          </w:p>
          <w:p w14:paraId="7B94064C" w14:textId="77777777" w:rsidR="009650FE" w:rsidRDefault="009650FE">
            <w:pPr>
              <w:numPr>
                <w:ilvl w:val="0"/>
                <w:numId w:val="20"/>
              </w:numPr>
              <w:spacing w:before="100" w:beforeAutospacing="1" w:after="100" w:afterAutospacing="1"/>
              <w:rPr>
                <w:rFonts w:eastAsia="Times New Roman"/>
                <w:szCs w:val="22"/>
              </w:rPr>
            </w:pPr>
            <w:r>
              <w:rPr>
                <w:rFonts w:eastAsia="Times New Roman"/>
                <w:szCs w:val="22"/>
              </w:rPr>
              <w:t>Keep a digital copy of the most important reports on a USB stick or in a secure cloud, so that you can provide them immediately if you are admitted to hospital in the Netherlands.</w:t>
            </w:r>
          </w:p>
          <w:p w14:paraId="78C29003" w14:textId="77777777" w:rsidR="009650FE" w:rsidRDefault="009650FE">
            <w:pPr>
              <w:spacing w:after="0"/>
              <w:rPr>
                <w:rFonts w:eastAsia="Times New Roman"/>
                <w:szCs w:val="22"/>
              </w:rPr>
            </w:pPr>
            <w:r>
              <w:rPr>
                <w:rFonts w:eastAsia="Times New Roman"/>
                <w:szCs w:val="22"/>
              </w:rPr>
              <w:t xml:space="preserve">Regarding long-term, structural solutions: this is one of the issues for which the European Union has not yet found a solution. Your feedback helps to build pressure to change this. </w:t>
            </w:r>
          </w:p>
        </w:tc>
      </w:tr>
    </w:tbl>
    <w:p w14:paraId="4FD88BC1" w14:textId="77777777" w:rsidR="009650FE" w:rsidRDefault="009650FE">
      <w:pPr>
        <w:pStyle w:val="noot"/>
        <w:spacing w:after="120" w:afterAutospacing="0"/>
        <w:divId w:val="953290302"/>
        <w:rPr>
          <w:lang w:val="en-GB"/>
        </w:rPr>
      </w:pPr>
      <w:r>
        <w:rPr>
          <w:lang w:val="en-GB"/>
        </w:rPr>
        <w:t>All organisations mentioned in this chapter are legal entities. Natural persons are referred to by their title or their symbol (</w:t>
      </w:r>
      <w:r>
        <w:rPr>
          <w:rFonts w:ascii="Segoe UI Symbol" w:hAnsi="Segoe UI Symbol" w:cs="Segoe UI Symbol"/>
          <w:lang w:val="en-GB"/>
        </w:rPr>
        <w:t>♂</w:t>
      </w:r>
      <w:r>
        <w:rPr>
          <w:lang w:val="en-GB"/>
        </w:rPr>
        <w:t>). The facts are based on Document B. This chapter does not constitute legal or medical advice.</w:t>
      </w:r>
    </w:p>
    <w:p w14:paraId="03ED402D" w14:textId="77777777" w:rsidR="009650FE" w:rsidRDefault="009650FE">
      <w:pPr>
        <w:pStyle w:val="marker"/>
        <w:ind w:left="800" w:right="800"/>
        <w:divId w:val="953290302"/>
        <w:rPr>
          <w:lang w:val="en-GB"/>
        </w:rPr>
      </w:pPr>
      <w:r>
        <w:br w:type="page"/>
      </w:r>
    </w:p>
    <w:p w14:paraId="745692BF" w14:textId="77777777" w:rsidR="009650FE" w:rsidRDefault="009650FE">
      <w:pPr>
        <w:pStyle w:val="Kop2"/>
        <w:divId w:val="953290302"/>
        <w:rPr>
          <w:rFonts w:eastAsia="Times New Roman"/>
          <w:lang w:val="en-GB"/>
        </w:rPr>
      </w:pPr>
      <w:bookmarkStart w:id="106" w:name="_Toc242103244"/>
      <w:r>
        <w:rPr>
          <w:rFonts w:eastAsia="Times New Roman"/>
          <w:lang w:val="en-GB"/>
        </w:rPr>
        <w:t>The central pot</w:t>
      </w:r>
      <w:bookmarkEnd w:id="106"/>
    </w:p>
    <w:p w14:paraId="38489463" w14:textId="77777777" w:rsidR="009650FE" w:rsidRDefault="009650FE">
      <w:pPr>
        <w:pStyle w:val="lead"/>
        <w:divId w:val="953290302"/>
        <w:rPr>
          <w:lang w:val="en-GB"/>
        </w:rPr>
      </w:pPr>
      <w:r>
        <w:rPr>
          <w:lang w:val="en-GB"/>
        </w:rPr>
        <w:t>All the previous chapters have described authorities that refuse to act, procedures that grind to a halt and systems that fail to recognise the reality of the situation. This chapter shows the result. When benefits fail to materialise, allowances remain at zero, medical costs continue to mount up and no one steps in to bridge the gap, there is only one player left: the private sector. The bank. The energy supplier. The network operator. And they do not operate according to protocols, but according to paymen</w:t>
      </w:r>
      <w:r>
        <w:rPr>
          <w:lang w:val="en-GB"/>
        </w:rPr>
        <w:t>t deadlines.</w:t>
      </w:r>
    </w:p>
    <w:p w14:paraId="53715C20" w14:textId="77777777" w:rsidR="009650FE" w:rsidRDefault="009650FE">
      <w:pPr>
        <w:pStyle w:val="Kop3"/>
        <w:divId w:val="953290302"/>
        <w:rPr>
          <w:rFonts w:eastAsia="Times New Roman"/>
          <w:lang w:val="en-GB"/>
        </w:rPr>
      </w:pPr>
      <w:bookmarkStart w:id="107" w:name="_Toc242103245"/>
      <w:r>
        <w:rPr>
          <w:rFonts w:eastAsia="Times New Roman"/>
          <w:lang w:val="en-GB"/>
        </w:rPr>
        <w:t>Part A — The account as a reserve</w:t>
      </w:r>
      <w:bookmarkEnd w:id="107"/>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22746E8D" w14:textId="77777777">
        <w:trPr>
          <w:divId w:val="953290302"/>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3EE82060" w14:textId="77777777" w:rsidR="009650FE" w:rsidRDefault="009650FE">
            <w:pPr>
              <w:pStyle w:val="Normaalweb"/>
              <w:spacing w:before="120"/>
              <w:jc w:val="center"/>
              <w:rPr>
                <w:sz w:val="21"/>
                <w:szCs w:val="21"/>
              </w:rPr>
            </w:pPr>
            <w:r>
              <w:rPr>
                <w:noProof/>
                <w:sz w:val="21"/>
                <w:szCs w:val="21"/>
              </w:rPr>
              <w:drawing>
                <wp:inline distT="0" distB="0" distL="0" distR="0" wp14:anchorId="30B486CA" wp14:editId="605D78E6">
                  <wp:extent cx="3810000" cy="1593850"/>
                  <wp:effectExtent l="0" t="0" r="0" b="6350"/>
                  <wp:docPr id="63" name="Afbeelding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3810000" cy="1593850"/>
                          </a:xfrm>
                          <a:prstGeom prst="rect">
                            <a:avLst/>
                          </a:prstGeom>
                          <a:noFill/>
                          <a:ln>
                            <a:noFill/>
                          </a:ln>
                        </pic:spPr>
                      </pic:pic>
                    </a:graphicData>
                  </a:graphic>
                </wp:inline>
              </w:drawing>
            </w:r>
          </w:p>
          <w:p w14:paraId="6A2EDA2A" w14:textId="77777777" w:rsidR="009650FE" w:rsidRDefault="009650FE">
            <w:pPr>
              <w:pStyle w:val="caption"/>
              <w:spacing w:after="120" w:afterAutospacing="0"/>
            </w:pPr>
            <w:r>
              <w:rPr>
                <w:rStyle w:val="Zwaar"/>
              </w:rPr>
              <w:t>Figure XX.1 — The bank account as a reserve.</w:t>
            </w:r>
            <w:r>
              <w:t xml:space="preserve"> Any shortfall in benefits and allowances, combined with outgoings on medical costs, creates a deficit in the bank account. That deficit is covered by commercial parties: the bank, the energy supplier, the debt collection agency. In return for interest, subject to penalties, and under strict conditions.</w:t>
            </w:r>
          </w:p>
        </w:tc>
      </w:tr>
    </w:tbl>
    <w:p w14:paraId="67C1E346" w14:textId="77777777" w:rsidR="009650FE" w:rsidRDefault="009650FE">
      <w:pPr>
        <w:pStyle w:val="Kop3"/>
        <w:divId w:val="953290302"/>
        <w:rPr>
          <w:rFonts w:eastAsia="Times New Roman"/>
          <w:lang w:val="en-GB"/>
        </w:rPr>
      </w:pPr>
      <w:bookmarkStart w:id="108" w:name="_Toc242103246"/>
      <w:r>
        <w:rPr>
          <w:rFonts w:eastAsia="Times New Roman"/>
          <w:lang w:val="en-GB"/>
        </w:rPr>
        <w:t>Part B — The three private gates</w:t>
      </w:r>
      <w:bookmarkEnd w:id="108"/>
    </w:p>
    <w:p w14:paraId="1438DC49" w14:textId="77777777" w:rsidR="009650FE" w:rsidRDefault="009650FE">
      <w:pPr>
        <w:pStyle w:val="Kop4"/>
        <w:divId w:val="953290302"/>
        <w:rPr>
          <w:rFonts w:eastAsia="Times New Roman"/>
          <w:lang w:val="en-GB"/>
        </w:rPr>
      </w:pPr>
      <w:r>
        <w:rPr>
          <w:rFonts w:eastAsia="Times New Roman"/>
          <w:lang w:val="en-GB"/>
        </w:rPr>
        <w:t>ING — the bank as a lifeline</w:t>
      </w:r>
    </w:p>
    <w:p w14:paraId="6467868D" w14:textId="77777777" w:rsidR="009650FE" w:rsidRDefault="009650FE">
      <w:pPr>
        <w:pStyle w:val="Normaalweb"/>
        <w:divId w:val="953290302"/>
        <w:rPr>
          <w:lang w:val="en-GB"/>
        </w:rPr>
      </w:pPr>
      <w:r>
        <w:rPr>
          <w:lang w:val="en-GB"/>
        </w:rPr>
        <w:t>When government payments stop and medical bills keep mounting up, the joint bank account goes into the red. The credit card reaches its limit. ING offers a payment plan: the entire debt is transferred to a separate account and repaid over twenty-four months.</w:t>
      </w:r>
    </w:p>
    <w:p w14:paraId="72A1CB9A" w14:textId="77777777" w:rsidR="009650FE" w:rsidRDefault="009650FE">
      <w:pPr>
        <w:pStyle w:val="Normaalweb"/>
        <w:divId w:val="953290302"/>
        <w:rPr>
          <w:lang w:val="en-GB"/>
        </w:rPr>
      </w:pPr>
      <w:r>
        <w:rPr>
          <w:lang w:val="en-GB"/>
        </w:rPr>
        <w:t>The bank’s conditions: no overdrafts for three months. No credit card for twelve months. Monthly repayment of €286.55. Anyone who fails to comply with the conditions will lose their place on the scheme.</w:t>
      </w:r>
    </w:p>
    <w:p w14:paraId="440CC0DD" w14:textId="77777777" w:rsidR="009650FE" w:rsidRDefault="009650FE">
      <w:pPr>
        <w:pStyle w:val="Normaalweb"/>
        <w:divId w:val="953290302"/>
        <w:rPr>
          <w:lang w:val="en-GB"/>
        </w:rPr>
      </w:pPr>
      <w:r>
        <w:rPr>
          <w:lang w:val="en-GB"/>
        </w:rPr>
        <w:t>The bank is not acting in bad faith here. It is simply applying commercial logic. But the logic of the market is not the same as that of social justice. The public authorities that caused the shortfall bear no responsibility for the interest and penalties the family has to pay.</w:t>
      </w:r>
    </w:p>
    <w:p w14:paraId="384FCA1C" w14:textId="77777777" w:rsidR="009650FE" w:rsidRDefault="009650FE">
      <w:pPr>
        <w:pStyle w:val="Kop4"/>
        <w:divId w:val="953290302"/>
        <w:rPr>
          <w:rFonts w:eastAsia="Times New Roman"/>
          <w:lang w:val="en-GB"/>
        </w:rPr>
      </w:pPr>
      <w:r>
        <w:rPr>
          <w:rFonts w:eastAsia="Times New Roman"/>
          <w:lang w:val="en-GB"/>
        </w:rPr>
        <w:t>Vattenfall — the energy supplier</w:t>
      </w:r>
    </w:p>
    <w:p w14:paraId="68095642" w14:textId="77777777" w:rsidR="009650FE" w:rsidRDefault="009650FE">
      <w:pPr>
        <w:pStyle w:val="Normaalweb"/>
        <w:divId w:val="953290302"/>
        <w:rPr>
          <w:lang w:val="en-GB"/>
        </w:rPr>
      </w:pPr>
      <w:r>
        <w:rPr>
          <w:lang w:val="en-GB"/>
        </w:rPr>
        <w:t>The energy supplier is seeing payment arrears mount up. Payment arrangements are agreed, broken and reinstated. The monthly instalments are increased to prevent a back payment. And when the patient invokes the ‘medically vulnerable consumer’ protection status, Vattenfall requires a statement from an independent Dutch doctor.</w:t>
      </w:r>
    </w:p>
    <w:p w14:paraId="493F03C2" w14:textId="77777777" w:rsidR="009650FE" w:rsidRDefault="009650FE">
      <w:pPr>
        <w:pStyle w:val="Normaalweb"/>
        <w:divId w:val="953290302"/>
        <w:rPr>
          <w:lang w:val="en-GB"/>
        </w:rPr>
      </w:pPr>
      <w:r>
        <w:rPr>
          <w:lang w:val="en-GB"/>
        </w:rPr>
        <w:t>That requirement is impossible for a cross-border worker to meet. GPs refuse, the GGD refuses, and the private sector charges exorbitant fees for a remote medical examination. The family submits a Belgian medical certificate. Vattenfall refuses to recognise it. Only after months does the supplier admit that the requirement was unjustified and that the authority lies with the network operator.</w:t>
      </w:r>
    </w:p>
    <w:p w14:paraId="118004E4" w14:textId="77777777" w:rsidR="009650FE" w:rsidRDefault="009650FE">
      <w:pPr>
        <w:pStyle w:val="Normaalweb"/>
        <w:divId w:val="953290302"/>
        <w:rPr>
          <w:lang w:val="en-GB"/>
        </w:rPr>
      </w:pPr>
      <w:r>
        <w:rPr>
          <w:lang w:val="en-GB"/>
        </w:rPr>
        <w:t>Ultimately, the outstanding debt is referred to the debt collection agency Flanderijn. The total debt amounts to over €2,300.</w:t>
      </w:r>
    </w:p>
    <w:p w14:paraId="77486961" w14:textId="77777777" w:rsidR="009650FE" w:rsidRDefault="009650FE">
      <w:pPr>
        <w:pStyle w:val="Kop4"/>
        <w:divId w:val="953290302"/>
        <w:rPr>
          <w:rFonts w:eastAsia="Times New Roman"/>
          <w:lang w:val="en-GB"/>
        </w:rPr>
      </w:pPr>
      <w:r>
        <w:rPr>
          <w:rFonts w:eastAsia="Times New Roman"/>
          <w:lang w:val="en-GB"/>
        </w:rPr>
        <w:t>Stedin — the network operator</w:t>
      </w:r>
    </w:p>
    <w:p w14:paraId="2FFFA42D" w14:textId="77777777" w:rsidR="009650FE" w:rsidRDefault="009650FE">
      <w:pPr>
        <w:pStyle w:val="Normaalweb"/>
        <w:divId w:val="953290302"/>
        <w:rPr>
          <w:lang w:val="en-GB"/>
        </w:rPr>
      </w:pPr>
      <w:r>
        <w:rPr>
          <w:lang w:val="en-GB"/>
        </w:rPr>
        <w:t>Following the late referral from Vattenfall, the file is passed on to the network operator. Stedin is legally responsible for the physical supply. The patient must resubmit all medical evidence to a new private provider. There is no data transfer whatsoever, nor is there any recognition of documents previously submitted.</w:t>
      </w:r>
    </w:p>
    <w:p w14:paraId="7D4A2896" w14:textId="77777777" w:rsidR="009650FE" w:rsidRDefault="009650FE">
      <w:pPr>
        <w:pStyle w:val="Normaalweb"/>
        <w:divId w:val="953290302"/>
        <w:rPr>
          <w:lang w:val="en-GB"/>
        </w:rPr>
      </w:pPr>
      <w:r>
        <w:rPr>
          <w:lang w:val="en-GB"/>
        </w:rPr>
        <w:t>Stedin is the organisation that can guarantee the electricity supply, which is crucial for the refrigerated storage of insulin. However, the same applies here: the patient must rebuild the entire case from scratch, without the previous application to Vattenfall being recognised.</w:t>
      </w:r>
    </w:p>
    <w:p w14:paraId="21040552" w14:textId="77777777" w:rsidR="009650FE" w:rsidRDefault="009650FE">
      <w:pPr>
        <w:pStyle w:val="Kop3"/>
        <w:divId w:val="953290302"/>
        <w:rPr>
          <w:rFonts w:eastAsia="Times New Roman"/>
          <w:lang w:val="en-GB"/>
        </w:rPr>
      </w:pPr>
      <w:bookmarkStart w:id="109" w:name="_Toc242103247"/>
      <w:r>
        <w:rPr>
          <w:rFonts w:eastAsia="Times New Roman"/>
          <w:lang w:val="en-GB"/>
        </w:rPr>
        <w:t>Part C — The bank as the de facto creditor of the welfare state</w:t>
      </w:r>
      <w:bookmarkEnd w:id="109"/>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7E0E23F4" w14:textId="77777777">
        <w:trPr>
          <w:divId w:val="953290302"/>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324CD3F6" w14:textId="77777777" w:rsidR="009650FE" w:rsidRDefault="009650FE">
            <w:pPr>
              <w:pStyle w:val="Normaalweb"/>
              <w:spacing w:before="120"/>
              <w:jc w:val="center"/>
              <w:rPr>
                <w:sz w:val="21"/>
                <w:szCs w:val="21"/>
              </w:rPr>
            </w:pPr>
            <w:r>
              <w:rPr>
                <w:noProof/>
                <w:sz w:val="21"/>
                <w:szCs w:val="21"/>
              </w:rPr>
              <w:drawing>
                <wp:inline distT="0" distB="0" distL="0" distR="0" wp14:anchorId="5DABE4E6" wp14:editId="5BB8ECB3">
                  <wp:extent cx="3810000" cy="1454150"/>
                  <wp:effectExtent l="0" t="0" r="0" b="0"/>
                  <wp:docPr id="64" name="Afbeelding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3810000" cy="1454150"/>
                          </a:xfrm>
                          <a:prstGeom prst="rect">
                            <a:avLst/>
                          </a:prstGeom>
                          <a:noFill/>
                          <a:ln>
                            <a:noFill/>
                          </a:ln>
                        </pic:spPr>
                      </pic:pic>
                    </a:graphicData>
                  </a:graphic>
                </wp:inline>
              </w:drawing>
            </w:r>
          </w:p>
          <w:p w14:paraId="486C4E8C" w14:textId="77777777" w:rsidR="009650FE" w:rsidRDefault="009650FE">
            <w:pPr>
              <w:pStyle w:val="caption"/>
              <w:spacing w:after="120" w:afterAutospacing="0"/>
            </w:pPr>
            <w:r>
              <w:rPr>
                <w:rStyle w:val="Zwaar"/>
              </w:rPr>
              <w:t>Figure XX.2 — Who bears the blame?</w:t>
            </w:r>
            <w:r>
              <w:t xml:space="preserve"> The government causes the shortfall but accepts no responsibility. The private market fills the gap and collects the interest. The family bears the consequences: loss of income, loss of benefits, mounting interest, collection costs, and further impoverishment.</w:t>
            </w:r>
          </w:p>
        </w:tc>
      </w:tr>
    </w:tbl>
    <w:p w14:paraId="7F863256" w14:textId="77777777" w:rsidR="009650FE" w:rsidRDefault="009650FE">
      <w:pPr>
        <w:pStyle w:val="Kop3"/>
        <w:divId w:val="953290302"/>
        <w:rPr>
          <w:rFonts w:eastAsia="Times New Roman"/>
          <w:lang w:val="en-GB"/>
        </w:rPr>
      </w:pPr>
      <w:bookmarkStart w:id="110" w:name="_Toc242103248"/>
      <w:r>
        <w:rPr>
          <w:rFonts w:eastAsia="Times New Roman"/>
          <w:lang w:val="en-GB"/>
        </w:rPr>
        <w:t>What this chapter sets out</w:t>
      </w:r>
      <w:bookmarkEnd w:id="110"/>
    </w:p>
    <w:p w14:paraId="5A460041" w14:textId="77777777" w:rsidR="009650FE" w:rsidRDefault="009650FE">
      <w:pPr>
        <w:pStyle w:val="Normaalweb"/>
        <w:divId w:val="953290302"/>
        <w:rPr>
          <w:lang w:val="en-GB"/>
        </w:rPr>
      </w:pPr>
      <w:r>
        <w:rPr>
          <w:lang w:val="en-GB"/>
        </w:rPr>
        <w:t>The chain of failing public authorities ultimately leads to one central point: the bank account. What does not come in, and what does leak out, determines how far the family’s circumstances deteriorate. And what the family cannot cope with is absorbed by the commercial market — at interest, subject to penalties, and with collection charges.</w:t>
      </w:r>
    </w:p>
    <w:p w14:paraId="4A84B6EC" w14:textId="77777777" w:rsidR="009650FE" w:rsidRDefault="009650FE">
      <w:pPr>
        <w:pStyle w:val="Normaalweb"/>
        <w:divId w:val="953290302"/>
        <w:rPr>
          <w:lang w:val="en-GB"/>
        </w:rPr>
      </w:pPr>
      <w:r>
        <w:rPr>
          <w:lang w:val="en-GB"/>
        </w:rPr>
        <w:t>Private sector organisations are not to blame here. They are simply applying commercial logic. What this chapter shows is that the government has shirked part of its responsibility. The gap it has left is being filled by the market. But the market does not fill gaps out of a sense of solidarity. The market fills gaps at a price.</w:t>
      </w:r>
    </w:p>
    <w:p w14:paraId="606A587E" w14:textId="77777777" w:rsidR="009650FE" w:rsidRDefault="009650FE">
      <w:pPr>
        <w:pStyle w:val="Normaalweb"/>
        <w:divId w:val="953290302"/>
        <w:rPr>
          <w:lang w:val="en-GB"/>
        </w:rPr>
      </w:pPr>
      <w:r>
        <w:rPr>
          <w:lang w:val="en-GB"/>
        </w:rPr>
        <w:t>And that price is paid by the family that already has no income. By the parents who already receive no benefits. By the patient whose amputations are not compensated by anyone. By the child who plays no part in this game but who bears the consequences.</w:t>
      </w:r>
    </w:p>
    <w:tbl>
      <w:tblPr>
        <w:tblW w:w="5000" w:type="pct"/>
        <w:tblCellMar>
          <w:top w:w="15" w:type="dxa"/>
          <w:left w:w="15" w:type="dxa"/>
          <w:bottom w:w="15" w:type="dxa"/>
          <w:right w:w="15" w:type="dxa"/>
        </w:tblCellMar>
        <w:tblLook w:val="04A0" w:firstRow="1" w:lastRow="0" w:firstColumn="1" w:lastColumn="0" w:noHBand="0" w:noVBand="1"/>
      </w:tblPr>
      <w:tblGrid>
        <w:gridCol w:w="9019"/>
      </w:tblGrid>
      <w:tr w:rsidR="00000000" w14:paraId="56F4E777" w14:textId="77777777">
        <w:trPr>
          <w:divId w:val="953290302"/>
        </w:trPr>
        <w:tc>
          <w:tcPr>
            <w:tcW w:w="0" w:type="auto"/>
            <w:tcBorders>
              <w:top w:val="single" w:sz="6" w:space="0" w:color="D5D0C5"/>
              <w:left w:val="single" w:sz="36" w:space="0" w:color="4A3B6B"/>
              <w:bottom w:val="single" w:sz="6" w:space="0" w:color="D5D0C5"/>
              <w:right w:val="single" w:sz="6" w:space="0" w:color="D5D0C5"/>
            </w:tcBorders>
            <w:shd w:val="clear" w:color="auto" w:fill="EDE9F5"/>
            <w:tcMar>
              <w:top w:w="200" w:type="dxa"/>
              <w:left w:w="280" w:type="dxa"/>
              <w:bottom w:w="200" w:type="dxa"/>
              <w:right w:w="280" w:type="dxa"/>
            </w:tcMar>
            <w:hideMark/>
          </w:tcPr>
          <w:p w14:paraId="6AD1D507" w14:textId="77777777" w:rsidR="009650FE" w:rsidRDefault="009650FE">
            <w:pPr>
              <w:spacing w:before="240" w:after="240"/>
              <w:rPr>
                <w:rFonts w:eastAsia="Times New Roman"/>
                <w:szCs w:val="22"/>
              </w:rPr>
            </w:pPr>
            <w:r>
              <w:rPr>
                <w:rStyle w:val="Zwaar"/>
                <w:rFonts w:eastAsia="Times New Roman"/>
                <w:szCs w:val="22"/>
              </w:rPr>
              <w:t>For anyone in the same situation:</w:t>
            </w:r>
            <w:r>
              <w:rPr>
                <w:rFonts w:eastAsia="Times New Roman"/>
                <w:szCs w:val="22"/>
              </w:rPr>
              <w:t xml:space="preserve"> the retail chain couldn’t care less about the cause of the debt. What helps: </w:t>
            </w:r>
          </w:p>
          <w:p w14:paraId="0EE66608" w14:textId="77777777" w:rsidR="009650FE" w:rsidRDefault="009650FE">
            <w:pPr>
              <w:numPr>
                <w:ilvl w:val="0"/>
                <w:numId w:val="21"/>
              </w:numPr>
              <w:spacing w:before="100" w:beforeAutospacing="1" w:after="100" w:afterAutospacing="1"/>
              <w:rPr>
                <w:rFonts w:eastAsia="Times New Roman"/>
                <w:szCs w:val="22"/>
              </w:rPr>
            </w:pPr>
            <w:r>
              <w:rPr>
                <w:rFonts w:eastAsia="Times New Roman"/>
                <w:szCs w:val="22"/>
              </w:rPr>
              <w:t>Gather evidence of every instance where the authorities failed to act, which led to the debt. Prove that the debt did not arise from your own choices, but from the failure of the authorities.</w:t>
            </w:r>
          </w:p>
          <w:p w14:paraId="37E4F761" w14:textId="77777777" w:rsidR="009650FE" w:rsidRDefault="009650FE">
            <w:pPr>
              <w:numPr>
                <w:ilvl w:val="0"/>
                <w:numId w:val="21"/>
              </w:numPr>
              <w:spacing w:before="100" w:beforeAutospacing="1" w:after="100" w:afterAutospacing="1"/>
              <w:rPr>
                <w:rFonts w:eastAsia="Times New Roman"/>
                <w:szCs w:val="22"/>
              </w:rPr>
            </w:pPr>
            <w:r>
              <w:rPr>
                <w:rFonts w:eastAsia="Times New Roman"/>
                <w:szCs w:val="22"/>
              </w:rPr>
              <w:t>Apply to your local authority for special assistance to cover the debts incurred. If the local authority refuses, lodge a formal appeal and refer to the chain of causality.</w:t>
            </w:r>
          </w:p>
          <w:p w14:paraId="65F32019" w14:textId="77777777" w:rsidR="009650FE" w:rsidRDefault="009650FE">
            <w:pPr>
              <w:numPr>
                <w:ilvl w:val="0"/>
                <w:numId w:val="21"/>
              </w:numPr>
              <w:spacing w:before="100" w:beforeAutospacing="1" w:after="100" w:afterAutospacing="1"/>
              <w:rPr>
                <w:rFonts w:eastAsia="Times New Roman"/>
                <w:szCs w:val="22"/>
              </w:rPr>
            </w:pPr>
            <w:r>
              <w:rPr>
                <w:rFonts w:eastAsia="Times New Roman"/>
                <w:szCs w:val="22"/>
              </w:rPr>
              <w:t>Contact your local authority’s debt advice service (via the Debt Advice Centre). Ask for an amicable debt settlement that takes the cause of the debt into account.</w:t>
            </w:r>
          </w:p>
          <w:p w14:paraId="3B235372" w14:textId="77777777" w:rsidR="009650FE" w:rsidRDefault="009650FE">
            <w:pPr>
              <w:numPr>
                <w:ilvl w:val="0"/>
                <w:numId w:val="21"/>
              </w:numPr>
              <w:spacing w:before="100" w:beforeAutospacing="1" w:after="100" w:afterAutospacing="1"/>
              <w:rPr>
                <w:rFonts w:eastAsia="Times New Roman"/>
                <w:szCs w:val="22"/>
              </w:rPr>
            </w:pPr>
            <w:r>
              <w:rPr>
                <w:rFonts w:eastAsia="Times New Roman"/>
                <w:szCs w:val="22"/>
              </w:rPr>
              <w:t>Engage a social counsellor or legal adviser (via your trade union or the Legal Advice Centre) to negotiate with commercial parties.</w:t>
            </w:r>
          </w:p>
          <w:p w14:paraId="554519A0" w14:textId="77777777" w:rsidR="009650FE" w:rsidRDefault="009650FE">
            <w:pPr>
              <w:spacing w:after="0"/>
              <w:rPr>
                <w:rFonts w:eastAsia="Times New Roman"/>
                <w:szCs w:val="22"/>
              </w:rPr>
            </w:pPr>
            <w:r>
              <w:rPr>
                <w:rFonts w:eastAsia="Times New Roman"/>
                <w:szCs w:val="22"/>
              </w:rPr>
              <w:t xml:space="preserve">The private sector is not obliged to take the cause into account. However, an established causal chain may well alter the negotiating position. </w:t>
            </w:r>
          </w:p>
        </w:tc>
      </w:tr>
    </w:tbl>
    <w:p w14:paraId="0C609FFE" w14:textId="77777777" w:rsidR="009650FE" w:rsidRDefault="009650FE">
      <w:pPr>
        <w:pStyle w:val="noot"/>
        <w:spacing w:after="120" w:afterAutospacing="0"/>
        <w:divId w:val="953290302"/>
        <w:rPr>
          <w:lang w:val="en-GB"/>
        </w:rPr>
      </w:pPr>
      <w:r>
        <w:rPr>
          <w:lang w:val="en-GB"/>
        </w:rPr>
        <w:t>All organisations mentioned in this chapter are legal entities. Natural persons are referred to by their position or their symbol (</w:t>
      </w:r>
      <w:r>
        <w:rPr>
          <w:rFonts w:ascii="Segoe UI Symbol" w:hAnsi="Segoe UI Symbol" w:cs="Segoe UI Symbol"/>
          <w:lang w:val="en-GB"/>
        </w:rPr>
        <w:t>♂</w:t>
      </w:r>
      <w:r>
        <w:rPr>
          <w:lang w:val="en-GB"/>
        </w:rPr>
        <w:t xml:space="preserve">, </w:t>
      </w:r>
      <w:r>
        <w:rPr>
          <w:rFonts w:ascii="Segoe UI Symbol" w:hAnsi="Segoe UI Symbol" w:cs="Segoe UI Symbol"/>
          <w:lang w:val="en-GB"/>
        </w:rPr>
        <w:t>♀</w:t>
      </w:r>
      <w:r>
        <w:rPr>
          <w:lang w:val="en-GB"/>
        </w:rPr>
        <w:t>). The facts and figures are based on Document B. This chapter does not constitute legal or financial advice.</w:t>
      </w:r>
    </w:p>
    <w:p w14:paraId="53360A0E" w14:textId="77777777" w:rsidR="009650FE" w:rsidRDefault="009650FE">
      <w:pPr>
        <w:pStyle w:val="marker"/>
        <w:ind w:left="800" w:right="800"/>
        <w:divId w:val="953290302"/>
        <w:rPr>
          <w:lang w:val="en-GB"/>
        </w:rPr>
      </w:pPr>
      <w:r>
        <w:br w:type="page"/>
      </w:r>
    </w:p>
    <w:p w14:paraId="34957C5F" w14:textId="77777777" w:rsidR="009650FE" w:rsidRDefault="009650FE">
      <w:pPr>
        <w:pStyle w:val="Kop1"/>
        <w:divId w:val="953290302"/>
        <w:rPr>
          <w:rFonts w:eastAsia="Times New Roman"/>
          <w:lang w:val="en-GB"/>
        </w:rPr>
      </w:pPr>
      <w:bookmarkStart w:id="111" w:name="_Toc242103249"/>
      <w:r>
        <w:rPr>
          <w:rFonts w:eastAsia="Times New Roman"/>
          <w:lang w:val="en-GB"/>
        </w:rPr>
        <w:t>V. Europe</w:t>
      </w:r>
      <w:bookmarkEnd w:id="111"/>
    </w:p>
    <w:p w14:paraId="65D10DF8" w14:textId="77777777" w:rsidR="009650FE" w:rsidRDefault="009650FE">
      <w:pPr>
        <w:pStyle w:val="Kop2"/>
        <w:divId w:val="953290302"/>
        <w:rPr>
          <w:rFonts w:eastAsia="Times New Roman"/>
          <w:lang w:val="en-GB"/>
        </w:rPr>
      </w:pPr>
      <w:bookmarkStart w:id="112" w:name="_Toc242103250"/>
      <w:r>
        <w:rPr>
          <w:rFonts w:eastAsia="Times New Roman"/>
          <w:lang w:val="en-GB"/>
        </w:rPr>
        <w:t>The European layer</w:t>
      </w:r>
      <w:bookmarkEnd w:id="112"/>
    </w:p>
    <w:p w14:paraId="2011CB8C" w14:textId="77777777" w:rsidR="009650FE" w:rsidRDefault="009650FE">
      <w:pPr>
        <w:pStyle w:val="lead"/>
        <w:divId w:val="953290302"/>
        <w:rPr>
          <w:lang w:val="en-GB"/>
        </w:rPr>
      </w:pPr>
      <w:r>
        <w:rPr>
          <w:lang w:val="en-GB"/>
        </w:rPr>
        <w:t>When national avenues have been exhausted and national politicians fail to intervene, there is still one level left: Europe. In theory, Europe should provide the solution to a cross-border problem. In practice, however, it appears that most European bodies lack the mandate to break the deadlock in the national chain. But two exceptions have emerged in this case. Two opportunities that nobody had anticipated.</w:t>
      </w:r>
    </w:p>
    <w:p w14:paraId="65BA7547" w14:textId="77777777" w:rsidR="009650FE" w:rsidRDefault="009650FE">
      <w:pPr>
        <w:pStyle w:val="Kop3"/>
        <w:divId w:val="953290302"/>
        <w:rPr>
          <w:rFonts w:eastAsia="Times New Roman"/>
          <w:lang w:val="en-GB"/>
        </w:rPr>
      </w:pPr>
      <w:bookmarkStart w:id="113" w:name="_Toc242103251"/>
      <w:r>
        <w:rPr>
          <w:rFonts w:eastAsia="Times New Roman"/>
          <w:lang w:val="en-GB"/>
        </w:rPr>
        <w:t>Part A — The European and international level</w:t>
      </w:r>
      <w:bookmarkEnd w:id="113"/>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7BB7C3C5" w14:textId="77777777">
        <w:trPr>
          <w:divId w:val="953290302"/>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3D320035" w14:textId="77777777" w:rsidR="009650FE" w:rsidRDefault="009650FE">
            <w:pPr>
              <w:pStyle w:val="Normaalweb"/>
              <w:spacing w:before="120"/>
              <w:jc w:val="center"/>
              <w:rPr>
                <w:sz w:val="21"/>
                <w:szCs w:val="21"/>
              </w:rPr>
            </w:pPr>
            <w:r>
              <w:rPr>
                <w:noProof/>
                <w:sz w:val="21"/>
                <w:szCs w:val="21"/>
              </w:rPr>
              <w:drawing>
                <wp:inline distT="0" distB="0" distL="0" distR="0" wp14:anchorId="0FEA2D62" wp14:editId="363CF612">
                  <wp:extent cx="3816350" cy="1987550"/>
                  <wp:effectExtent l="0" t="0" r="0" b="0"/>
                  <wp:docPr id="65" name="Afbeelding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3816350" cy="1987550"/>
                          </a:xfrm>
                          <a:prstGeom prst="rect">
                            <a:avLst/>
                          </a:prstGeom>
                          <a:noFill/>
                          <a:ln>
                            <a:noFill/>
                          </a:ln>
                        </pic:spPr>
                      </pic:pic>
                    </a:graphicData>
                  </a:graphic>
                </wp:inline>
              </w:drawing>
            </w:r>
          </w:p>
          <w:p w14:paraId="423EBBCF" w14:textId="77777777" w:rsidR="009650FE" w:rsidRDefault="009650FE">
            <w:pPr>
              <w:pStyle w:val="caption"/>
              <w:spacing w:after="120" w:afterAutospacing="0"/>
            </w:pPr>
            <w:r>
              <w:rPr>
                <w:rStyle w:val="Zwaar"/>
              </w:rPr>
              <w:t>Figure XXII.1 — The European and international levels.</w:t>
            </w:r>
            <w:r>
              <w:t xml:space="preserve"> Each with its own mandate, each with its own limitations. Two exceptions stand out: the European Parliament, where petition 1034/2026 has been made public and is open to co-signatories, and the Commission, which has been investigating several infringement complaints against Belgium and Flanders since 2022.</w:t>
            </w:r>
          </w:p>
        </w:tc>
      </w:tr>
    </w:tbl>
    <w:p w14:paraId="53DE5905" w14:textId="77777777" w:rsidR="009650FE" w:rsidRDefault="009650FE">
      <w:pPr>
        <w:pStyle w:val="Kop3"/>
        <w:divId w:val="953290302"/>
        <w:rPr>
          <w:rFonts w:eastAsia="Times New Roman"/>
          <w:lang w:val="en-GB"/>
        </w:rPr>
      </w:pPr>
      <w:bookmarkStart w:id="114" w:name="_Toc242103252"/>
      <w:r>
        <w:rPr>
          <w:rFonts w:eastAsia="Times New Roman"/>
          <w:lang w:val="en-GB"/>
        </w:rPr>
        <w:t>Part B — The circular reference</w:t>
      </w:r>
      <w:bookmarkEnd w:id="114"/>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2DBCB334" w14:textId="77777777">
        <w:trPr>
          <w:divId w:val="953290302"/>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140A09C8" w14:textId="77777777" w:rsidR="009650FE" w:rsidRDefault="009650FE">
            <w:pPr>
              <w:pStyle w:val="Normaalweb"/>
              <w:spacing w:before="120"/>
              <w:jc w:val="center"/>
              <w:rPr>
                <w:sz w:val="21"/>
                <w:szCs w:val="21"/>
              </w:rPr>
            </w:pPr>
            <w:r>
              <w:rPr>
                <w:noProof/>
                <w:sz w:val="21"/>
                <w:szCs w:val="21"/>
              </w:rPr>
              <w:drawing>
                <wp:inline distT="0" distB="0" distL="0" distR="0" wp14:anchorId="7D8571FF" wp14:editId="3934B628">
                  <wp:extent cx="3810000" cy="1784350"/>
                  <wp:effectExtent l="0" t="0" r="0" b="6350"/>
                  <wp:docPr id="66" name="Afbeelding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3810000" cy="1784350"/>
                          </a:xfrm>
                          <a:prstGeom prst="rect">
                            <a:avLst/>
                          </a:prstGeom>
                          <a:noFill/>
                          <a:ln>
                            <a:noFill/>
                          </a:ln>
                        </pic:spPr>
                      </pic:pic>
                    </a:graphicData>
                  </a:graphic>
                </wp:inline>
              </w:drawing>
            </w:r>
          </w:p>
          <w:p w14:paraId="602605E3" w14:textId="77777777" w:rsidR="009650FE" w:rsidRDefault="009650FE">
            <w:pPr>
              <w:pStyle w:val="caption"/>
              <w:spacing w:after="120" w:afterAutospacing="0"/>
            </w:pPr>
            <w:r>
              <w:rPr>
                <w:rStyle w:val="Zwaar"/>
              </w:rPr>
              <w:t>Figure XXII.2 — The circular reference.</w:t>
            </w:r>
            <w:r>
              <w:t xml:space="preserve"> The European institutions refer to one another. The Commission is waiting for the Member States. The Member States are waiting for the Commission. SOLVIT is waiting for a clear infringement. The ELA is waiting for a request from the Member States. Parliament cannot review national decisions. The ECHR is waiting for national legal proceedings.</w:t>
            </w:r>
          </w:p>
        </w:tc>
      </w:tr>
    </w:tbl>
    <w:p w14:paraId="3B338E49" w14:textId="77777777" w:rsidR="009650FE" w:rsidRDefault="009650FE">
      <w:pPr>
        <w:pStyle w:val="Kop3"/>
        <w:divId w:val="953290302"/>
        <w:rPr>
          <w:rFonts w:eastAsia="Times New Roman"/>
          <w:lang w:val="en-GB"/>
        </w:rPr>
      </w:pPr>
      <w:bookmarkStart w:id="115" w:name="_Toc242103253"/>
      <w:r>
        <w:rPr>
          <w:rFonts w:eastAsia="Times New Roman"/>
          <w:lang w:val="en-GB"/>
        </w:rPr>
        <w:t>Part C — The two openings</w:t>
      </w:r>
      <w:bookmarkEnd w:id="115"/>
    </w:p>
    <w:p w14:paraId="43E6496E" w14:textId="77777777" w:rsidR="009650FE" w:rsidRDefault="009650FE">
      <w:pPr>
        <w:pStyle w:val="Normaalweb"/>
        <w:divId w:val="953290302"/>
        <w:rPr>
          <w:lang w:val="en-GB"/>
        </w:rPr>
      </w:pPr>
      <w:r>
        <w:rPr>
          <w:lang w:val="en-GB"/>
        </w:rPr>
        <w:t>In September 2026, two openings appeared in this seemingly closed circle that nobody had anticipated.</w:t>
      </w:r>
    </w:p>
    <w:p w14:paraId="749BE2AA" w14:textId="77777777" w:rsidR="009650FE" w:rsidRDefault="009650FE">
      <w:pPr>
        <w:pStyle w:val="Kop4"/>
        <w:divId w:val="953290302"/>
        <w:rPr>
          <w:rFonts w:eastAsia="Times New Roman"/>
          <w:lang w:val="en-GB"/>
        </w:rPr>
      </w:pPr>
      <w:r>
        <w:rPr>
          <w:rFonts w:eastAsia="Times New Roman"/>
          <w:lang w:val="en-GB"/>
        </w:rPr>
        <w:t>Petition 1 — PETI 1034/2026 open for co-signatories</w:t>
      </w:r>
    </w:p>
    <w:p w14:paraId="1B538E91" w14:textId="77777777" w:rsidR="009650FE" w:rsidRDefault="009650FE">
      <w:pPr>
        <w:pStyle w:val="Normaalweb"/>
        <w:divId w:val="953290302"/>
        <w:rPr>
          <w:lang w:val="en-GB"/>
        </w:rPr>
      </w:pPr>
      <w:r>
        <w:rPr>
          <w:lang w:val="en-GB"/>
        </w:rPr>
        <w:t>The European Parliament has taken up petition 1034/2026. On 25 September 2026, the status was changed to ‘open to co-signatories’. This means that the petition has been given an official parliamentary summary and has been published on the European Parliament’s petitions portal.</w:t>
      </w:r>
    </w:p>
    <w:p w14:paraId="6F911F6C" w14:textId="77777777" w:rsidR="009650FE" w:rsidRDefault="009650FE">
      <w:pPr>
        <w:pStyle w:val="Normaalweb"/>
        <w:divId w:val="953290302"/>
        <w:rPr>
          <w:lang w:val="en-GB"/>
        </w:rPr>
      </w:pPr>
      <w:r>
        <w:rPr>
          <w:lang w:val="en-GB"/>
        </w:rPr>
        <w:t>The summary has been published under the policy areas of the Internal Market, Employment, Health, Social Affairs and Fundamental Rights, with Belgium and the Netherlands listed as the Member States concerned. The petition highlights the structural failure of both Member States to comply with the Vester judgment, their refusal to aggregate insurance periods, and the residence requirements. It calls on the European Commission to initiate infringement proceedings.</w:t>
      </w:r>
    </w:p>
    <w:p w14:paraId="2D6F6EC4" w14:textId="77777777" w:rsidR="009650FE" w:rsidRDefault="009650FE">
      <w:pPr>
        <w:pStyle w:val="Normaalweb"/>
        <w:divId w:val="953290302"/>
        <w:rPr>
          <w:lang w:val="en-GB"/>
        </w:rPr>
      </w:pPr>
      <w:r>
        <w:rPr>
          <w:lang w:val="en-GB"/>
        </w:rPr>
        <w:t>What this means is that the petition is no longer a private complaint sent to a PO box. It is a formal parliamentary dossier that any EU citizen can sign. This changes the political status of the dossier.</w:t>
      </w:r>
    </w:p>
    <w:p w14:paraId="26F92AD9" w14:textId="77777777" w:rsidR="009650FE" w:rsidRDefault="009650FE">
      <w:pPr>
        <w:pStyle w:val="Kop4"/>
        <w:divId w:val="953290302"/>
        <w:rPr>
          <w:rFonts w:eastAsia="Times New Roman"/>
          <w:lang w:val="en-GB"/>
        </w:rPr>
      </w:pPr>
      <w:r>
        <w:rPr>
          <w:rFonts w:eastAsia="Times New Roman"/>
          <w:lang w:val="en-GB"/>
        </w:rPr>
        <w:t>Point 2 — The Commission has been investigating this since 2022</w:t>
      </w:r>
    </w:p>
    <w:p w14:paraId="3FED91E9" w14:textId="77777777" w:rsidR="009650FE" w:rsidRDefault="009650FE">
      <w:pPr>
        <w:pStyle w:val="Normaalweb"/>
        <w:divId w:val="953290302"/>
        <w:rPr>
          <w:lang w:val="en-GB"/>
        </w:rPr>
      </w:pPr>
      <w:r>
        <w:rPr>
          <w:lang w:val="en-GB"/>
        </w:rPr>
        <w:t>On 25 September 2026, an official letter from the European Commission (DG EMPL) was added to the file. It reveals that the Commission has been investigating several infringement complaints against Belgium and Flanders since 2022 and 2023. These complaints relate to the Flemish job bonus, student finance and the Growth Package — all three of which fall under Regulation 492/2011 on the free movement of workers.</w:t>
      </w:r>
    </w:p>
    <w:p w14:paraId="180371A3" w14:textId="77777777" w:rsidR="009650FE" w:rsidRDefault="009650FE">
      <w:pPr>
        <w:pStyle w:val="Normaalweb"/>
        <w:divId w:val="953290302"/>
        <w:rPr>
          <w:lang w:val="en-GB"/>
        </w:rPr>
      </w:pPr>
      <w:r>
        <w:rPr>
          <w:lang w:val="en-GB"/>
        </w:rPr>
        <w:t>The Commission has not reached a final decision in all these years. That does not mean that the complaints have been rejected. It means that they are still under consideration. And that this family’s complaint forms part of a series of complaints that the Commission is already investigating.</w:t>
      </w:r>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5EB3F36D" w14:textId="77777777">
        <w:trPr>
          <w:divId w:val="953290302"/>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572B3375" w14:textId="77777777" w:rsidR="009650FE" w:rsidRDefault="009650FE">
            <w:pPr>
              <w:pStyle w:val="Normaalweb"/>
              <w:spacing w:before="120"/>
              <w:jc w:val="center"/>
              <w:rPr>
                <w:sz w:val="21"/>
                <w:szCs w:val="21"/>
              </w:rPr>
            </w:pPr>
            <w:r>
              <w:rPr>
                <w:noProof/>
                <w:sz w:val="21"/>
                <w:szCs w:val="21"/>
              </w:rPr>
              <w:drawing>
                <wp:inline distT="0" distB="0" distL="0" distR="0" wp14:anchorId="79DB8B62" wp14:editId="7492A79A">
                  <wp:extent cx="3810000" cy="1460500"/>
                  <wp:effectExtent l="0" t="0" r="0" b="6350"/>
                  <wp:docPr id="67" name="Afbeelding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3810000" cy="1460500"/>
                          </a:xfrm>
                          <a:prstGeom prst="rect">
                            <a:avLst/>
                          </a:prstGeom>
                          <a:noFill/>
                          <a:ln>
                            <a:noFill/>
                          </a:ln>
                        </pic:spPr>
                      </pic:pic>
                    </a:graphicData>
                  </a:graphic>
                </wp:inline>
              </w:drawing>
            </w:r>
          </w:p>
          <w:p w14:paraId="2F620704" w14:textId="77777777" w:rsidR="009650FE" w:rsidRDefault="009650FE">
            <w:pPr>
              <w:pStyle w:val="caption"/>
              <w:spacing w:after="120" w:afterAutospacing="0"/>
            </w:pPr>
            <w:r>
              <w:rPr>
                <w:rStyle w:val="Zwaar"/>
              </w:rPr>
              <w:t>Figure XXII.3 — The two avenues.</w:t>
            </w:r>
            <w:r>
              <w:t xml:space="preserve"> On the one hand, the petition in the European Parliament is public and open to co-signatories. On the other hand, it appears that the European Commission has been investigating several complaints against Belgium and Flanders since 2022 without reaching a decision. This family’s complaint is not an isolated case.</w:t>
            </w:r>
          </w:p>
        </w:tc>
      </w:tr>
    </w:tbl>
    <w:p w14:paraId="388E87AC" w14:textId="77777777" w:rsidR="009650FE" w:rsidRDefault="009650FE">
      <w:pPr>
        <w:pStyle w:val="Kop3"/>
        <w:divId w:val="953290302"/>
        <w:rPr>
          <w:rFonts w:eastAsia="Times New Roman"/>
          <w:lang w:val="en-GB"/>
        </w:rPr>
      </w:pPr>
      <w:bookmarkStart w:id="116" w:name="_Toc242103254"/>
      <w:r>
        <w:rPr>
          <w:rFonts w:eastAsia="Times New Roman"/>
          <w:lang w:val="en-GB"/>
        </w:rPr>
        <w:t>Part D — The infringement proceedings that never materialise</w:t>
      </w:r>
      <w:bookmarkEnd w:id="116"/>
    </w:p>
    <w:p w14:paraId="4EF79A9D" w14:textId="77777777" w:rsidR="009650FE" w:rsidRDefault="009650FE">
      <w:pPr>
        <w:pStyle w:val="Normaalweb"/>
        <w:divId w:val="953290302"/>
        <w:rPr>
          <w:lang w:val="en-GB"/>
        </w:rPr>
      </w:pPr>
      <w:r>
        <w:rPr>
          <w:lang w:val="en-GB"/>
        </w:rPr>
        <w:t>The European Commission has one binding instrument: the infringement procedure. Where a Member State systematically breaches EU law, the Commission may initiate proceedings which ultimately lead to a ruling by the Court of Justice and, in theory, to financial penalties for the Member State.</w:t>
      </w:r>
    </w:p>
    <w:p w14:paraId="0BF35DAB" w14:textId="77777777" w:rsidR="009650FE" w:rsidRDefault="009650FE">
      <w:pPr>
        <w:pStyle w:val="Normaalweb"/>
        <w:divId w:val="953290302"/>
        <w:rPr>
          <w:lang w:val="en-GB"/>
        </w:rPr>
      </w:pPr>
      <w:r>
        <w:rPr>
          <w:lang w:val="en-GB"/>
        </w:rPr>
        <w:t>In practice, this is a political decision, not a legal formality. The Commission assesses whether it is politically expedient to initiate infringement proceedings. In this case, the complaint has been registered under CPLT(2026)01544 and merged with other complaints under Ares(2026)5891709. The Commission has not yet initiated infringement proceedings.</w:t>
      </w:r>
    </w:p>
    <w:p w14:paraId="125D1A6D" w14:textId="77777777" w:rsidR="009650FE" w:rsidRDefault="009650FE">
      <w:pPr>
        <w:pStyle w:val="Normaalweb"/>
        <w:divId w:val="953290302"/>
        <w:rPr>
          <w:lang w:val="en-GB"/>
        </w:rPr>
      </w:pPr>
      <w:r>
        <w:rPr>
          <w:lang w:val="en-GB"/>
        </w:rPr>
        <w:t>The reasons why this does not happen are structural:</w:t>
      </w:r>
    </w:p>
    <w:p w14:paraId="18CB8F02" w14:textId="77777777" w:rsidR="009650FE" w:rsidRDefault="009650FE">
      <w:pPr>
        <w:numPr>
          <w:ilvl w:val="0"/>
          <w:numId w:val="22"/>
        </w:numPr>
        <w:spacing w:before="100" w:beforeAutospacing="1" w:after="100" w:afterAutospacing="1"/>
        <w:divId w:val="953290302"/>
        <w:rPr>
          <w:rFonts w:eastAsia="Times New Roman"/>
          <w:lang w:val="en-GB"/>
        </w:rPr>
      </w:pPr>
      <w:r>
        <w:rPr>
          <w:rFonts w:eastAsia="Times New Roman"/>
          <w:lang w:val="en-GB"/>
        </w:rPr>
        <w:t>The Commission receives thousands of complaints every year. It cannot initiate proceedings in response to every complaint.</w:t>
      </w:r>
    </w:p>
    <w:p w14:paraId="5439F72C" w14:textId="77777777" w:rsidR="009650FE" w:rsidRDefault="009650FE">
      <w:pPr>
        <w:numPr>
          <w:ilvl w:val="0"/>
          <w:numId w:val="22"/>
        </w:numPr>
        <w:spacing w:before="100" w:beforeAutospacing="1" w:after="100" w:afterAutospacing="1"/>
        <w:divId w:val="953290302"/>
        <w:rPr>
          <w:rFonts w:eastAsia="Times New Roman"/>
          <w:lang w:val="en-GB"/>
        </w:rPr>
      </w:pPr>
      <w:r>
        <w:rPr>
          <w:rFonts w:eastAsia="Times New Roman"/>
          <w:lang w:val="en-GB"/>
        </w:rPr>
        <w:t>The coordination of social security is formally a shared competence. Member States have a wide margin of discretion.</w:t>
      </w:r>
    </w:p>
    <w:p w14:paraId="4ECC3CB5" w14:textId="77777777" w:rsidR="009650FE" w:rsidRDefault="009650FE">
      <w:pPr>
        <w:numPr>
          <w:ilvl w:val="0"/>
          <w:numId w:val="22"/>
        </w:numPr>
        <w:spacing w:before="100" w:beforeAutospacing="1" w:after="100" w:afterAutospacing="1"/>
        <w:divId w:val="953290302"/>
        <w:rPr>
          <w:rFonts w:eastAsia="Times New Roman"/>
          <w:lang w:val="en-GB"/>
        </w:rPr>
      </w:pPr>
      <w:r>
        <w:rPr>
          <w:rFonts w:eastAsia="Times New Roman"/>
          <w:lang w:val="en-GB"/>
        </w:rPr>
        <w:t>On average, infringement proceedings take between four and six years before a ruling is handed down.</w:t>
      </w:r>
    </w:p>
    <w:p w14:paraId="0C41D0E9" w14:textId="77777777" w:rsidR="009650FE" w:rsidRDefault="009650FE">
      <w:pPr>
        <w:numPr>
          <w:ilvl w:val="0"/>
          <w:numId w:val="22"/>
        </w:numPr>
        <w:spacing w:before="100" w:beforeAutospacing="1" w:after="100" w:afterAutospacing="1"/>
        <w:divId w:val="953290302"/>
        <w:rPr>
          <w:rFonts w:eastAsia="Times New Roman"/>
          <w:lang w:val="en-GB"/>
        </w:rPr>
      </w:pPr>
      <w:r>
        <w:rPr>
          <w:rFonts w:eastAsia="Times New Roman"/>
          <w:lang w:val="en-GB"/>
        </w:rPr>
        <w:t>A ruling establishes that a violation has taken place, but does not always lead to a resolution of the individual case.</w:t>
      </w:r>
    </w:p>
    <w:p w14:paraId="53F8365D" w14:textId="77777777" w:rsidR="009650FE" w:rsidRDefault="009650FE">
      <w:pPr>
        <w:pStyle w:val="Normaalweb"/>
        <w:divId w:val="953290302"/>
        <w:rPr>
          <w:lang w:val="en-GB"/>
        </w:rPr>
      </w:pPr>
      <w:r>
        <w:rPr>
          <w:lang w:val="en-GB"/>
        </w:rPr>
        <w:t>What this means for the public: even if the Commission were to intervene, the proceedings would take years. And even if the Court were to rule that a violation had taken place, that would not immediately resolve the individual case.</w:t>
      </w:r>
    </w:p>
    <w:p w14:paraId="744A5EB4" w14:textId="77777777" w:rsidR="009650FE" w:rsidRDefault="009650FE">
      <w:pPr>
        <w:pStyle w:val="Kop3"/>
        <w:divId w:val="953290302"/>
        <w:rPr>
          <w:rFonts w:eastAsia="Times New Roman"/>
          <w:lang w:val="en-GB"/>
        </w:rPr>
      </w:pPr>
      <w:bookmarkStart w:id="117" w:name="_Toc242103255"/>
      <w:r>
        <w:rPr>
          <w:rFonts w:eastAsia="Times New Roman"/>
          <w:lang w:val="en-GB"/>
        </w:rPr>
        <w:t>Part E — The European paradox</w:t>
      </w:r>
      <w:bookmarkEnd w:id="117"/>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1CFFD978" w14:textId="77777777">
        <w:trPr>
          <w:divId w:val="953290302"/>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6420262F" w14:textId="77777777" w:rsidR="009650FE" w:rsidRDefault="009650FE">
            <w:pPr>
              <w:pStyle w:val="Normaalweb"/>
              <w:spacing w:before="120"/>
              <w:jc w:val="center"/>
              <w:rPr>
                <w:sz w:val="21"/>
                <w:szCs w:val="21"/>
              </w:rPr>
            </w:pPr>
            <w:r>
              <w:rPr>
                <w:noProof/>
                <w:sz w:val="21"/>
                <w:szCs w:val="21"/>
              </w:rPr>
              <w:drawing>
                <wp:inline distT="0" distB="0" distL="0" distR="0" wp14:anchorId="0464F25A" wp14:editId="6EFCD560">
                  <wp:extent cx="3810000" cy="1333500"/>
                  <wp:effectExtent l="0" t="0" r="0" b="0"/>
                  <wp:docPr id="68" name="Afbeelding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3810000" cy="1333500"/>
                          </a:xfrm>
                          <a:prstGeom prst="rect">
                            <a:avLst/>
                          </a:prstGeom>
                          <a:noFill/>
                          <a:ln>
                            <a:noFill/>
                          </a:ln>
                        </pic:spPr>
                      </pic:pic>
                    </a:graphicData>
                  </a:graphic>
                </wp:inline>
              </w:drawing>
            </w:r>
          </w:p>
          <w:p w14:paraId="4065D096" w14:textId="77777777" w:rsidR="009650FE" w:rsidRDefault="009650FE">
            <w:pPr>
              <w:pStyle w:val="caption"/>
              <w:spacing w:after="120" w:afterAutospacing="0"/>
            </w:pPr>
            <w:r>
              <w:rPr>
                <w:rStyle w:val="Zwaar"/>
              </w:rPr>
              <w:t>Figure XXII.4 — The European paradox.</w:t>
            </w:r>
            <w:r>
              <w:t xml:space="preserve"> </w:t>
            </w:r>
            <w:r>
              <w:t>The EU coordinates social security, but does not harmonise it. As long as this remains the case, any solution will depend on national governments.</w:t>
            </w:r>
          </w:p>
        </w:tc>
      </w:tr>
    </w:tbl>
    <w:p w14:paraId="1E46954E" w14:textId="77777777" w:rsidR="009650FE" w:rsidRDefault="009650FE">
      <w:pPr>
        <w:pStyle w:val="Kop3"/>
        <w:divId w:val="953290302"/>
        <w:rPr>
          <w:rFonts w:eastAsia="Times New Roman"/>
          <w:lang w:val="en-GB"/>
        </w:rPr>
      </w:pPr>
      <w:bookmarkStart w:id="118" w:name="_Toc242103256"/>
      <w:r>
        <w:rPr>
          <w:rFonts w:eastAsia="Times New Roman"/>
          <w:lang w:val="en-GB"/>
        </w:rPr>
        <w:t>What this chapter sets out</w:t>
      </w:r>
      <w:bookmarkEnd w:id="118"/>
    </w:p>
    <w:p w14:paraId="14DA9A78" w14:textId="77777777" w:rsidR="009650FE" w:rsidRDefault="009650FE">
      <w:pPr>
        <w:pStyle w:val="Normaalweb"/>
        <w:divId w:val="953290302"/>
        <w:rPr>
          <w:lang w:val="en-GB"/>
        </w:rPr>
      </w:pPr>
      <w:r>
        <w:rPr>
          <w:lang w:val="en-GB"/>
        </w:rPr>
        <w:t>The European level has created the framework within which cross-border social security should be organised. It has laid down the rules, established the liaison networks and set up the coordinating bodies. And it has entrusted itself with the task of monitoring compliance with the rules.</w:t>
      </w:r>
    </w:p>
    <w:p w14:paraId="2164ABDD" w14:textId="77777777" w:rsidR="009650FE" w:rsidRDefault="009650FE">
      <w:pPr>
        <w:pStyle w:val="Normaalweb"/>
        <w:divId w:val="953290302"/>
        <w:rPr>
          <w:lang w:val="en-GB"/>
        </w:rPr>
      </w:pPr>
      <w:r>
        <w:rPr>
          <w:lang w:val="en-GB"/>
        </w:rPr>
        <w:t>However, the European level has failed to ensure compliance with the architecture. Most bodies can only monitor, mediate and report — without any enforcement powers. And the path to the courts is a long one.</w:t>
      </w:r>
    </w:p>
    <w:p w14:paraId="2E21EE97" w14:textId="77777777" w:rsidR="009650FE" w:rsidRDefault="009650FE">
      <w:pPr>
        <w:pStyle w:val="Normaalweb"/>
        <w:divId w:val="953290302"/>
        <w:rPr>
          <w:lang w:val="en-GB"/>
        </w:rPr>
      </w:pPr>
      <w:r>
        <w:rPr>
          <w:lang w:val="en-GB"/>
        </w:rPr>
        <w:t>Two things stand out. The petition in the European Parliament has been made public and is open to co-signatories. This changes the political status of the case: it is no longer a private complaint. Furthermore, the European Commission has been investigating several infringement complaints against Belgium and Flanders since 2022. This family’s complaint is one of a series that is already underway.</w:t>
      </w:r>
    </w:p>
    <w:p w14:paraId="66CADE43" w14:textId="77777777" w:rsidR="009650FE" w:rsidRDefault="009650FE">
      <w:pPr>
        <w:pStyle w:val="Normaalweb"/>
        <w:divId w:val="953290302"/>
        <w:rPr>
          <w:lang w:val="en-GB"/>
        </w:rPr>
      </w:pPr>
      <w:r>
        <w:rPr>
          <w:lang w:val="en-GB"/>
        </w:rPr>
        <w:t xml:space="preserve">What remains is a citizen who has knocked on every door in Europe and received the same message at every one: </w:t>
      </w:r>
      <w:r>
        <w:rPr>
          <w:rStyle w:val="Nadruk"/>
          <w:lang w:val="en-GB"/>
        </w:rPr>
        <w:t>we have no jurisdiction over your individual case.</w:t>
      </w:r>
      <w:r>
        <w:rPr>
          <w:lang w:val="en-GB"/>
        </w:rPr>
        <w:t xml:space="preserve"> </w:t>
      </w:r>
      <w:r>
        <w:rPr>
          <w:lang w:val="en-GB"/>
        </w:rPr>
        <w:t>But whilst some doors remained shut, two have been left ajar. For a case that went unheard for ten years, that is no small thing.</w:t>
      </w:r>
    </w:p>
    <w:tbl>
      <w:tblPr>
        <w:tblW w:w="5000" w:type="pct"/>
        <w:tblCellMar>
          <w:top w:w="15" w:type="dxa"/>
          <w:left w:w="15" w:type="dxa"/>
          <w:bottom w:w="15" w:type="dxa"/>
          <w:right w:w="15" w:type="dxa"/>
        </w:tblCellMar>
        <w:tblLook w:val="04A0" w:firstRow="1" w:lastRow="0" w:firstColumn="1" w:lastColumn="0" w:noHBand="0" w:noVBand="1"/>
      </w:tblPr>
      <w:tblGrid>
        <w:gridCol w:w="9019"/>
      </w:tblGrid>
      <w:tr w:rsidR="00000000" w14:paraId="17AE9918" w14:textId="77777777">
        <w:trPr>
          <w:divId w:val="953290302"/>
        </w:trPr>
        <w:tc>
          <w:tcPr>
            <w:tcW w:w="0" w:type="auto"/>
            <w:tcBorders>
              <w:top w:val="single" w:sz="6" w:space="0" w:color="D5D0C5"/>
              <w:left w:val="single" w:sz="36" w:space="0" w:color="4A3B6B"/>
              <w:bottom w:val="single" w:sz="6" w:space="0" w:color="D5D0C5"/>
              <w:right w:val="single" w:sz="6" w:space="0" w:color="D5D0C5"/>
            </w:tcBorders>
            <w:shd w:val="clear" w:color="auto" w:fill="EDE9F5"/>
            <w:tcMar>
              <w:top w:w="200" w:type="dxa"/>
              <w:left w:w="280" w:type="dxa"/>
              <w:bottom w:w="200" w:type="dxa"/>
              <w:right w:w="280" w:type="dxa"/>
            </w:tcMar>
            <w:hideMark/>
          </w:tcPr>
          <w:p w14:paraId="0FBD8E27" w14:textId="77777777" w:rsidR="009650FE" w:rsidRDefault="009650FE">
            <w:pPr>
              <w:spacing w:before="240" w:after="240"/>
              <w:rPr>
                <w:rFonts w:eastAsia="Times New Roman"/>
                <w:szCs w:val="22"/>
              </w:rPr>
            </w:pPr>
            <w:r>
              <w:rPr>
                <w:rStyle w:val="Zwaar"/>
                <w:rFonts w:eastAsia="Times New Roman"/>
                <w:szCs w:val="22"/>
              </w:rPr>
              <w:t>For anyone in the same situation:</w:t>
            </w:r>
            <w:r>
              <w:rPr>
                <w:rFonts w:eastAsia="Times New Roman"/>
                <w:szCs w:val="22"/>
              </w:rPr>
              <w:t xml:space="preserve"> the European process is a long one, but there are opportunities. </w:t>
            </w:r>
          </w:p>
          <w:p w14:paraId="76033187" w14:textId="77777777" w:rsidR="009650FE" w:rsidRDefault="009650FE">
            <w:pPr>
              <w:numPr>
                <w:ilvl w:val="0"/>
                <w:numId w:val="23"/>
              </w:numPr>
              <w:spacing w:before="100" w:beforeAutospacing="1" w:after="100" w:afterAutospacing="1"/>
              <w:rPr>
                <w:rFonts w:eastAsia="Times New Roman"/>
                <w:szCs w:val="22"/>
              </w:rPr>
            </w:pPr>
            <w:r>
              <w:rPr>
                <w:rStyle w:val="Nadruk"/>
                <w:rFonts w:eastAsia="Times New Roman"/>
                <w:szCs w:val="22"/>
              </w:rPr>
              <w:t>Submit a petition to the European Parliament (PETI).</w:t>
            </w:r>
            <w:r>
              <w:rPr>
                <w:rFonts w:eastAsia="Times New Roman"/>
                <w:szCs w:val="22"/>
              </w:rPr>
              <w:t xml:space="preserve"> Once it has been declared admissible and made public, the petition will appear on the petitions portal. You can ask other citizens to co-sign it. This changes its political status.</w:t>
            </w:r>
          </w:p>
          <w:p w14:paraId="738FED31" w14:textId="77777777" w:rsidR="009650FE" w:rsidRDefault="009650FE">
            <w:pPr>
              <w:numPr>
                <w:ilvl w:val="0"/>
                <w:numId w:val="23"/>
              </w:numPr>
              <w:spacing w:before="100" w:beforeAutospacing="1" w:after="100" w:afterAutospacing="1"/>
              <w:rPr>
                <w:rFonts w:eastAsia="Times New Roman"/>
                <w:szCs w:val="22"/>
              </w:rPr>
            </w:pPr>
            <w:r>
              <w:rPr>
                <w:rStyle w:val="Nadruk"/>
                <w:rFonts w:eastAsia="Times New Roman"/>
                <w:szCs w:val="22"/>
              </w:rPr>
              <w:t>Register your complaint with the Commission (DG EMPL).</w:t>
            </w:r>
            <w:r>
              <w:rPr>
                <w:rFonts w:eastAsia="Times New Roman"/>
                <w:szCs w:val="22"/>
              </w:rPr>
              <w:t xml:space="preserve"> Every complaint is registered. Multiple complaints on the same issue can be combined into a single case file.</w:t>
            </w:r>
          </w:p>
          <w:p w14:paraId="738B7964" w14:textId="77777777" w:rsidR="009650FE" w:rsidRDefault="009650FE">
            <w:pPr>
              <w:numPr>
                <w:ilvl w:val="0"/>
                <w:numId w:val="23"/>
              </w:numPr>
              <w:spacing w:before="100" w:beforeAutospacing="1" w:after="100" w:afterAutospacing="1"/>
              <w:rPr>
                <w:rFonts w:eastAsia="Times New Roman"/>
                <w:szCs w:val="22"/>
              </w:rPr>
            </w:pPr>
            <w:r>
              <w:rPr>
                <w:rStyle w:val="Nadruk"/>
                <w:rFonts w:eastAsia="Times New Roman"/>
                <w:szCs w:val="22"/>
              </w:rPr>
              <w:t>Be cautious when dealing with the ECHR.</w:t>
            </w:r>
            <w:r>
              <w:rPr>
                <w:rFonts w:eastAsia="Times New Roman"/>
                <w:szCs w:val="22"/>
              </w:rPr>
              <w:t xml:space="preserve"> The Court declares complaints inadmissible until national legal remedies have been exhausted. Pursue national legal proceedings first.</w:t>
            </w:r>
          </w:p>
          <w:p w14:paraId="48BCF6A0" w14:textId="77777777" w:rsidR="009650FE" w:rsidRDefault="009650FE">
            <w:pPr>
              <w:numPr>
                <w:ilvl w:val="0"/>
                <w:numId w:val="23"/>
              </w:numPr>
              <w:spacing w:before="100" w:beforeAutospacing="1" w:after="100" w:afterAutospacing="1"/>
              <w:rPr>
                <w:rFonts w:eastAsia="Times New Roman"/>
                <w:szCs w:val="22"/>
              </w:rPr>
            </w:pPr>
            <w:r>
              <w:rPr>
                <w:rStyle w:val="Nadruk"/>
                <w:rFonts w:eastAsia="Times New Roman"/>
                <w:szCs w:val="22"/>
              </w:rPr>
              <w:t>Do not use the ELA directly.</w:t>
            </w:r>
            <w:r>
              <w:rPr>
                <w:rFonts w:eastAsia="Times New Roman"/>
                <w:szCs w:val="22"/>
              </w:rPr>
              <w:t xml:space="preserve"> The ELA only mediates at the request of Member States. It goes via SOLVIT, provided that body is willing to refer the case — which did not happen in this instance.</w:t>
            </w:r>
          </w:p>
          <w:p w14:paraId="144E375D" w14:textId="77777777" w:rsidR="009650FE" w:rsidRDefault="009650FE">
            <w:pPr>
              <w:spacing w:after="0"/>
              <w:rPr>
                <w:rFonts w:eastAsia="Times New Roman"/>
                <w:szCs w:val="22"/>
              </w:rPr>
            </w:pPr>
            <w:r>
              <w:rPr>
                <w:rFonts w:eastAsia="Times New Roman"/>
                <w:szCs w:val="22"/>
              </w:rPr>
              <w:t xml:space="preserve">The European route is available. There are also two avenues open. It is up to the citizen to make use of them. </w:t>
            </w:r>
          </w:p>
        </w:tc>
      </w:tr>
    </w:tbl>
    <w:p w14:paraId="2033EAF0" w14:textId="77777777" w:rsidR="009650FE" w:rsidRDefault="009650FE">
      <w:pPr>
        <w:pStyle w:val="noot"/>
        <w:spacing w:after="120" w:afterAutospacing="0"/>
        <w:divId w:val="953290302"/>
        <w:rPr>
          <w:lang w:val="en-GB"/>
        </w:rPr>
      </w:pPr>
      <w:r>
        <w:rPr>
          <w:lang w:val="en-GB"/>
        </w:rPr>
        <w:t>All organisations in this chapter are legal entities. The legal basis for the various procedures is set out in the Treaties of the European Union (Articles 258 and 259 TFEU for the infringement procedure), the Rules of Procedure of the European Parliament (PETI procedure) and the Statute of the Council of Europe (ECHR). The information on the complaints procedures is based on Document B. This chapter does not constitute legal advice.</w:t>
      </w:r>
    </w:p>
    <w:p w14:paraId="58403AEF" w14:textId="77777777" w:rsidR="009650FE" w:rsidRDefault="009650FE">
      <w:pPr>
        <w:pStyle w:val="marker"/>
        <w:ind w:left="800" w:right="800"/>
        <w:divId w:val="953290302"/>
        <w:rPr>
          <w:lang w:val="en-GB"/>
        </w:rPr>
      </w:pPr>
      <w:r>
        <w:br w:type="page"/>
      </w:r>
    </w:p>
    <w:p w14:paraId="69E20CEA" w14:textId="77777777" w:rsidR="009650FE" w:rsidRDefault="009650FE">
      <w:pPr>
        <w:pStyle w:val="Kop1"/>
        <w:divId w:val="953290302"/>
        <w:rPr>
          <w:rFonts w:eastAsia="Times New Roman"/>
          <w:lang w:val="en-GB"/>
        </w:rPr>
      </w:pPr>
      <w:bookmarkStart w:id="119" w:name="_Toc242103257"/>
      <w:r>
        <w:rPr>
          <w:rFonts w:eastAsia="Times New Roman"/>
          <w:lang w:val="en-GB"/>
        </w:rPr>
        <w:t>VI. Those who are watching</w:t>
      </w:r>
      <w:bookmarkEnd w:id="119"/>
    </w:p>
    <w:p w14:paraId="20166BF1" w14:textId="77777777" w:rsidR="009650FE" w:rsidRDefault="009650FE">
      <w:pPr>
        <w:pStyle w:val="Kop2"/>
        <w:divId w:val="953290302"/>
        <w:rPr>
          <w:rFonts w:eastAsia="Times New Roman"/>
          <w:lang w:val="en-GB"/>
        </w:rPr>
      </w:pPr>
      <w:bookmarkStart w:id="120" w:name="_Toc242103258"/>
      <w:r>
        <w:rPr>
          <w:rFonts w:eastAsia="Times New Roman"/>
          <w:lang w:val="en-GB"/>
        </w:rPr>
        <w:t>The control and mediation layer</w:t>
      </w:r>
      <w:bookmarkEnd w:id="120"/>
    </w:p>
    <w:p w14:paraId="1737BB7E" w14:textId="77777777" w:rsidR="009650FE" w:rsidRDefault="009650FE">
      <w:pPr>
        <w:pStyle w:val="lead"/>
        <w:divId w:val="953290302"/>
        <w:rPr>
          <w:lang w:val="en-GB"/>
        </w:rPr>
      </w:pPr>
      <w:r>
        <w:rPr>
          <w:lang w:val="en-GB"/>
        </w:rPr>
        <w:t>When an implementing body refuses, there is a level of authority that is expected to intervene: the ombudsmen, the mediation services, the European networks. In this case, that level was called upon. It listened, investigated, and concluded at every level that it could not intervene. In the end, it turns out that the most robust mediation route — the European Labour Authority — is not even accessible.</w:t>
      </w:r>
    </w:p>
    <w:p w14:paraId="50209A6D" w14:textId="77777777" w:rsidR="009650FE" w:rsidRDefault="009650FE">
      <w:pPr>
        <w:pStyle w:val="Kop3"/>
        <w:divId w:val="953290302"/>
        <w:rPr>
          <w:rFonts w:eastAsia="Times New Roman"/>
          <w:lang w:val="en-GB"/>
        </w:rPr>
      </w:pPr>
      <w:bookmarkStart w:id="121" w:name="_Toc242103259"/>
      <w:r>
        <w:rPr>
          <w:rFonts w:eastAsia="Times New Roman"/>
          <w:lang w:val="en-GB"/>
        </w:rPr>
        <w:t>Part A — The four mediators</w:t>
      </w:r>
      <w:bookmarkEnd w:id="121"/>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1F1E8CDF" w14:textId="77777777">
        <w:trPr>
          <w:divId w:val="953290302"/>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0DD136A5" w14:textId="77777777" w:rsidR="009650FE" w:rsidRDefault="009650FE">
            <w:pPr>
              <w:pStyle w:val="Normaalweb"/>
              <w:spacing w:before="120"/>
              <w:jc w:val="center"/>
              <w:rPr>
                <w:sz w:val="21"/>
                <w:szCs w:val="21"/>
              </w:rPr>
            </w:pPr>
            <w:r>
              <w:rPr>
                <w:noProof/>
                <w:sz w:val="21"/>
                <w:szCs w:val="21"/>
              </w:rPr>
              <w:drawing>
                <wp:inline distT="0" distB="0" distL="0" distR="0" wp14:anchorId="60F8C0C1" wp14:editId="768BDF27">
                  <wp:extent cx="3810000" cy="1974850"/>
                  <wp:effectExtent l="0" t="0" r="0" b="6350"/>
                  <wp:docPr id="69" name="Afbeelding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3810000" cy="1974850"/>
                          </a:xfrm>
                          <a:prstGeom prst="rect">
                            <a:avLst/>
                          </a:prstGeom>
                          <a:noFill/>
                          <a:ln>
                            <a:noFill/>
                          </a:ln>
                        </pic:spPr>
                      </pic:pic>
                    </a:graphicData>
                  </a:graphic>
                </wp:inline>
              </w:drawing>
            </w:r>
          </w:p>
          <w:p w14:paraId="2E2A12C3" w14:textId="77777777" w:rsidR="009650FE" w:rsidRDefault="009650FE">
            <w:pPr>
              <w:pStyle w:val="caption"/>
              <w:spacing w:after="120" w:afterAutospacing="0"/>
            </w:pPr>
            <w:r>
              <w:rPr>
                <w:rStyle w:val="Zwaar"/>
              </w:rPr>
              <w:t>Figure XV.1 — Four mediators, four restrictions.</w:t>
            </w:r>
            <w:r>
              <w:t xml:space="preserve"> The Federal Ombudsman may intervene in ongoing cases, but cannot compel action. The National Ombudsman cannot intervene whilst an administrative appeal is pending. SOLVIT cannot compel action and withdraws from ongoing proceedings. The GIP can only provide information and refuses to report a system error.</w:t>
            </w:r>
          </w:p>
        </w:tc>
      </w:tr>
    </w:tbl>
    <w:p w14:paraId="720F0C2B" w14:textId="77777777" w:rsidR="009650FE" w:rsidRDefault="009650FE">
      <w:pPr>
        <w:pStyle w:val="Kop3"/>
        <w:divId w:val="953290302"/>
        <w:rPr>
          <w:rFonts w:eastAsia="Times New Roman"/>
          <w:lang w:val="en-GB"/>
        </w:rPr>
      </w:pPr>
      <w:bookmarkStart w:id="122" w:name="_Toc242103260"/>
      <w:r>
        <w:rPr>
          <w:rFonts w:eastAsia="Times New Roman"/>
          <w:lang w:val="en-GB"/>
        </w:rPr>
        <w:t>Part B — The difference between the two ombudsmen</w:t>
      </w:r>
      <w:bookmarkEnd w:id="122"/>
    </w:p>
    <w:p w14:paraId="4652C090" w14:textId="77777777" w:rsidR="009650FE" w:rsidRDefault="009650FE">
      <w:pPr>
        <w:pStyle w:val="Normaalweb"/>
        <w:divId w:val="953290302"/>
        <w:rPr>
          <w:lang w:val="en-GB"/>
        </w:rPr>
      </w:pPr>
      <w:r>
        <w:rPr>
          <w:lang w:val="en-GB"/>
        </w:rPr>
        <w:t>The Belgian and Dutch ombudsmen appear similar, but their legal frameworks are fundamentally different.</w:t>
      </w:r>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044A78C4" w14:textId="77777777">
        <w:trPr>
          <w:divId w:val="953290302"/>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6FB2205D" w14:textId="77777777" w:rsidR="009650FE" w:rsidRDefault="009650FE">
            <w:pPr>
              <w:pStyle w:val="Normaalweb"/>
              <w:spacing w:before="120"/>
              <w:jc w:val="center"/>
              <w:rPr>
                <w:sz w:val="21"/>
                <w:szCs w:val="21"/>
              </w:rPr>
            </w:pPr>
            <w:r>
              <w:rPr>
                <w:noProof/>
                <w:sz w:val="21"/>
                <w:szCs w:val="21"/>
              </w:rPr>
              <w:drawing>
                <wp:inline distT="0" distB="0" distL="0" distR="0" wp14:anchorId="395F48A3" wp14:editId="7FEE5DA7">
                  <wp:extent cx="3810000" cy="1314450"/>
                  <wp:effectExtent l="0" t="0" r="0" b="0"/>
                  <wp:docPr id="70" name="Afbeelding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3810000" cy="1314450"/>
                          </a:xfrm>
                          <a:prstGeom prst="rect">
                            <a:avLst/>
                          </a:prstGeom>
                          <a:noFill/>
                          <a:ln>
                            <a:noFill/>
                          </a:ln>
                        </pic:spPr>
                      </pic:pic>
                    </a:graphicData>
                  </a:graphic>
                </wp:inline>
              </w:drawing>
            </w:r>
          </w:p>
          <w:p w14:paraId="1F9077A3" w14:textId="77777777" w:rsidR="009650FE" w:rsidRDefault="009650FE">
            <w:pPr>
              <w:pStyle w:val="caption"/>
              <w:spacing w:after="120" w:afterAutospacing="0"/>
            </w:pPr>
            <w:r>
              <w:rPr>
                <w:rStyle w:val="Zwaar"/>
              </w:rPr>
              <w:t>Figure XV.2 — The two ombudsmen.</w:t>
            </w:r>
            <w:r>
              <w:t xml:space="preserve"> The Federal Ombudsman may intervene in ongoing administrative cases. The National Ombudsman is legally precluded from intervening whilst an administrative appeal is pending.</w:t>
            </w:r>
          </w:p>
        </w:tc>
      </w:tr>
    </w:tbl>
    <w:p w14:paraId="3807B4CC" w14:textId="77777777" w:rsidR="009650FE" w:rsidRDefault="009650FE">
      <w:pPr>
        <w:pStyle w:val="Kop3"/>
        <w:divId w:val="953290302"/>
        <w:rPr>
          <w:rFonts w:eastAsia="Times New Roman"/>
          <w:lang w:val="en-GB"/>
        </w:rPr>
      </w:pPr>
      <w:bookmarkStart w:id="123" w:name="_Toc242103261"/>
      <w:r>
        <w:rPr>
          <w:rFonts w:eastAsia="Times New Roman"/>
          <w:lang w:val="en-GB"/>
        </w:rPr>
        <w:t>Part C — The circular reference between the two SOLVIT centres</w:t>
      </w:r>
      <w:bookmarkEnd w:id="123"/>
    </w:p>
    <w:p w14:paraId="1AAFB56D" w14:textId="77777777" w:rsidR="009650FE" w:rsidRDefault="009650FE">
      <w:pPr>
        <w:pStyle w:val="Normaalweb"/>
        <w:divId w:val="953290302"/>
        <w:rPr>
          <w:lang w:val="en-GB"/>
        </w:rPr>
      </w:pPr>
      <w:r>
        <w:rPr>
          <w:lang w:val="en-GB"/>
        </w:rPr>
        <w:t>Within the European framework, SOLVIT is the body responsible for mediating when national public authorities breach EU law. Two SOLVIT centres are involved in this case: SOLVIT Netherlands and SOLVIT Belgium. What follows is a pattern of mutual referral — until both centres withdraw.</w:t>
      </w:r>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6FD43B90" w14:textId="77777777">
        <w:trPr>
          <w:divId w:val="953290302"/>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61CFDCBB" w14:textId="77777777" w:rsidR="009650FE" w:rsidRDefault="009650FE">
            <w:pPr>
              <w:pStyle w:val="Normaalweb"/>
              <w:spacing w:before="120"/>
              <w:jc w:val="center"/>
              <w:rPr>
                <w:sz w:val="21"/>
                <w:szCs w:val="21"/>
              </w:rPr>
            </w:pPr>
            <w:r>
              <w:rPr>
                <w:noProof/>
                <w:sz w:val="21"/>
                <w:szCs w:val="21"/>
              </w:rPr>
              <w:drawing>
                <wp:inline distT="0" distB="0" distL="0" distR="0" wp14:anchorId="1974DC48" wp14:editId="56972835">
                  <wp:extent cx="3810000" cy="1524000"/>
                  <wp:effectExtent l="0" t="0" r="0" b="0"/>
                  <wp:docPr id="71" name="Afbeelding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3810000" cy="1524000"/>
                          </a:xfrm>
                          <a:prstGeom prst="rect">
                            <a:avLst/>
                          </a:prstGeom>
                          <a:noFill/>
                          <a:ln>
                            <a:noFill/>
                          </a:ln>
                        </pic:spPr>
                      </pic:pic>
                    </a:graphicData>
                  </a:graphic>
                </wp:inline>
              </w:drawing>
            </w:r>
          </w:p>
          <w:p w14:paraId="7E53CC5E" w14:textId="77777777" w:rsidR="009650FE" w:rsidRDefault="009650FE">
            <w:pPr>
              <w:pStyle w:val="caption"/>
              <w:spacing w:after="120" w:afterAutospacing="0"/>
            </w:pPr>
            <w:r>
              <w:rPr>
                <w:rStyle w:val="Zwaar"/>
              </w:rPr>
              <w:t>Figure XV.3 — The circular referral between SOLVIT NL and SOLVIT BE.</w:t>
            </w:r>
            <w:r>
              <w:t xml:space="preserve"> </w:t>
            </w:r>
            <w:r>
              <w:t>Both centres refer cases to one another. And when the patient asks to be referred to the European Labour Authority, both refuse: SOLVIT NL because no infringement has been established, and SOLVIT BE because referral does not fall within its remit.</w:t>
            </w:r>
          </w:p>
        </w:tc>
      </w:tr>
    </w:tbl>
    <w:p w14:paraId="3BFE089C" w14:textId="77777777" w:rsidR="009650FE" w:rsidRDefault="009650FE">
      <w:pPr>
        <w:pStyle w:val="Kop3"/>
        <w:divId w:val="953290302"/>
        <w:rPr>
          <w:rFonts w:eastAsia="Times New Roman"/>
          <w:lang w:val="en-GB"/>
        </w:rPr>
      </w:pPr>
      <w:bookmarkStart w:id="124" w:name="_Toc242103262"/>
      <w:r>
        <w:rPr>
          <w:rFonts w:eastAsia="Times New Roman"/>
          <w:lang w:val="en-GB"/>
        </w:rPr>
        <w:t>Part D — The ELA: the road that won’t open</w:t>
      </w:r>
      <w:bookmarkEnd w:id="124"/>
    </w:p>
    <w:p w14:paraId="1B9D27E9" w14:textId="77777777" w:rsidR="009650FE" w:rsidRDefault="009650FE">
      <w:pPr>
        <w:pStyle w:val="Normaalweb"/>
        <w:divId w:val="953290302"/>
        <w:rPr>
          <w:lang w:val="en-GB"/>
        </w:rPr>
      </w:pPr>
      <w:r>
        <w:rPr>
          <w:lang w:val="en-GB"/>
        </w:rPr>
        <w:t>If SOLVIT is unable to provide a solution, there remains one European body that was set up specifically to deal with cross-border disputes: the European Labour Authority (ELA). The ELA was established to promote fair labour mobility and to facilitate mediation between Member States in cross-border social security disputes.</w:t>
      </w:r>
    </w:p>
    <w:p w14:paraId="7710C3F2" w14:textId="77777777" w:rsidR="009650FE" w:rsidRDefault="009650FE">
      <w:pPr>
        <w:pStyle w:val="Normaalweb"/>
        <w:divId w:val="953290302"/>
        <w:rPr>
          <w:lang w:val="en-GB"/>
        </w:rPr>
      </w:pPr>
      <w:r>
        <w:rPr>
          <w:lang w:val="en-GB"/>
        </w:rPr>
        <w:t>In theory, the ELA should be the body that steps in when national governments cannot reach an agreement. In practice, however, the ELA appears to be inaccessible to individual citizens.</w:t>
      </w:r>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1B9FA317" w14:textId="77777777">
        <w:trPr>
          <w:divId w:val="953290302"/>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593A24DB" w14:textId="77777777" w:rsidR="009650FE" w:rsidRDefault="009650FE">
            <w:pPr>
              <w:pStyle w:val="Normaalweb"/>
              <w:spacing w:before="120"/>
              <w:jc w:val="center"/>
              <w:rPr>
                <w:sz w:val="21"/>
                <w:szCs w:val="21"/>
              </w:rPr>
            </w:pPr>
            <w:r>
              <w:rPr>
                <w:noProof/>
                <w:sz w:val="21"/>
                <w:szCs w:val="21"/>
              </w:rPr>
              <w:drawing>
                <wp:inline distT="0" distB="0" distL="0" distR="0" wp14:anchorId="585C6705" wp14:editId="12976F57">
                  <wp:extent cx="3810000" cy="1384300"/>
                  <wp:effectExtent l="0" t="0" r="0" b="6350"/>
                  <wp:docPr id="72" name="Afbeelding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3810000" cy="1384300"/>
                          </a:xfrm>
                          <a:prstGeom prst="rect">
                            <a:avLst/>
                          </a:prstGeom>
                          <a:noFill/>
                          <a:ln>
                            <a:noFill/>
                          </a:ln>
                        </pic:spPr>
                      </pic:pic>
                    </a:graphicData>
                  </a:graphic>
                </wp:inline>
              </w:drawing>
            </w:r>
          </w:p>
          <w:p w14:paraId="26A4CED6" w14:textId="77777777" w:rsidR="009650FE" w:rsidRDefault="009650FE">
            <w:pPr>
              <w:pStyle w:val="caption"/>
              <w:spacing w:after="120" w:afterAutospacing="0"/>
            </w:pPr>
            <w:r>
              <w:rPr>
                <w:rStyle w:val="Zwaar"/>
              </w:rPr>
              <w:t>Figure XV.4 — The ELA as a closed door.</w:t>
            </w:r>
            <w:r>
              <w:t xml:space="preserve"> The ELA only acts as a mediator at the request of Member States. Direct requests from citizens are declared inadmissible. And the referral points that are supposed to pass on these requests (SOLVIT NL and BE) refuse to do so. The body set up specifically for this sort of situation remains out of reach for those who need it most.</w:t>
            </w:r>
          </w:p>
        </w:tc>
      </w:tr>
    </w:tbl>
    <w:p w14:paraId="5640576F" w14:textId="77777777" w:rsidR="009650FE" w:rsidRDefault="009650FE">
      <w:pPr>
        <w:pStyle w:val="Kop3"/>
        <w:divId w:val="953290302"/>
        <w:rPr>
          <w:rFonts w:eastAsia="Times New Roman"/>
          <w:lang w:val="en-GB"/>
        </w:rPr>
      </w:pPr>
      <w:bookmarkStart w:id="125" w:name="_Toc242103263"/>
      <w:r>
        <w:rPr>
          <w:rFonts w:eastAsia="Times New Roman"/>
          <w:lang w:val="en-GB"/>
        </w:rPr>
        <w:t>Part E — The pattern</w:t>
      </w:r>
      <w:bookmarkEnd w:id="125"/>
    </w:p>
    <w:p w14:paraId="7D67325C" w14:textId="77777777" w:rsidR="009650FE" w:rsidRDefault="009650FE">
      <w:pPr>
        <w:pStyle w:val="Normaalweb"/>
        <w:divId w:val="953290302"/>
        <w:rPr>
          <w:lang w:val="en-GB"/>
        </w:rPr>
      </w:pPr>
      <w:r>
        <w:rPr>
          <w:lang w:val="en-GB"/>
        </w:rPr>
        <w:t xml:space="preserve">What all mediators have in common is one fundamental characteristic: they can investigate, make recommendations and report, but </w:t>
      </w:r>
      <w:r>
        <w:rPr>
          <w:rStyle w:val="Zwaar"/>
          <w:lang w:val="en-GB"/>
        </w:rPr>
        <w:t>they</w:t>
      </w:r>
      <w:r>
        <w:rPr>
          <w:lang w:val="en-GB"/>
        </w:rPr>
        <w:t xml:space="preserve"> cannot </w:t>
      </w:r>
      <w:r>
        <w:rPr>
          <w:rStyle w:val="Zwaar"/>
          <w:lang w:val="en-GB"/>
        </w:rPr>
        <w:t>compel</w:t>
      </w:r>
      <w:r>
        <w:rPr>
          <w:lang w:val="en-GB"/>
        </w:rPr>
        <w:t>. No mediator can oblige an implementing body to review a decision, award a benefit or process a registration.</w:t>
      </w:r>
    </w:p>
    <w:p w14:paraId="7B03E8FB" w14:textId="77777777" w:rsidR="009650FE" w:rsidRDefault="009650FE">
      <w:pPr>
        <w:pStyle w:val="Normaalweb"/>
        <w:divId w:val="953290302"/>
        <w:rPr>
          <w:lang w:val="en-GB"/>
        </w:rPr>
      </w:pPr>
      <w:r>
        <w:rPr>
          <w:lang w:val="en-GB"/>
        </w:rPr>
        <w:t xml:space="preserve">There is a second characteristic to consider: each mediator has their own threshold for </w:t>
      </w:r>
      <w:r>
        <w:rPr>
          <w:rStyle w:val="Zwaar"/>
          <w:lang w:val="en-GB"/>
        </w:rPr>
        <w:t>when</w:t>
      </w:r>
      <w:r>
        <w:rPr>
          <w:lang w:val="en-GB"/>
        </w:rPr>
        <w:t xml:space="preserve"> they may intervene. The Federal Ombudsman may do so in ongoing cases. The National Ombudsman may not. SOLVIT may not do so in ongoing legal proceedings. The GIP may never do so. The ELA may only do so at the request of Member States. The ECHR may only do so after all domestic remedies have been exhausted.</w:t>
      </w:r>
    </w:p>
    <w:p w14:paraId="600DE53C" w14:textId="77777777" w:rsidR="009650FE" w:rsidRDefault="009650FE">
      <w:pPr>
        <w:pStyle w:val="Normaalweb"/>
        <w:divId w:val="953290302"/>
        <w:rPr>
          <w:lang w:val="en-GB"/>
        </w:rPr>
      </w:pPr>
      <w:r>
        <w:rPr>
          <w:lang w:val="en-GB"/>
        </w:rPr>
        <w:t>And this dossier shows that the most robust mediation route — the European Labour Authority — is not only limited, but completely closed off. The ELA was designed for situations such as this, but is not accessible to individual citizens. And the only intermediaries that could grant access (SOLVIT NL and BE) refuse to do so.</w:t>
      </w:r>
    </w:p>
    <w:p w14:paraId="102018F9" w14:textId="77777777" w:rsidR="009650FE" w:rsidRDefault="009650FE">
      <w:pPr>
        <w:pStyle w:val="Normaalweb"/>
        <w:divId w:val="953290302"/>
        <w:rPr>
          <w:lang w:val="en-GB"/>
        </w:rPr>
      </w:pPr>
      <w:r>
        <w:rPr>
          <w:lang w:val="en-GB"/>
        </w:rPr>
        <w:t>The bottom line is that the mediation process acts as a series of filters. Every complaint is recorded, investigated and referred to another body which is also unable to take action. And when the final body is reached, it too turns out to have closed its doors.</w:t>
      </w:r>
    </w:p>
    <w:tbl>
      <w:tblPr>
        <w:tblW w:w="5000" w:type="pct"/>
        <w:tblCellMar>
          <w:top w:w="15" w:type="dxa"/>
          <w:left w:w="15" w:type="dxa"/>
          <w:bottom w:w="15" w:type="dxa"/>
          <w:right w:w="15" w:type="dxa"/>
        </w:tblCellMar>
        <w:tblLook w:val="04A0" w:firstRow="1" w:lastRow="0" w:firstColumn="1" w:lastColumn="0" w:noHBand="0" w:noVBand="1"/>
      </w:tblPr>
      <w:tblGrid>
        <w:gridCol w:w="9019"/>
      </w:tblGrid>
      <w:tr w:rsidR="00000000" w14:paraId="67147C7A" w14:textId="77777777">
        <w:trPr>
          <w:divId w:val="953290302"/>
        </w:trPr>
        <w:tc>
          <w:tcPr>
            <w:tcW w:w="0" w:type="auto"/>
            <w:tcBorders>
              <w:top w:val="single" w:sz="6" w:space="0" w:color="D5D0C5"/>
              <w:left w:val="single" w:sz="36" w:space="0" w:color="4A3B6B"/>
              <w:bottom w:val="single" w:sz="6" w:space="0" w:color="D5D0C5"/>
              <w:right w:val="single" w:sz="6" w:space="0" w:color="D5D0C5"/>
            </w:tcBorders>
            <w:shd w:val="clear" w:color="auto" w:fill="EDE9F5"/>
            <w:tcMar>
              <w:top w:w="200" w:type="dxa"/>
              <w:left w:w="280" w:type="dxa"/>
              <w:bottom w:w="200" w:type="dxa"/>
              <w:right w:w="280" w:type="dxa"/>
            </w:tcMar>
            <w:hideMark/>
          </w:tcPr>
          <w:p w14:paraId="3A6ACAB2" w14:textId="77777777" w:rsidR="009650FE" w:rsidRDefault="009650FE">
            <w:pPr>
              <w:spacing w:before="240" w:after="240"/>
              <w:rPr>
                <w:rFonts w:eastAsia="Times New Roman"/>
                <w:szCs w:val="22"/>
              </w:rPr>
            </w:pPr>
            <w:r>
              <w:rPr>
                <w:rStyle w:val="Zwaar"/>
                <w:rFonts w:eastAsia="Times New Roman"/>
                <w:szCs w:val="22"/>
              </w:rPr>
              <w:t>For anyone in the same situation:</w:t>
            </w:r>
            <w:r>
              <w:rPr>
                <w:rFonts w:eastAsia="Times New Roman"/>
                <w:szCs w:val="22"/>
              </w:rPr>
              <w:t xml:space="preserve"> </w:t>
            </w:r>
          </w:p>
          <w:p w14:paraId="2DEED805" w14:textId="77777777" w:rsidR="009650FE" w:rsidRDefault="009650FE">
            <w:pPr>
              <w:numPr>
                <w:ilvl w:val="0"/>
                <w:numId w:val="24"/>
              </w:numPr>
              <w:spacing w:before="100" w:beforeAutospacing="1" w:after="100" w:afterAutospacing="1"/>
              <w:rPr>
                <w:rFonts w:eastAsia="Times New Roman"/>
                <w:szCs w:val="22"/>
              </w:rPr>
            </w:pPr>
            <w:r>
              <w:rPr>
                <w:rStyle w:val="Nadruk"/>
                <w:rFonts w:eastAsia="Times New Roman"/>
                <w:szCs w:val="22"/>
              </w:rPr>
              <w:t>The Federal Ombudsman (BE)</w:t>
            </w:r>
            <w:r>
              <w:rPr>
                <w:rFonts w:eastAsia="Times New Roman"/>
                <w:szCs w:val="22"/>
              </w:rPr>
              <w:t xml:space="preserve"> is the only mediator who can intervene in ongoing cases without the need for legal proceedings first. Submit a complaint there if you get stuck dealing with a federal government department.</w:t>
            </w:r>
          </w:p>
          <w:p w14:paraId="3EE20AFD" w14:textId="77777777" w:rsidR="009650FE" w:rsidRDefault="009650FE">
            <w:pPr>
              <w:numPr>
                <w:ilvl w:val="0"/>
                <w:numId w:val="24"/>
              </w:numPr>
              <w:spacing w:before="100" w:beforeAutospacing="1" w:after="100" w:afterAutospacing="1"/>
              <w:rPr>
                <w:rFonts w:eastAsia="Times New Roman"/>
                <w:szCs w:val="22"/>
              </w:rPr>
            </w:pPr>
            <w:r>
              <w:rPr>
                <w:rStyle w:val="Nadruk"/>
                <w:rFonts w:eastAsia="Times New Roman"/>
                <w:szCs w:val="22"/>
              </w:rPr>
              <w:t>The National Ombudsman (NL)</w:t>
            </w:r>
            <w:r>
              <w:rPr>
                <w:rFonts w:eastAsia="Times New Roman"/>
                <w:szCs w:val="22"/>
              </w:rPr>
              <w:t xml:space="preserve"> can only take action once all administrative procedures have been completed. So do not start with the Ombudsman, but with the relevant authority itself and then take the matter to court.</w:t>
            </w:r>
          </w:p>
          <w:p w14:paraId="00CC5738" w14:textId="77777777" w:rsidR="009650FE" w:rsidRDefault="009650FE">
            <w:pPr>
              <w:numPr>
                <w:ilvl w:val="0"/>
                <w:numId w:val="24"/>
              </w:numPr>
              <w:spacing w:before="100" w:beforeAutospacing="1" w:after="100" w:afterAutospacing="1"/>
              <w:rPr>
                <w:rFonts w:eastAsia="Times New Roman"/>
                <w:szCs w:val="22"/>
              </w:rPr>
            </w:pPr>
            <w:r>
              <w:rPr>
                <w:rStyle w:val="Nadruk"/>
                <w:rFonts w:eastAsia="Times New Roman"/>
                <w:szCs w:val="22"/>
              </w:rPr>
              <w:t>SOLVIT</w:t>
            </w:r>
            <w:r>
              <w:rPr>
                <w:rFonts w:eastAsia="Times New Roman"/>
                <w:szCs w:val="22"/>
              </w:rPr>
              <w:t xml:space="preserve"> is useful for obtaining information and for documenting a systemic problem. In this case, however, both centres refused to refer the matter to the ELA. So do not expect a breakthrough through this channel.</w:t>
            </w:r>
          </w:p>
          <w:p w14:paraId="3A3AA183" w14:textId="77777777" w:rsidR="009650FE" w:rsidRDefault="009650FE">
            <w:pPr>
              <w:numPr>
                <w:ilvl w:val="0"/>
                <w:numId w:val="24"/>
              </w:numPr>
              <w:spacing w:before="100" w:beforeAutospacing="1" w:after="100" w:afterAutospacing="1"/>
              <w:rPr>
                <w:rFonts w:eastAsia="Times New Roman"/>
                <w:szCs w:val="22"/>
              </w:rPr>
            </w:pPr>
            <w:r>
              <w:rPr>
                <w:rStyle w:val="Nadruk"/>
                <w:rFonts w:eastAsia="Times New Roman"/>
                <w:szCs w:val="22"/>
              </w:rPr>
              <w:t>The ELA</w:t>
            </w:r>
            <w:r>
              <w:rPr>
                <w:rFonts w:eastAsia="Times New Roman"/>
                <w:szCs w:val="22"/>
              </w:rPr>
              <w:t xml:space="preserve"> is not directly accessible to members of the public. Access is only possible via SOLVIT centres. And in this case, they have consistently refused to do so.</w:t>
            </w:r>
          </w:p>
          <w:p w14:paraId="7652F1D5" w14:textId="77777777" w:rsidR="009650FE" w:rsidRDefault="009650FE">
            <w:pPr>
              <w:spacing w:after="0"/>
              <w:rPr>
                <w:rFonts w:eastAsia="Times New Roman"/>
                <w:szCs w:val="22"/>
              </w:rPr>
            </w:pPr>
            <w:r>
              <w:rPr>
                <w:rFonts w:eastAsia="Times New Roman"/>
                <w:szCs w:val="22"/>
              </w:rPr>
              <w:t xml:space="preserve">The mediation process complements the legal route; it is not a substitute for it. And sometimes even this complementary route is closed off. </w:t>
            </w:r>
          </w:p>
        </w:tc>
      </w:tr>
    </w:tbl>
    <w:p w14:paraId="17F83727" w14:textId="77777777" w:rsidR="009650FE" w:rsidRDefault="009650FE">
      <w:pPr>
        <w:pStyle w:val="noot"/>
        <w:spacing w:after="120" w:afterAutospacing="0"/>
        <w:divId w:val="953290302"/>
        <w:rPr>
          <w:lang w:val="en-GB"/>
        </w:rPr>
      </w:pPr>
      <w:r>
        <w:rPr>
          <w:lang w:val="en-GB"/>
        </w:rPr>
        <w:t>All organisations mentioned in this chapter are legal entities. Natural persons are referred to by their job title. The facts are based on Document B. The legal frameworks are based on official communications from the relevant authorities. This chapter does not constitute legal advice.</w:t>
      </w:r>
    </w:p>
    <w:p w14:paraId="300D7A68" w14:textId="77777777" w:rsidR="009650FE" w:rsidRDefault="009650FE">
      <w:pPr>
        <w:pStyle w:val="marker"/>
        <w:ind w:left="800" w:right="800"/>
        <w:divId w:val="953290302"/>
        <w:rPr>
          <w:lang w:val="en-GB"/>
        </w:rPr>
      </w:pPr>
      <w:r>
        <w:br w:type="page"/>
      </w:r>
    </w:p>
    <w:p w14:paraId="505DB2F2" w14:textId="77777777" w:rsidR="009650FE" w:rsidRDefault="009650FE">
      <w:pPr>
        <w:pStyle w:val="Kop2"/>
        <w:divId w:val="953290302"/>
        <w:rPr>
          <w:rFonts w:eastAsia="Times New Roman"/>
          <w:lang w:val="en-GB"/>
        </w:rPr>
      </w:pPr>
      <w:bookmarkStart w:id="126" w:name="_Toc242103264"/>
      <w:r>
        <w:rPr>
          <w:rFonts w:eastAsia="Times New Roman"/>
          <w:lang w:val="en-GB"/>
        </w:rPr>
        <w:t>The courts</w:t>
      </w:r>
      <w:bookmarkEnd w:id="126"/>
    </w:p>
    <w:p w14:paraId="35A6C2BC" w14:textId="77777777" w:rsidR="009650FE" w:rsidRDefault="009650FE">
      <w:pPr>
        <w:pStyle w:val="lead"/>
        <w:divId w:val="953290302"/>
        <w:rPr>
          <w:lang w:val="en-GB"/>
        </w:rPr>
      </w:pPr>
      <w:r>
        <w:rPr>
          <w:lang w:val="en-GB"/>
        </w:rPr>
        <w:t>When no other body intervenes, the courts are the last resort. In theory, this is where a decision can be enforced. In practice, however, access to the courts themselves proves to be a barrier — and that barrier is precisely the problem the courts were meant to resolve.</w:t>
      </w:r>
    </w:p>
    <w:p w14:paraId="59897173" w14:textId="77777777" w:rsidR="009650FE" w:rsidRDefault="009650FE">
      <w:pPr>
        <w:pStyle w:val="Kop3"/>
        <w:divId w:val="953290302"/>
        <w:rPr>
          <w:rFonts w:eastAsia="Times New Roman"/>
          <w:lang w:val="en-GB"/>
        </w:rPr>
      </w:pPr>
      <w:bookmarkStart w:id="127" w:name="_Toc242103265"/>
      <w:r>
        <w:rPr>
          <w:rFonts w:eastAsia="Times New Roman"/>
          <w:lang w:val="en-GB"/>
        </w:rPr>
        <w:t>Part A — The two legal remedies</w:t>
      </w:r>
      <w:bookmarkEnd w:id="127"/>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3C63AC8B" w14:textId="77777777">
        <w:trPr>
          <w:divId w:val="953290302"/>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08D229BD" w14:textId="77777777" w:rsidR="009650FE" w:rsidRDefault="009650FE">
            <w:pPr>
              <w:pStyle w:val="Normaalweb"/>
              <w:spacing w:before="120"/>
              <w:jc w:val="center"/>
              <w:rPr>
                <w:sz w:val="21"/>
                <w:szCs w:val="21"/>
              </w:rPr>
            </w:pPr>
            <w:r>
              <w:rPr>
                <w:noProof/>
                <w:sz w:val="21"/>
                <w:szCs w:val="21"/>
              </w:rPr>
              <w:drawing>
                <wp:inline distT="0" distB="0" distL="0" distR="0" wp14:anchorId="67195F0B" wp14:editId="4FEB57E3">
                  <wp:extent cx="3810000" cy="1644650"/>
                  <wp:effectExtent l="0" t="0" r="0" b="0"/>
                  <wp:docPr id="73" name="Afbeelding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3810000" cy="1644650"/>
                          </a:xfrm>
                          <a:prstGeom prst="rect">
                            <a:avLst/>
                          </a:prstGeom>
                          <a:noFill/>
                          <a:ln>
                            <a:noFill/>
                          </a:ln>
                        </pic:spPr>
                      </pic:pic>
                    </a:graphicData>
                  </a:graphic>
                </wp:inline>
              </w:drawing>
            </w:r>
          </w:p>
          <w:p w14:paraId="0197ECCA" w14:textId="77777777" w:rsidR="009650FE" w:rsidRDefault="009650FE">
            <w:pPr>
              <w:pStyle w:val="caption"/>
              <w:spacing w:after="120" w:afterAutospacing="0"/>
            </w:pPr>
            <w:r>
              <w:rPr>
                <w:rStyle w:val="Zwaar"/>
              </w:rPr>
              <w:t>Figure XVI.1 — The two legal routes.</w:t>
            </w:r>
            <w:r>
              <w:t xml:space="preserve"> I</w:t>
            </w:r>
            <w:r>
              <w:t>n Belgium, the labour court can be accessed by means of a simple application, without any court registration fee or litigation costs for the citizen. The only costs are the lawyer’s fees. In the Netherlands, the process begins with a notice of objection lodged with the authority itself, followed by an appeal to the administrative court, which involves court fees and lawyers’ fees.</w:t>
            </w:r>
          </w:p>
        </w:tc>
      </w:tr>
    </w:tbl>
    <w:p w14:paraId="56DF1BF3" w14:textId="77777777" w:rsidR="009650FE" w:rsidRDefault="009650FE">
      <w:pPr>
        <w:pStyle w:val="Kop3"/>
        <w:divId w:val="953290302"/>
        <w:rPr>
          <w:rFonts w:eastAsia="Times New Roman"/>
          <w:lang w:val="en-GB"/>
        </w:rPr>
      </w:pPr>
      <w:bookmarkStart w:id="128" w:name="_Toc242103266"/>
      <w:r>
        <w:rPr>
          <w:rFonts w:eastAsia="Times New Roman"/>
          <w:lang w:val="en-GB"/>
        </w:rPr>
        <w:t>Part B — The pro bono threshold</w:t>
      </w:r>
      <w:bookmarkEnd w:id="128"/>
    </w:p>
    <w:p w14:paraId="48401B35" w14:textId="77777777" w:rsidR="009650FE" w:rsidRDefault="009650FE">
      <w:pPr>
        <w:pStyle w:val="Normaalweb"/>
        <w:divId w:val="953290302"/>
        <w:rPr>
          <w:lang w:val="en-GB"/>
        </w:rPr>
      </w:pPr>
      <w:r>
        <w:rPr>
          <w:lang w:val="en-GB"/>
        </w:rPr>
        <w:t>Both countries have a system of subsidised legal aid: ‘pro deo’ in Belgium, and ‘toevoeging’ in the Netherlands. Anyone whose income falls below a certain threshold is assigned a solicitor, the costs of whom are (largely) borne by the state. However, the eligibility criteria pose a problem for a cross-border worker facing a medical emergency.</w:t>
      </w:r>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5C48E115" w14:textId="77777777">
        <w:trPr>
          <w:divId w:val="953290302"/>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5E60A99A" w14:textId="77777777" w:rsidR="009650FE" w:rsidRDefault="009650FE">
            <w:pPr>
              <w:pStyle w:val="Normaalweb"/>
              <w:spacing w:before="120"/>
              <w:jc w:val="center"/>
              <w:rPr>
                <w:sz w:val="21"/>
                <w:szCs w:val="21"/>
              </w:rPr>
            </w:pPr>
            <w:r>
              <w:rPr>
                <w:noProof/>
                <w:sz w:val="21"/>
                <w:szCs w:val="21"/>
              </w:rPr>
              <w:drawing>
                <wp:inline distT="0" distB="0" distL="0" distR="0" wp14:anchorId="292AF172" wp14:editId="0C5C6715">
                  <wp:extent cx="3810000" cy="1593850"/>
                  <wp:effectExtent l="0" t="0" r="0" b="6350"/>
                  <wp:docPr id="74" name="Afbeelding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3810000" cy="1593850"/>
                          </a:xfrm>
                          <a:prstGeom prst="rect">
                            <a:avLst/>
                          </a:prstGeom>
                          <a:noFill/>
                          <a:ln>
                            <a:noFill/>
                          </a:ln>
                        </pic:spPr>
                      </pic:pic>
                    </a:graphicData>
                  </a:graphic>
                </wp:inline>
              </w:drawing>
            </w:r>
          </w:p>
          <w:p w14:paraId="3D57619F" w14:textId="77777777" w:rsidR="009650FE" w:rsidRDefault="009650FE">
            <w:pPr>
              <w:pStyle w:val="caption"/>
              <w:spacing w:after="120" w:afterAutospacing="0"/>
            </w:pPr>
            <w:r>
              <w:rPr>
                <w:rStyle w:val="Zwaar"/>
              </w:rPr>
              <w:t>Figure XVI.2 — The pro bono thresholds.</w:t>
            </w:r>
            <w:r>
              <w:t xml:space="preserve"> In Belgium, the assessment is based on the net monthly income from two years earlier (the reference year). In the Netherlands, the assessment is based on the gross annual income from two years earlier. In both countries, actual income has fallen to zero during the medical crisis, but the reference-year income is still based on the period before the crisis. On paper, the individual earns too much, whilst in reality they have nothing.</w:t>
            </w:r>
          </w:p>
        </w:tc>
      </w:tr>
    </w:tbl>
    <w:p w14:paraId="72EFD80A" w14:textId="77777777" w:rsidR="009650FE" w:rsidRDefault="009650FE">
      <w:pPr>
        <w:pStyle w:val="Kop3"/>
        <w:divId w:val="953290302"/>
        <w:rPr>
          <w:rFonts w:eastAsia="Times New Roman"/>
          <w:lang w:val="en-GB"/>
        </w:rPr>
      </w:pPr>
      <w:bookmarkStart w:id="129" w:name="_Toc242103267"/>
      <w:r>
        <w:rPr>
          <w:rFonts w:eastAsia="Times New Roman"/>
          <w:lang w:val="en-GB"/>
        </w:rPr>
        <w:t>Part C — The irony of the reference year</w:t>
      </w:r>
      <w:bookmarkEnd w:id="129"/>
    </w:p>
    <w:p w14:paraId="763FE9AC" w14:textId="77777777" w:rsidR="009650FE" w:rsidRDefault="009650FE">
      <w:pPr>
        <w:pStyle w:val="Normaalweb"/>
        <w:divId w:val="953290302"/>
        <w:rPr>
          <w:lang w:val="en-GB"/>
        </w:rPr>
      </w:pPr>
      <w:r>
        <w:rPr>
          <w:lang w:val="en-GB"/>
        </w:rPr>
        <w:t xml:space="preserve">The crux of the problem is the </w:t>
      </w:r>
      <w:r>
        <w:rPr>
          <w:rStyle w:val="Zwaar"/>
          <w:lang w:val="en-GB"/>
        </w:rPr>
        <w:t>reference year</w:t>
      </w:r>
      <w:r>
        <w:rPr>
          <w:lang w:val="en-GB"/>
        </w:rPr>
        <w:t>. Both countries assess entitlement to subsidised legal aid on the basis of income from two years earlier. This is intended to prevent fraud: anyone who rapidly reduces their income in order to qualify is barred from the scheme. However, the system does not take into account a sudden, involuntary drop in income due to illness.</w:t>
      </w:r>
    </w:p>
    <w:p w14:paraId="0CF45703" w14:textId="77777777" w:rsidR="009650FE" w:rsidRDefault="009650FE">
      <w:pPr>
        <w:pStyle w:val="Normaalweb"/>
        <w:divId w:val="953290302"/>
        <w:rPr>
          <w:lang w:val="en-GB"/>
        </w:rPr>
      </w:pPr>
      <w:r>
        <w:rPr>
          <w:lang w:val="en-GB"/>
        </w:rPr>
        <w:t>In the user’s file:</w:t>
      </w:r>
    </w:p>
    <w:p w14:paraId="14BAB462" w14:textId="77777777" w:rsidR="009650FE" w:rsidRDefault="009650FE">
      <w:pPr>
        <w:numPr>
          <w:ilvl w:val="0"/>
          <w:numId w:val="25"/>
        </w:numPr>
        <w:spacing w:before="100" w:beforeAutospacing="1" w:after="100" w:afterAutospacing="1"/>
        <w:divId w:val="953290302"/>
        <w:rPr>
          <w:rFonts w:eastAsia="Times New Roman"/>
          <w:lang w:val="en-GB"/>
        </w:rPr>
      </w:pPr>
      <w:r>
        <w:rPr>
          <w:rFonts w:eastAsia="Times New Roman"/>
          <w:lang w:val="en-GB"/>
        </w:rPr>
        <w:t>Two years ago, their income was still normal — the father was working, and the medical crisis hadn’t started yet.</w:t>
      </w:r>
    </w:p>
    <w:p w14:paraId="59A6C01C" w14:textId="77777777" w:rsidR="009650FE" w:rsidRDefault="009650FE">
      <w:pPr>
        <w:numPr>
          <w:ilvl w:val="0"/>
          <w:numId w:val="25"/>
        </w:numPr>
        <w:spacing w:before="100" w:beforeAutospacing="1" w:after="100" w:afterAutospacing="1"/>
        <w:divId w:val="953290302"/>
        <w:rPr>
          <w:rFonts w:eastAsia="Times New Roman"/>
          <w:lang w:val="en-GB"/>
        </w:rPr>
      </w:pPr>
      <w:r>
        <w:rPr>
          <w:rFonts w:eastAsia="Times New Roman"/>
          <w:lang w:val="en-GB"/>
        </w:rPr>
        <w:t>At the moment, my actual income is zero: my sickness benefit has been suspended, my WIA claim has been rejected, and my benefits are at zero.</w:t>
      </w:r>
    </w:p>
    <w:p w14:paraId="6D24C7F6" w14:textId="77777777" w:rsidR="009650FE" w:rsidRDefault="009650FE">
      <w:pPr>
        <w:numPr>
          <w:ilvl w:val="0"/>
          <w:numId w:val="25"/>
        </w:numPr>
        <w:spacing w:before="100" w:beforeAutospacing="1" w:after="100" w:afterAutospacing="1"/>
        <w:divId w:val="953290302"/>
        <w:rPr>
          <w:rFonts w:eastAsia="Times New Roman"/>
          <w:lang w:val="en-GB"/>
        </w:rPr>
      </w:pPr>
      <w:r>
        <w:rPr>
          <w:rFonts w:eastAsia="Times New Roman"/>
          <w:lang w:val="en-GB"/>
        </w:rPr>
        <w:t>Medical expenses have completely eroded our disposable income.</w:t>
      </w:r>
    </w:p>
    <w:p w14:paraId="371827BF" w14:textId="77777777" w:rsidR="009650FE" w:rsidRDefault="009650FE">
      <w:pPr>
        <w:numPr>
          <w:ilvl w:val="0"/>
          <w:numId w:val="25"/>
        </w:numPr>
        <w:spacing w:before="100" w:beforeAutospacing="1" w:after="100" w:afterAutospacing="1"/>
        <w:divId w:val="953290302"/>
        <w:rPr>
          <w:rFonts w:eastAsia="Times New Roman"/>
          <w:lang w:val="en-GB"/>
        </w:rPr>
      </w:pPr>
      <w:r>
        <w:rPr>
          <w:rFonts w:eastAsia="Times New Roman"/>
          <w:lang w:val="en-GB"/>
        </w:rPr>
        <w:t>However, the reference year income is still the old, standard income.</w:t>
      </w:r>
    </w:p>
    <w:p w14:paraId="34B99C22" w14:textId="77777777" w:rsidR="009650FE" w:rsidRDefault="009650FE">
      <w:pPr>
        <w:pStyle w:val="Normaalweb"/>
        <w:divId w:val="953290302"/>
        <w:rPr>
          <w:lang w:val="en-GB"/>
        </w:rPr>
      </w:pPr>
      <w:r>
        <w:rPr>
          <w:lang w:val="en-GB"/>
        </w:rPr>
        <w:t>The result is that, on paper, the individual earns too much to qualify for legal aid, whilst in reality they have no money to pay for a solicitor. The threshold, which is intended to protect the most vulnerable, actually excludes those who have fallen on hard times due to a sudden crisis.</w:t>
      </w:r>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15B6EAD6" w14:textId="77777777">
        <w:trPr>
          <w:divId w:val="953290302"/>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4FA7A4B5" w14:textId="77777777" w:rsidR="009650FE" w:rsidRDefault="009650FE">
            <w:pPr>
              <w:pStyle w:val="Normaalweb"/>
              <w:spacing w:before="120"/>
              <w:jc w:val="center"/>
              <w:rPr>
                <w:sz w:val="21"/>
                <w:szCs w:val="21"/>
              </w:rPr>
            </w:pPr>
            <w:r>
              <w:rPr>
                <w:noProof/>
                <w:sz w:val="21"/>
                <w:szCs w:val="21"/>
              </w:rPr>
              <w:drawing>
                <wp:inline distT="0" distB="0" distL="0" distR="0" wp14:anchorId="3900FEB9" wp14:editId="43C8E094">
                  <wp:extent cx="3810000" cy="1250950"/>
                  <wp:effectExtent l="0" t="0" r="0" b="6350"/>
                  <wp:docPr id="75" name="Afbeelding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3810000" cy="1250950"/>
                          </a:xfrm>
                          <a:prstGeom prst="rect">
                            <a:avLst/>
                          </a:prstGeom>
                          <a:noFill/>
                          <a:ln>
                            <a:noFill/>
                          </a:ln>
                        </pic:spPr>
                      </pic:pic>
                    </a:graphicData>
                  </a:graphic>
                </wp:inline>
              </w:drawing>
            </w:r>
          </w:p>
          <w:p w14:paraId="6D66A438" w14:textId="77777777" w:rsidR="009650FE" w:rsidRDefault="009650FE">
            <w:pPr>
              <w:pStyle w:val="caption"/>
              <w:spacing w:after="120" w:afterAutospacing="0"/>
            </w:pPr>
            <w:r>
              <w:rPr>
                <w:rStyle w:val="Zwaar"/>
              </w:rPr>
              <w:t>Figure XVI.3 — The irony of the reference year.</w:t>
            </w:r>
            <w:r>
              <w:t xml:space="preserve"> The system assesses income from two years ago. In the context of a medical crisis, that income is no longer representative. On paper, the citizen earns too much to qualify for legal aid, whilst their actual income is zero. The threshold, which is intended to protect the most vulnerable, actually excludes precisely those who have fallen on hard times due to a sudden crisis.</w:t>
            </w:r>
          </w:p>
        </w:tc>
      </w:tr>
    </w:tbl>
    <w:p w14:paraId="255BDC33" w14:textId="77777777" w:rsidR="009650FE" w:rsidRDefault="009650FE">
      <w:pPr>
        <w:pStyle w:val="Kop3"/>
        <w:divId w:val="953290302"/>
        <w:rPr>
          <w:rFonts w:eastAsia="Times New Roman"/>
          <w:lang w:val="en-GB"/>
        </w:rPr>
      </w:pPr>
      <w:bookmarkStart w:id="130" w:name="_Toc242103268"/>
      <w:r>
        <w:rPr>
          <w:rFonts w:eastAsia="Times New Roman"/>
          <w:lang w:val="en-GB"/>
        </w:rPr>
        <w:t>Part D — What this means</w:t>
      </w:r>
      <w:bookmarkEnd w:id="130"/>
    </w:p>
    <w:p w14:paraId="501B5CCE" w14:textId="77777777" w:rsidR="009650FE" w:rsidRDefault="009650FE">
      <w:pPr>
        <w:pStyle w:val="Normaalweb"/>
        <w:divId w:val="953290302"/>
        <w:rPr>
          <w:lang w:val="en-GB"/>
        </w:rPr>
      </w:pPr>
      <w:r>
        <w:rPr>
          <w:lang w:val="en-GB"/>
        </w:rPr>
        <w:t>In theory, legal action is the ultimate solution. A court can compel an authority to review a decision. In practice, however, access to the courts themselves proves to be a barrier. And that barrier is precisely the problem the court was supposed to resolve.</w:t>
      </w:r>
    </w:p>
    <w:p w14:paraId="44C4213A" w14:textId="77777777" w:rsidR="009650FE" w:rsidRDefault="009650FE">
      <w:pPr>
        <w:pStyle w:val="Normaalweb"/>
        <w:divId w:val="953290302"/>
        <w:rPr>
          <w:lang w:val="en-GB"/>
        </w:rPr>
      </w:pPr>
      <w:r>
        <w:rPr>
          <w:lang w:val="en-GB"/>
        </w:rPr>
        <w:t>A citizen who cannot afford a solicitor cannot take legal action. A citizen who is not eligible for legal aid because their reference-year income is too high cannot take legal action. Citizens who have no income because their benefits have been suspended cannot take legal action. The system refers people to the courts, but the courts are out of reach for those who need access to them most.</w:t>
      </w:r>
    </w:p>
    <w:p w14:paraId="333B9878" w14:textId="77777777" w:rsidR="009650FE" w:rsidRDefault="009650FE">
      <w:pPr>
        <w:pStyle w:val="Normaalweb"/>
        <w:divId w:val="953290302"/>
        <w:rPr>
          <w:lang w:val="en-GB"/>
        </w:rPr>
      </w:pPr>
      <w:r>
        <w:rPr>
          <w:lang w:val="en-GB"/>
        </w:rPr>
        <w:t>In Belgium, the threshold is lower: the application form is straightforward and free of charge, and the only costs involved are the lawyer’s fees. But even those fees are unaffordable for many people. In the Netherlands, the barrier is higher: court fees, lawyers’ fees, and an even stricter assessment framework.</w:t>
      </w:r>
    </w:p>
    <w:tbl>
      <w:tblPr>
        <w:tblW w:w="5000" w:type="pct"/>
        <w:tblCellMar>
          <w:top w:w="15" w:type="dxa"/>
          <w:left w:w="15" w:type="dxa"/>
          <w:bottom w:w="15" w:type="dxa"/>
          <w:right w:w="15" w:type="dxa"/>
        </w:tblCellMar>
        <w:tblLook w:val="04A0" w:firstRow="1" w:lastRow="0" w:firstColumn="1" w:lastColumn="0" w:noHBand="0" w:noVBand="1"/>
      </w:tblPr>
      <w:tblGrid>
        <w:gridCol w:w="9019"/>
      </w:tblGrid>
      <w:tr w:rsidR="00000000" w14:paraId="14078023" w14:textId="77777777">
        <w:trPr>
          <w:divId w:val="953290302"/>
        </w:trPr>
        <w:tc>
          <w:tcPr>
            <w:tcW w:w="0" w:type="auto"/>
            <w:tcBorders>
              <w:top w:val="single" w:sz="6" w:space="0" w:color="D5D0C5"/>
              <w:left w:val="single" w:sz="36" w:space="0" w:color="4A3B6B"/>
              <w:bottom w:val="single" w:sz="6" w:space="0" w:color="D5D0C5"/>
              <w:right w:val="single" w:sz="6" w:space="0" w:color="D5D0C5"/>
            </w:tcBorders>
            <w:shd w:val="clear" w:color="auto" w:fill="EDE9F5"/>
            <w:tcMar>
              <w:top w:w="200" w:type="dxa"/>
              <w:left w:w="280" w:type="dxa"/>
              <w:bottom w:w="200" w:type="dxa"/>
              <w:right w:w="280" w:type="dxa"/>
            </w:tcMar>
            <w:hideMark/>
          </w:tcPr>
          <w:p w14:paraId="10550ABD" w14:textId="77777777" w:rsidR="009650FE" w:rsidRDefault="009650FE">
            <w:pPr>
              <w:spacing w:before="240" w:after="240"/>
              <w:rPr>
                <w:rFonts w:eastAsia="Times New Roman"/>
                <w:szCs w:val="22"/>
              </w:rPr>
            </w:pPr>
            <w:r>
              <w:rPr>
                <w:rStyle w:val="Zwaar"/>
                <w:rFonts w:eastAsia="Times New Roman"/>
                <w:szCs w:val="22"/>
              </w:rPr>
              <w:t>For anyone in the same situation:</w:t>
            </w:r>
            <w:r>
              <w:rPr>
                <w:rFonts w:eastAsia="Times New Roman"/>
                <w:szCs w:val="22"/>
              </w:rPr>
              <w:t xml:space="preserve"> </w:t>
            </w:r>
            <w:r>
              <w:rPr>
                <w:rStyle w:val="Zwaar"/>
                <w:rFonts w:eastAsia="Times New Roman"/>
                <w:szCs w:val="22"/>
              </w:rPr>
              <w:t>taking</w:t>
            </w:r>
            <w:r>
              <w:rPr>
                <w:rFonts w:eastAsia="Times New Roman"/>
                <w:szCs w:val="22"/>
              </w:rPr>
              <w:t xml:space="preserve"> legal action is not impossible, but access is restricted by the reference year. Three things to bear in mind: </w:t>
            </w:r>
          </w:p>
          <w:p w14:paraId="2989B1A7" w14:textId="77777777" w:rsidR="009650FE" w:rsidRDefault="009650FE">
            <w:pPr>
              <w:numPr>
                <w:ilvl w:val="0"/>
                <w:numId w:val="26"/>
              </w:numPr>
              <w:spacing w:before="100" w:beforeAutospacing="1" w:after="100" w:afterAutospacing="1"/>
              <w:rPr>
                <w:rFonts w:eastAsia="Times New Roman"/>
                <w:szCs w:val="22"/>
              </w:rPr>
            </w:pPr>
            <w:r>
              <w:rPr>
                <w:rFonts w:eastAsia="Times New Roman"/>
                <w:szCs w:val="22"/>
              </w:rPr>
              <w:t xml:space="preserve">Ask the Legal Aid Bureau (BE) or the Legal Aid Board (NL) for a </w:t>
            </w:r>
            <w:r>
              <w:rPr>
                <w:rStyle w:val="Zwaar"/>
                <w:rFonts w:eastAsia="Times New Roman"/>
                <w:szCs w:val="22"/>
              </w:rPr>
              <w:t>reference year adjustment</w:t>
            </w:r>
            <w:r>
              <w:rPr>
                <w:rFonts w:eastAsia="Times New Roman"/>
                <w:szCs w:val="22"/>
              </w:rPr>
              <w:t>. In the Netherlands, this is possible if your income has fallen by at least 15 per cent compared with two years earlier. In Belgium, the Legal Aid Office may also take your current means into account.</w:t>
            </w:r>
          </w:p>
          <w:p w14:paraId="227127F7" w14:textId="77777777" w:rsidR="009650FE" w:rsidRDefault="009650FE">
            <w:pPr>
              <w:numPr>
                <w:ilvl w:val="0"/>
                <w:numId w:val="26"/>
              </w:numPr>
              <w:spacing w:before="100" w:beforeAutospacing="1" w:after="100" w:afterAutospacing="1"/>
              <w:rPr>
                <w:rFonts w:eastAsia="Times New Roman"/>
                <w:szCs w:val="22"/>
              </w:rPr>
            </w:pPr>
            <w:r>
              <w:rPr>
                <w:rFonts w:eastAsia="Times New Roman"/>
                <w:szCs w:val="22"/>
              </w:rPr>
              <w:t>In Belgium, filing a petition with the labour court is free of charge. You can draw it up yourself, without a solicitor. A trade union or social organisation can help you.</w:t>
            </w:r>
          </w:p>
          <w:p w14:paraId="6A16EF77" w14:textId="77777777" w:rsidR="009650FE" w:rsidRDefault="009650FE">
            <w:pPr>
              <w:numPr>
                <w:ilvl w:val="0"/>
                <w:numId w:val="26"/>
              </w:numPr>
              <w:spacing w:before="100" w:beforeAutospacing="1" w:after="100" w:afterAutospacing="1"/>
              <w:rPr>
                <w:rFonts w:eastAsia="Times New Roman"/>
                <w:szCs w:val="22"/>
              </w:rPr>
            </w:pPr>
            <w:r>
              <w:rPr>
                <w:rFonts w:eastAsia="Times New Roman"/>
                <w:szCs w:val="22"/>
              </w:rPr>
              <w:t>In the Netherlands, lodging an objection with the relevant authority is free of charge. If that does not help, the next step is the administrative court, but this involves costs. Apply for legal aid if your income in the current year is low — even if your income in the reference year was higher.</w:t>
            </w:r>
          </w:p>
          <w:p w14:paraId="0CEDA60A" w14:textId="77777777" w:rsidR="009650FE" w:rsidRDefault="009650FE">
            <w:pPr>
              <w:spacing w:after="0"/>
              <w:rPr>
                <w:rFonts w:eastAsia="Times New Roman"/>
                <w:szCs w:val="22"/>
              </w:rPr>
            </w:pPr>
            <w:r>
              <w:rPr>
                <w:rFonts w:eastAsia="Times New Roman"/>
                <w:szCs w:val="22"/>
              </w:rPr>
              <w:t xml:space="preserve">Legal action is a last resort. However, it is not equally accessible to everyone. </w:t>
            </w:r>
          </w:p>
        </w:tc>
      </w:tr>
    </w:tbl>
    <w:p w14:paraId="7ECB8285" w14:textId="77777777" w:rsidR="009650FE" w:rsidRDefault="009650FE">
      <w:pPr>
        <w:pStyle w:val="noot"/>
        <w:spacing w:after="120" w:afterAutospacing="0"/>
        <w:divId w:val="953290302"/>
        <w:rPr>
          <w:lang w:val="en-GB"/>
        </w:rPr>
      </w:pPr>
      <w:r>
        <w:rPr>
          <w:lang w:val="en-GB"/>
        </w:rPr>
        <w:t>All organisations mentioned in this chapter are legal entities. The income thresholds for pro bono and legal aid are based on official communications from the relevant authorities (advocaat.be, the Legal Aid Board). This chapter does not constitute legal advice. If in doubt, consult a specialist service or a solicitor.</w:t>
      </w:r>
    </w:p>
    <w:p w14:paraId="5D7D8641" w14:textId="77777777" w:rsidR="009650FE" w:rsidRDefault="009650FE">
      <w:pPr>
        <w:pStyle w:val="marker"/>
        <w:ind w:left="800" w:right="800"/>
        <w:divId w:val="953290302"/>
        <w:rPr>
          <w:lang w:val="en-GB"/>
        </w:rPr>
      </w:pPr>
      <w:r>
        <w:br w:type="page"/>
      </w:r>
    </w:p>
    <w:p w14:paraId="26648E83" w14:textId="77777777" w:rsidR="009650FE" w:rsidRDefault="009650FE">
      <w:pPr>
        <w:pStyle w:val="Kop2"/>
        <w:divId w:val="953290302"/>
        <w:rPr>
          <w:rFonts w:eastAsia="Times New Roman"/>
          <w:lang w:val="en-GB"/>
        </w:rPr>
      </w:pPr>
      <w:bookmarkStart w:id="131" w:name="_Toc242103269"/>
      <w:r>
        <w:rPr>
          <w:rFonts w:eastAsia="Times New Roman"/>
          <w:lang w:val="en-GB"/>
        </w:rPr>
        <w:t>Politics</w:t>
      </w:r>
      <w:bookmarkEnd w:id="131"/>
    </w:p>
    <w:p w14:paraId="7ABC0AC2" w14:textId="77777777" w:rsidR="009650FE" w:rsidRDefault="009650FE">
      <w:pPr>
        <w:pStyle w:val="lead"/>
        <w:divId w:val="953290302"/>
        <w:rPr>
          <w:lang w:val="en-GB"/>
        </w:rPr>
      </w:pPr>
      <w:r>
        <w:rPr>
          <w:lang w:val="en-GB"/>
        </w:rPr>
        <w:t>Politics has the power to change laws, allocate budgets and steer implementing bodies. In theory, it is the ultimate corrective power. In practice, however, it appears that politicians only exercise that power when the problem is presented as a collective systemic failure — not when it is raised as an individual complaint.</w:t>
      </w:r>
    </w:p>
    <w:p w14:paraId="1AF5A625" w14:textId="77777777" w:rsidR="009650FE" w:rsidRDefault="009650FE">
      <w:pPr>
        <w:pStyle w:val="Kop3"/>
        <w:divId w:val="953290302"/>
        <w:rPr>
          <w:rFonts w:eastAsia="Times New Roman"/>
          <w:lang w:val="en-GB"/>
        </w:rPr>
      </w:pPr>
      <w:bookmarkStart w:id="132" w:name="_Toc242103270"/>
      <w:r>
        <w:rPr>
          <w:rFonts w:eastAsia="Times New Roman"/>
          <w:lang w:val="en-GB"/>
        </w:rPr>
        <w:t>Part A — The separation of powers</w:t>
      </w:r>
      <w:bookmarkEnd w:id="132"/>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53FD558D" w14:textId="77777777">
        <w:trPr>
          <w:divId w:val="953290302"/>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5CF3A20C" w14:textId="77777777" w:rsidR="009650FE" w:rsidRDefault="009650FE">
            <w:pPr>
              <w:pStyle w:val="Normaalweb"/>
              <w:spacing w:before="120"/>
              <w:jc w:val="center"/>
              <w:rPr>
                <w:sz w:val="21"/>
                <w:szCs w:val="21"/>
              </w:rPr>
            </w:pPr>
            <w:r>
              <w:rPr>
                <w:noProof/>
                <w:sz w:val="21"/>
                <w:szCs w:val="21"/>
              </w:rPr>
              <w:drawing>
                <wp:inline distT="0" distB="0" distL="0" distR="0" wp14:anchorId="7A98994F" wp14:editId="03969B1A">
                  <wp:extent cx="3810000" cy="1784350"/>
                  <wp:effectExtent l="0" t="0" r="0" b="6350"/>
                  <wp:docPr id="76" name="Afbeelding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3810000" cy="1784350"/>
                          </a:xfrm>
                          <a:prstGeom prst="rect">
                            <a:avLst/>
                          </a:prstGeom>
                          <a:noFill/>
                          <a:ln>
                            <a:noFill/>
                          </a:ln>
                        </pic:spPr>
                      </pic:pic>
                    </a:graphicData>
                  </a:graphic>
                </wp:inline>
              </w:drawing>
            </w:r>
          </w:p>
          <w:p w14:paraId="099C8094" w14:textId="77777777" w:rsidR="009650FE" w:rsidRDefault="009650FE">
            <w:pPr>
              <w:pStyle w:val="caption"/>
              <w:spacing w:after="120" w:afterAutospacing="0"/>
            </w:pPr>
            <w:r>
              <w:rPr>
                <w:rStyle w:val="Zwaar"/>
              </w:rPr>
              <w:t>Figure XVII.1 — The separation of powers.</w:t>
            </w:r>
            <w:r>
              <w:t xml:space="preserve"> Belgium has a classical trias politica, enshrined in Articles 33, 36, 37 and 40 of the Constitution. The Netherlands does not have a strict separation of powers, but rather a system of checks and balances, centred on ministerial responsibility (Article 42) and the duty to provide information (Article 68).</w:t>
            </w:r>
          </w:p>
        </w:tc>
      </w:tr>
    </w:tbl>
    <w:p w14:paraId="38C7ED5F" w14:textId="77777777" w:rsidR="009650FE" w:rsidRDefault="009650FE">
      <w:pPr>
        <w:pStyle w:val="Kop3"/>
        <w:divId w:val="953290302"/>
        <w:rPr>
          <w:rFonts w:eastAsia="Times New Roman"/>
          <w:lang w:val="en-GB"/>
        </w:rPr>
      </w:pPr>
      <w:bookmarkStart w:id="133" w:name="_Toc242103271"/>
      <w:r>
        <w:rPr>
          <w:rFonts w:eastAsia="Times New Roman"/>
          <w:lang w:val="en-GB"/>
        </w:rPr>
        <w:t>Part B — What politics can and cannot do</w:t>
      </w:r>
      <w:bookmarkEnd w:id="133"/>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310D66C1" w14:textId="77777777">
        <w:trPr>
          <w:divId w:val="953290302"/>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68EA259C" w14:textId="77777777" w:rsidR="009650FE" w:rsidRDefault="009650FE">
            <w:pPr>
              <w:pStyle w:val="Normaalweb"/>
              <w:spacing w:before="120"/>
              <w:jc w:val="center"/>
              <w:rPr>
                <w:sz w:val="21"/>
                <w:szCs w:val="21"/>
              </w:rPr>
            </w:pPr>
            <w:r>
              <w:rPr>
                <w:noProof/>
                <w:sz w:val="21"/>
                <w:szCs w:val="21"/>
              </w:rPr>
              <w:drawing>
                <wp:inline distT="0" distB="0" distL="0" distR="0" wp14:anchorId="3387DCA2" wp14:editId="3B7B486F">
                  <wp:extent cx="3810000" cy="1593850"/>
                  <wp:effectExtent l="0" t="0" r="0" b="6350"/>
                  <wp:docPr id="77" name="Afbeelding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3810000" cy="1593850"/>
                          </a:xfrm>
                          <a:prstGeom prst="rect">
                            <a:avLst/>
                          </a:prstGeom>
                          <a:noFill/>
                          <a:ln>
                            <a:noFill/>
                          </a:ln>
                        </pic:spPr>
                      </pic:pic>
                    </a:graphicData>
                  </a:graphic>
                </wp:inline>
              </w:drawing>
            </w:r>
          </w:p>
          <w:p w14:paraId="79B1B22D" w14:textId="77777777" w:rsidR="009650FE" w:rsidRDefault="009650FE">
            <w:pPr>
              <w:pStyle w:val="caption"/>
              <w:spacing w:after="120" w:afterAutospacing="0"/>
            </w:pPr>
            <w:r>
              <w:rPr>
                <w:rStyle w:val="Zwaar"/>
              </w:rPr>
              <w:t>Figure XVII.2 — What politics can and cannot do.</w:t>
            </w:r>
            <w:r>
              <w:t xml:space="preserve"> Politics can make and amend laws, but cannot review individual decisions. It can issue new instructions to an implementing body, but cannot open or close an individual case. The separation of powers prohibits interference in specific cases.</w:t>
            </w:r>
          </w:p>
        </w:tc>
      </w:tr>
    </w:tbl>
    <w:p w14:paraId="6A2BBE12" w14:textId="77777777" w:rsidR="009650FE" w:rsidRDefault="009650FE">
      <w:pPr>
        <w:pStyle w:val="Kop3"/>
        <w:divId w:val="953290302"/>
        <w:rPr>
          <w:rFonts w:eastAsia="Times New Roman"/>
          <w:lang w:val="en-GB"/>
        </w:rPr>
      </w:pPr>
      <w:bookmarkStart w:id="134" w:name="_Toc242103272"/>
      <w:r>
        <w:rPr>
          <w:rFonts w:eastAsia="Times New Roman"/>
          <w:lang w:val="en-GB"/>
        </w:rPr>
        <w:t>Part C — Belgian parliamentary practice</w:t>
      </w:r>
      <w:bookmarkEnd w:id="134"/>
    </w:p>
    <w:p w14:paraId="2B27AF14" w14:textId="77777777" w:rsidR="009650FE" w:rsidRDefault="009650FE">
      <w:pPr>
        <w:pStyle w:val="Normaalweb"/>
        <w:divId w:val="953290302"/>
        <w:rPr>
          <w:lang w:val="en-GB"/>
        </w:rPr>
      </w:pPr>
      <w:r>
        <w:rPr>
          <w:lang w:val="en-GB"/>
        </w:rPr>
        <w:t>In Belgium, the Chamber of Representatives has a wide range of oversight tools at its disposal. The standing committees — including the Committee on Social Affairs, Employment and Pensions — draft legislation and scrutinise the government. Within these committees, Members of Parliament may ask written and oral questions, and raise interpellations which may lead to motions of recommendation or no confidence.</w:t>
      </w:r>
    </w:p>
    <w:p w14:paraId="2C745361" w14:textId="77777777" w:rsidR="009650FE" w:rsidRDefault="009650FE">
      <w:pPr>
        <w:pStyle w:val="Normaalweb"/>
        <w:divId w:val="953290302"/>
        <w:rPr>
          <w:lang w:val="en-GB"/>
        </w:rPr>
      </w:pPr>
      <w:r>
        <w:rPr>
          <w:lang w:val="en-GB"/>
        </w:rPr>
        <w:t>In addition, there is the Petitions Committee. Any citizen may submit a petition to it. The committee assesses whether the petition is admissible and then forwards it to the relevant committee or the relevant minister. That minister is required to provide a written response within six weeks. The committee may then decide to close the case, refer it elsewhere, or organise a hearing.</w:t>
      </w:r>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46CA0D37" w14:textId="77777777">
        <w:trPr>
          <w:divId w:val="953290302"/>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05AF8429" w14:textId="77777777" w:rsidR="009650FE" w:rsidRDefault="009650FE">
            <w:pPr>
              <w:pStyle w:val="Normaalweb"/>
              <w:spacing w:before="120"/>
              <w:jc w:val="center"/>
              <w:rPr>
                <w:sz w:val="21"/>
                <w:szCs w:val="21"/>
              </w:rPr>
            </w:pPr>
            <w:r>
              <w:rPr>
                <w:noProof/>
                <w:sz w:val="21"/>
                <w:szCs w:val="21"/>
              </w:rPr>
              <w:drawing>
                <wp:inline distT="0" distB="0" distL="0" distR="0" wp14:anchorId="602B631A" wp14:editId="34C9C445">
                  <wp:extent cx="3810000" cy="1644650"/>
                  <wp:effectExtent l="0" t="0" r="0" b="0"/>
                  <wp:docPr id="78" name="Afbeelding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3810000" cy="1644650"/>
                          </a:xfrm>
                          <a:prstGeom prst="rect">
                            <a:avLst/>
                          </a:prstGeom>
                          <a:noFill/>
                          <a:ln>
                            <a:noFill/>
                          </a:ln>
                        </pic:spPr>
                      </pic:pic>
                    </a:graphicData>
                  </a:graphic>
                </wp:inline>
              </w:drawing>
            </w:r>
          </w:p>
          <w:p w14:paraId="396DDD28" w14:textId="77777777" w:rsidR="009650FE" w:rsidRDefault="009650FE">
            <w:pPr>
              <w:pStyle w:val="caption"/>
              <w:spacing w:after="120" w:afterAutospacing="0"/>
            </w:pPr>
            <w:r>
              <w:rPr>
                <w:rStyle w:val="Zwaar"/>
              </w:rPr>
              <w:t>Figure XVII.3 — The Belgian way.</w:t>
            </w:r>
            <w:r>
              <w:t xml:space="preserve"> A member of the public submits a petition. The Petitions Committee declares it admissible and forwards it to the relevant committee and the minister. The minister provides an explanation within six weeks. That is where the process ends. In this case: declared admissible, forwarded, no substantive response.</w:t>
            </w:r>
          </w:p>
        </w:tc>
      </w:tr>
    </w:tbl>
    <w:p w14:paraId="5069CDF9" w14:textId="77777777" w:rsidR="009650FE" w:rsidRDefault="009650FE">
      <w:pPr>
        <w:pStyle w:val="Kop3"/>
        <w:divId w:val="953290302"/>
        <w:rPr>
          <w:rFonts w:eastAsia="Times New Roman"/>
          <w:lang w:val="en-GB"/>
        </w:rPr>
      </w:pPr>
      <w:bookmarkStart w:id="135" w:name="_Toc242103273"/>
      <w:r>
        <w:rPr>
          <w:rFonts w:eastAsia="Times New Roman"/>
          <w:lang w:val="en-GB"/>
        </w:rPr>
        <w:t>Part D — Parliamentary practice in the Netherlands</w:t>
      </w:r>
      <w:bookmarkEnd w:id="135"/>
    </w:p>
    <w:p w14:paraId="060F9EE1" w14:textId="77777777" w:rsidR="009650FE" w:rsidRDefault="009650FE">
      <w:pPr>
        <w:pStyle w:val="Normaalweb"/>
        <w:divId w:val="953290302"/>
        <w:rPr>
          <w:lang w:val="en-GB"/>
        </w:rPr>
      </w:pPr>
      <w:r>
        <w:rPr>
          <w:lang w:val="en-GB"/>
        </w:rPr>
        <w:t>The House of Representatives has a similar range of instruments at its disposal. Members of Parliament may table written questions, ask oral questions, raise interpellations and table motions. The Standing Committee on Social Affairs and Employment (SZW) is responsible for scrutinising the Ministry of Social Affairs and Employment and the implementing bodies under its remit.</w:t>
      </w:r>
    </w:p>
    <w:p w14:paraId="204ED3EA" w14:textId="77777777" w:rsidR="009650FE" w:rsidRDefault="009650FE">
      <w:pPr>
        <w:pStyle w:val="Normaalweb"/>
        <w:divId w:val="953290302"/>
        <w:rPr>
          <w:lang w:val="en-GB"/>
        </w:rPr>
      </w:pPr>
      <w:r>
        <w:rPr>
          <w:lang w:val="en-GB"/>
        </w:rPr>
        <w:t>What sets the Netherlands apart is the parliamentary inquiry. This is the most powerful investigative tool: a committee that can hear witnesses under oath, request documents and publish a public report. The benefits scandal is the most recent example of how this instrument works — and how long it takes before it is deployed.</w:t>
      </w:r>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063A90FA" w14:textId="77777777">
        <w:trPr>
          <w:divId w:val="953290302"/>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0B247800" w14:textId="77777777" w:rsidR="009650FE" w:rsidRDefault="009650FE">
            <w:pPr>
              <w:pStyle w:val="Normaalweb"/>
              <w:spacing w:before="120"/>
              <w:jc w:val="center"/>
              <w:rPr>
                <w:sz w:val="21"/>
                <w:szCs w:val="21"/>
              </w:rPr>
            </w:pPr>
            <w:r>
              <w:rPr>
                <w:noProof/>
                <w:sz w:val="21"/>
                <w:szCs w:val="21"/>
              </w:rPr>
              <w:drawing>
                <wp:inline distT="0" distB="0" distL="0" distR="0" wp14:anchorId="56E4FB34" wp14:editId="3375444B">
                  <wp:extent cx="3810000" cy="1644650"/>
                  <wp:effectExtent l="0" t="0" r="0" b="0"/>
                  <wp:docPr id="79" name="Afbeelding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3810000" cy="1644650"/>
                          </a:xfrm>
                          <a:prstGeom prst="rect">
                            <a:avLst/>
                          </a:prstGeom>
                          <a:noFill/>
                          <a:ln>
                            <a:noFill/>
                          </a:ln>
                        </pic:spPr>
                      </pic:pic>
                    </a:graphicData>
                  </a:graphic>
                </wp:inline>
              </w:drawing>
            </w:r>
          </w:p>
          <w:p w14:paraId="111C5020" w14:textId="77777777" w:rsidR="009650FE" w:rsidRDefault="009650FE">
            <w:pPr>
              <w:pStyle w:val="caption"/>
              <w:spacing w:after="120" w:afterAutospacing="0"/>
            </w:pPr>
            <w:r>
              <w:rPr>
                <w:rStyle w:val="Zwaar"/>
              </w:rPr>
              <w:t>Figure XVII.4 — The Dutch approach.</w:t>
            </w:r>
            <w:r>
              <w:t xml:space="preserve"> The House of Representatives does not deal with individual complaints. The Social Affairs and Employment Committee may shelve a case. The most powerful tool — the parliamentary inquiry — requires a majority and is only used in the event of major systemic crises. The benefits scandal illustrates just how long that takes.</w:t>
            </w:r>
          </w:p>
        </w:tc>
      </w:tr>
    </w:tbl>
    <w:p w14:paraId="0FD886E3" w14:textId="77777777" w:rsidR="009650FE" w:rsidRDefault="009650FE">
      <w:pPr>
        <w:pStyle w:val="Kop3"/>
        <w:divId w:val="953290302"/>
        <w:rPr>
          <w:rFonts w:eastAsia="Times New Roman"/>
          <w:lang w:val="en-GB"/>
        </w:rPr>
      </w:pPr>
      <w:bookmarkStart w:id="136" w:name="_Toc242103274"/>
      <w:r>
        <w:rPr>
          <w:rFonts w:eastAsia="Times New Roman"/>
          <w:lang w:val="en-GB"/>
        </w:rPr>
        <w:t>Part E — A summary of the differences</w:t>
      </w:r>
      <w:bookmarkEnd w:id="136"/>
    </w:p>
    <w:tbl>
      <w:tblPr>
        <w:tblW w:w="5000" w:type="pct"/>
        <w:tblCellMar>
          <w:top w:w="15" w:type="dxa"/>
          <w:left w:w="15" w:type="dxa"/>
          <w:bottom w:w="15" w:type="dxa"/>
          <w:right w:w="15" w:type="dxa"/>
        </w:tblCellMar>
        <w:tblLook w:val="04A0" w:firstRow="1" w:lastRow="0" w:firstColumn="1" w:lastColumn="0" w:noHBand="0" w:noVBand="1"/>
      </w:tblPr>
      <w:tblGrid>
        <w:gridCol w:w="1992"/>
        <w:gridCol w:w="3532"/>
        <w:gridCol w:w="3532"/>
      </w:tblGrid>
      <w:tr w:rsidR="00000000" w14:paraId="12521C3E" w14:textId="77777777">
        <w:trPr>
          <w:divId w:val="953290302"/>
          <w:tblHeader/>
        </w:trPr>
        <w:tc>
          <w:tcPr>
            <w:tcW w:w="1100" w:type="pct"/>
            <w:tcBorders>
              <w:top w:val="single" w:sz="6" w:space="0" w:color="4A3B6B"/>
              <w:left w:val="single" w:sz="6" w:space="0" w:color="4A3B6B"/>
              <w:bottom w:val="single" w:sz="6" w:space="0" w:color="4A3B6B"/>
              <w:right w:val="single" w:sz="6" w:space="0" w:color="4A3B6B"/>
            </w:tcBorders>
            <w:shd w:val="clear" w:color="auto" w:fill="4A3B6B"/>
            <w:tcMar>
              <w:top w:w="140" w:type="dxa"/>
              <w:left w:w="180" w:type="dxa"/>
              <w:bottom w:w="140" w:type="dxa"/>
              <w:right w:w="180" w:type="dxa"/>
            </w:tcMar>
            <w:vAlign w:val="center"/>
            <w:hideMark/>
          </w:tcPr>
          <w:p w14:paraId="00BB718F" w14:textId="77777777" w:rsidR="009650FE" w:rsidRDefault="009650FE">
            <w:pPr>
              <w:spacing w:before="200" w:after="360"/>
              <w:rPr>
                <w:rFonts w:eastAsia="Times New Roman"/>
                <w:b/>
                <w:bCs/>
                <w:color w:val="FFFFFF"/>
                <w:sz w:val="21"/>
                <w:szCs w:val="21"/>
              </w:rPr>
            </w:pPr>
            <w:r>
              <w:rPr>
                <w:rFonts w:eastAsia="Times New Roman"/>
                <w:b/>
                <w:bCs/>
                <w:color w:val="FFFFFF"/>
                <w:sz w:val="21"/>
                <w:szCs w:val="21"/>
              </w:rPr>
              <w:t>Aspect</w:t>
            </w:r>
          </w:p>
        </w:tc>
        <w:tc>
          <w:tcPr>
            <w:tcW w:w="1950" w:type="pct"/>
            <w:tcBorders>
              <w:top w:val="single" w:sz="6" w:space="0" w:color="4A3B6B"/>
              <w:left w:val="single" w:sz="6" w:space="0" w:color="4A3B6B"/>
              <w:bottom w:val="single" w:sz="6" w:space="0" w:color="4A3B6B"/>
              <w:right w:val="single" w:sz="6" w:space="0" w:color="4A3B6B"/>
            </w:tcBorders>
            <w:shd w:val="clear" w:color="auto" w:fill="4A3B6B"/>
            <w:tcMar>
              <w:top w:w="140" w:type="dxa"/>
              <w:left w:w="180" w:type="dxa"/>
              <w:bottom w:w="140" w:type="dxa"/>
              <w:right w:w="180" w:type="dxa"/>
            </w:tcMar>
            <w:vAlign w:val="center"/>
            <w:hideMark/>
          </w:tcPr>
          <w:p w14:paraId="32002C2E" w14:textId="77777777" w:rsidR="009650FE" w:rsidRDefault="009650FE">
            <w:pPr>
              <w:spacing w:before="200" w:after="360"/>
              <w:rPr>
                <w:rFonts w:eastAsia="Times New Roman"/>
                <w:b/>
                <w:bCs/>
                <w:color w:val="FFFFFF"/>
                <w:sz w:val="21"/>
                <w:szCs w:val="21"/>
              </w:rPr>
            </w:pPr>
            <w:r>
              <w:rPr>
                <w:rFonts w:eastAsia="Times New Roman"/>
                <w:b/>
                <w:bCs/>
                <w:color w:val="FFFFFF"/>
                <w:sz w:val="21"/>
                <w:szCs w:val="21"/>
              </w:rPr>
              <w:t>Belgium</w:t>
            </w:r>
          </w:p>
        </w:tc>
        <w:tc>
          <w:tcPr>
            <w:tcW w:w="1950" w:type="pct"/>
            <w:tcBorders>
              <w:top w:val="single" w:sz="6" w:space="0" w:color="4A3B6B"/>
              <w:left w:val="single" w:sz="6" w:space="0" w:color="4A3B6B"/>
              <w:bottom w:val="single" w:sz="6" w:space="0" w:color="4A3B6B"/>
              <w:right w:val="single" w:sz="6" w:space="0" w:color="4A3B6B"/>
            </w:tcBorders>
            <w:shd w:val="clear" w:color="auto" w:fill="4A3B6B"/>
            <w:tcMar>
              <w:top w:w="140" w:type="dxa"/>
              <w:left w:w="180" w:type="dxa"/>
              <w:bottom w:w="140" w:type="dxa"/>
              <w:right w:w="180" w:type="dxa"/>
            </w:tcMar>
            <w:vAlign w:val="center"/>
            <w:hideMark/>
          </w:tcPr>
          <w:p w14:paraId="4BABA126" w14:textId="77777777" w:rsidR="009650FE" w:rsidRDefault="009650FE">
            <w:pPr>
              <w:spacing w:before="200" w:after="360"/>
              <w:rPr>
                <w:rFonts w:eastAsia="Times New Roman"/>
                <w:b/>
                <w:bCs/>
                <w:color w:val="FFFFFF"/>
                <w:sz w:val="21"/>
                <w:szCs w:val="21"/>
              </w:rPr>
            </w:pPr>
            <w:r>
              <w:rPr>
                <w:rFonts w:eastAsia="Times New Roman"/>
                <w:b/>
                <w:bCs/>
                <w:color w:val="FFFFFF"/>
                <w:sz w:val="21"/>
                <w:szCs w:val="21"/>
              </w:rPr>
              <w:t>The Netherlands</w:t>
            </w:r>
          </w:p>
        </w:tc>
      </w:tr>
      <w:tr w:rsidR="00000000" w14:paraId="7CDCC75E" w14:textId="77777777">
        <w:trPr>
          <w:divId w:val="953290302"/>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731221D4" w14:textId="77777777" w:rsidR="009650FE" w:rsidRDefault="009650FE">
            <w:pPr>
              <w:spacing w:before="200" w:after="360"/>
              <w:rPr>
                <w:rFonts w:eastAsia="Times New Roman"/>
                <w:sz w:val="21"/>
                <w:szCs w:val="21"/>
              </w:rPr>
            </w:pPr>
            <w:r>
              <w:rPr>
                <w:rStyle w:val="Zwaar"/>
                <w:rFonts w:eastAsia="Times New Roman"/>
                <w:sz w:val="21"/>
                <w:szCs w:val="21"/>
              </w:rPr>
              <w:t>Individual complaint</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19A8C1C5" w14:textId="77777777" w:rsidR="009650FE" w:rsidRDefault="009650FE">
            <w:pPr>
              <w:spacing w:before="200" w:after="360"/>
              <w:rPr>
                <w:rFonts w:eastAsia="Times New Roman"/>
                <w:sz w:val="21"/>
                <w:szCs w:val="21"/>
              </w:rPr>
            </w:pPr>
            <w:r>
              <w:rPr>
                <w:rFonts w:eastAsia="Times New Roman"/>
                <w:sz w:val="21"/>
                <w:szCs w:val="21"/>
              </w:rPr>
              <w:t>Via the Petitions Committee · admissibility assessment · referral to the minister · written explanation within 6 weeks</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7A1E70DD" w14:textId="77777777" w:rsidR="009650FE" w:rsidRDefault="009650FE">
            <w:pPr>
              <w:spacing w:before="200" w:after="360"/>
              <w:rPr>
                <w:rFonts w:eastAsia="Times New Roman"/>
                <w:sz w:val="21"/>
                <w:szCs w:val="21"/>
              </w:rPr>
            </w:pPr>
            <w:r>
              <w:rPr>
                <w:rFonts w:eastAsia="Times New Roman"/>
                <w:sz w:val="21"/>
                <w:szCs w:val="21"/>
              </w:rPr>
              <w:t>Not under consideration · legal avenues must remain open or have been exhausted · a letter to an MP rarely leads to action</w:t>
            </w:r>
          </w:p>
        </w:tc>
      </w:tr>
      <w:tr w:rsidR="00000000" w14:paraId="2663ABBD" w14:textId="77777777">
        <w:trPr>
          <w:divId w:val="953290302"/>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3CD94F5E" w14:textId="77777777" w:rsidR="009650FE" w:rsidRDefault="009650FE">
            <w:pPr>
              <w:spacing w:before="200" w:after="360"/>
              <w:rPr>
                <w:rFonts w:eastAsia="Times New Roman"/>
                <w:sz w:val="21"/>
                <w:szCs w:val="21"/>
              </w:rPr>
            </w:pPr>
            <w:r>
              <w:rPr>
                <w:rStyle w:val="Zwaar"/>
                <w:rFonts w:eastAsia="Times New Roman"/>
                <w:sz w:val="21"/>
                <w:szCs w:val="21"/>
              </w:rPr>
              <w:t>Parliamentary instrument</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77C6AA7A" w14:textId="77777777" w:rsidR="009650FE" w:rsidRDefault="009650FE">
            <w:pPr>
              <w:spacing w:before="200" w:after="360"/>
              <w:rPr>
                <w:rFonts w:eastAsia="Times New Roman"/>
                <w:sz w:val="21"/>
                <w:szCs w:val="21"/>
              </w:rPr>
            </w:pPr>
            <w:r>
              <w:rPr>
                <w:rFonts w:eastAsia="Times New Roman"/>
                <w:sz w:val="21"/>
                <w:szCs w:val="21"/>
              </w:rPr>
              <w:t>Written and oral questions · interpellations · motions for a recommendation · motion of no confidence · committee of inquiry</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1B8708A7" w14:textId="77777777" w:rsidR="009650FE" w:rsidRDefault="009650FE">
            <w:pPr>
              <w:spacing w:before="200" w:after="360"/>
              <w:rPr>
                <w:rFonts w:eastAsia="Times New Roman"/>
                <w:sz w:val="21"/>
                <w:szCs w:val="21"/>
              </w:rPr>
            </w:pPr>
            <w:r>
              <w:rPr>
                <w:rFonts w:eastAsia="Times New Roman"/>
                <w:sz w:val="21"/>
                <w:szCs w:val="21"/>
              </w:rPr>
              <w:t>Written and oral questions · interpellations · motions · thirty-member debate · parliamentary inquiry</w:t>
            </w:r>
          </w:p>
        </w:tc>
      </w:tr>
      <w:tr w:rsidR="00000000" w14:paraId="2D744123" w14:textId="77777777">
        <w:trPr>
          <w:divId w:val="953290302"/>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58C0268F" w14:textId="77777777" w:rsidR="009650FE" w:rsidRDefault="009650FE">
            <w:pPr>
              <w:spacing w:before="200" w:after="360"/>
              <w:rPr>
                <w:rFonts w:eastAsia="Times New Roman"/>
                <w:sz w:val="21"/>
                <w:szCs w:val="21"/>
              </w:rPr>
            </w:pPr>
            <w:r>
              <w:rPr>
                <w:rStyle w:val="Zwaar"/>
                <w:rFonts w:eastAsia="Times New Roman"/>
                <w:sz w:val="21"/>
                <w:szCs w:val="21"/>
              </w:rPr>
              <w:t>Strongest remedy</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5E941EEE" w14:textId="77777777" w:rsidR="009650FE" w:rsidRDefault="009650FE">
            <w:pPr>
              <w:spacing w:before="200" w:after="360"/>
              <w:rPr>
                <w:rFonts w:eastAsia="Times New Roman"/>
                <w:sz w:val="21"/>
                <w:szCs w:val="21"/>
              </w:rPr>
            </w:pPr>
            <w:r>
              <w:rPr>
                <w:rFonts w:eastAsia="Times New Roman"/>
                <w:sz w:val="21"/>
                <w:szCs w:val="21"/>
              </w:rPr>
              <w:t>Parliamentary Committee of Inquiry · right of inquiry (Article 56 of the Constitution)</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73736846" w14:textId="77777777" w:rsidR="009650FE" w:rsidRDefault="009650FE">
            <w:pPr>
              <w:spacing w:before="200" w:after="360"/>
              <w:rPr>
                <w:rFonts w:eastAsia="Times New Roman"/>
                <w:sz w:val="21"/>
                <w:szCs w:val="21"/>
              </w:rPr>
            </w:pPr>
            <w:r>
              <w:rPr>
                <w:rFonts w:eastAsia="Times New Roman"/>
                <w:sz w:val="21"/>
                <w:szCs w:val="21"/>
              </w:rPr>
              <w:t>Parliamentary inquiry · witnesses under oath · legal basis (Parliamentary Inquiry Act 2008)</w:t>
            </w:r>
          </w:p>
        </w:tc>
      </w:tr>
      <w:tr w:rsidR="00000000" w14:paraId="2F1F2C05" w14:textId="77777777">
        <w:trPr>
          <w:divId w:val="953290302"/>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5FF3B15B" w14:textId="77777777" w:rsidR="009650FE" w:rsidRDefault="009650FE">
            <w:pPr>
              <w:spacing w:before="200" w:after="360"/>
              <w:rPr>
                <w:rFonts w:eastAsia="Times New Roman"/>
                <w:sz w:val="21"/>
                <w:szCs w:val="21"/>
              </w:rPr>
            </w:pPr>
            <w:r>
              <w:rPr>
                <w:rStyle w:val="Zwaar"/>
                <w:rFonts w:eastAsia="Times New Roman"/>
                <w:sz w:val="21"/>
                <w:szCs w:val="21"/>
              </w:rPr>
              <w:t>Case study in this dossier</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22E7E181" w14:textId="77777777" w:rsidR="009650FE" w:rsidRDefault="009650FE">
            <w:pPr>
              <w:spacing w:before="200" w:after="360"/>
              <w:rPr>
                <w:rFonts w:eastAsia="Times New Roman"/>
                <w:sz w:val="21"/>
                <w:szCs w:val="21"/>
              </w:rPr>
            </w:pPr>
            <w:r>
              <w:rPr>
                <w:rFonts w:eastAsia="Times New Roman"/>
                <w:sz w:val="21"/>
                <w:szCs w:val="21"/>
              </w:rPr>
              <w:t>The petition was declared admissible, forwarded, and then there was silence. Letters were sent to nine parties; five did not respond, and four referred the matter to their research department or stated they were not authorised to respond.</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34C2C57D" w14:textId="77777777" w:rsidR="009650FE" w:rsidRDefault="009650FE">
            <w:pPr>
              <w:spacing w:before="200" w:after="360"/>
              <w:rPr>
                <w:rFonts w:eastAsia="Times New Roman"/>
                <w:sz w:val="21"/>
                <w:szCs w:val="21"/>
              </w:rPr>
            </w:pPr>
            <w:r>
              <w:rPr>
                <w:rFonts w:eastAsia="Times New Roman"/>
                <w:sz w:val="21"/>
                <w:szCs w:val="21"/>
              </w:rPr>
              <w:t>Urgent letter registered; set aside pending committee debate; no individual action taken. Parties were referred to the Ombudsman or the research department.</w:t>
            </w:r>
          </w:p>
        </w:tc>
      </w:tr>
      <w:tr w:rsidR="00000000" w14:paraId="0787105D" w14:textId="77777777">
        <w:trPr>
          <w:divId w:val="953290302"/>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59E88CF6" w14:textId="77777777" w:rsidR="009650FE" w:rsidRDefault="009650FE">
            <w:pPr>
              <w:spacing w:before="200" w:after="360"/>
              <w:rPr>
                <w:rFonts w:eastAsia="Times New Roman"/>
                <w:sz w:val="21"/>
                <w:szCs w:val="21"/>
              </w:rPr>
            </w:pPr>
            <w:r>
              <w:rPr>
                <w:rStyle w:val="Zwaar"/>
                <w:rFonts w:eastAsia="Times New Roman"/>
                <w:sz w:val="21"/>
                <w:szCs w:val="21"/>
              </w:rPr>
              <w:t>Lead time</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4974AEB4" w14:textId="77777777" w:rsidR="009650FE" w:rsidRDefault="009650FE">
            <w:pPr>
              <w:spacing w:before="200" w:after="360"/>
              <w:rPr>
                <w:rFonts w:eastAsia="Times New Roman"/>
                <w:sz w:val="21"/>
                <w:szCs w:val="21"/>
              </w:rPr>
            </w:pPr>
            <w:r>
              <w:rPr>
                <w:rFonts w:eastAsia="Times New Roman"/>
                <w:sz w:val="21"/>
                <w:szCs w:val="21"/>
              </w:rPr>
              <w:t>Minister: 6 weeks for a written explanation · followed by a decision by the committee</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1C5F1A77" w14:textId="77777777" w:rsidR="009650FE" w:rsidRDefault="009650FE">
            <w:pPr>
              <w:spacing w:before="200" w:after="360"/>
              <w:rPr>
                <w:rFonts w:eastAsia="Times New Roman"/>
                <w:sz w:val="21"/>
                <w:szCs w:val="21"/>
              </w:rPr>
            </w:pPr>
            <w:r>
              <w:rPr>
                <w:rFonts w:eastAsia="Times New Roman"/>
                <w:sz w:val="21"/>
                <w:szCs w:val="21"/>
              </w:rPr>
              <w:t>No deadline for dealing with individual letters · survey: years</w:t>
            </w:r>
          </w:p>
        </w:tc>
      </w:tr>
    </w:tbl>
    <w:p w14:paraId="638B7E0C" w14:textId="77777777" w:rsidR="009650FE" w:rsidRDefault="009650FE">
      <w:pPr>
        <w:pStyle w:val="Kop3"/>
        <w:divId w:val="953290302"/>
        <w:rPr>
          <w:rFonts w:eastAsia="Times New Roman"/>
          <w:lang w:val="en-GB"/>
        </w:rPr>
      </w:pPr>
      <w:bookmarkStart w:id="137" w:name="_Toc242103275"/>
      <w:r>
        <w:rPr>
          <w:rFonts w:eastAsia="Times New Roman"/>
          <w:lang w:val="en-GB"/>
        </w:rPr>
        <w:t>Part F — The power of framing</w:t>
      </w:r>
      <w:bookmarkEnd w:id="137"/>
    </w:p>
    <w:p w14:paraId="796F9063" w14:textId="77777777" w:rsidR="009650FE" w:rsidRDefault="009650FE">
      <w:pPr>
        <w:pStyle w:val="Normaalweb"/>
        <w:divId w:val="953290302"/>
        <w:rPr>
          <w:lang w:val="en-GB"/>
        </w:rPr>
      </w:pPr>
      <w:r>
        <w:rPr>
          <w:lang w:val="en-GB"/>
        </w:rPr>
        <w:t>This is the key insight. The same facts can be presented in two different ways, and those two presentations elicit two completely different political responses.</w:t>
      </w:r>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0CE96268" w14:textId="77777777">
        <w:trPr>
          <w:divId w:val="953290302"/>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480313BC" w14:textId="77777777" w:rsidR="009650FE" w:rsidRDefault="009650FE">
            <w:pPr>
              <w:pStyle w:val="Normaalweb"/>
              <w:spacing w:before="120"/>
              <w:jc w:val="center"/>
              <w:rPr>
                <w:sz w:val="21"/>
                <w:szCs w:val="21"/>
              </w:rPr>
            </w:pPr>
            <w:r>
              <w:rPr>
                <w:noProof/>
                <w:sz w:val="21"/>
                <w:szCs w:val="21"/>
              </w:rPr>
              <w:drawing>
                <wp:inline distT="0" distB="0" distL="0" distR="0" wp14:anchorId="0F9F6D05" wp14:editId="364FEE49">
                  <wp:extent cx="3810000" cy="1974850"/>
                  <wp:effectExtent l="0" t="0" r="0" b="6350"/>
                  <wp:docPr id="80" name="Afbeelding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3810000" cy="1974850"/>
                          </a:xfrm>
                          <a:prstGeom prst="rect">
                            <a:avLst/>
                          </a:prstGeom>
                          <a:noFill/>
                          <a:ln>
                            <a:noFill/>
                          </a:ln>
                        </pic:spPr>
                      </pic:pic>
                    </a:graphicData>
                  </a:graphic>
                </wp:inline>
              </w:drawing>
            </w:r>
          </w:p>
          <w:p w14:paraId="3918F12F" w14:textId="77777777" w:rsidR="009650FE" w:rsidRDefault="009650FE">
            <w:pPr>
              <w:pStyle w:val="caption"/>
              <w:spacing w:after="120" w:afterAutospacing="0"/>
            </w:pPr>
            <w:r>
              <w:rPr>
                <w:rStyle w:val="Zwaar"/>
              </w:rPr>
              <w:t>Figure XVII.5 — Two presentations, two responses.</w:t>
            </w:r>
            <w:r>
              <w:t xml:space="preserve"> The same facts, presented differently. As a personal complaint: politicians declare themselves to have no jurisdiction. As an institutional audit: politicians have no choice but to address a systemic problem.</w:t>
            </w:r>
          </w:p>
        </w:tc>
      </w:tr>
    </w:tbl>
    <w:p w14:paraId="7070EA73" w14:textId="77777777" w:rsidR="009650FE" w:rsidRDefault="009650FE">
      <w:pPr>
        <w:pStyle w:val="Kop3"/>
        <w:divId w:val="953290302"/>
        <w:rPr>
          <w:rFonts w:eastAsia="Times New Roman"/>
          <w:lang w:val="en-GB"/>
        </w:rPr>
      </w:pPr>
      <w:bookmarkStart w:id="138" w:name="_Toc242103276"/>
      <w:r>
        <w:rPr>
          <w:rFonts w:eastAsia="Times New Roman"/>
          <w:lang w:val="en-GB"/>
        </w:rPr>
        <w:t>Part G — What this document does</w:t>
      </w:r>
      <w:bookmarkEnd w:id="138"/>
    </w:p>
    <w:p w14:paraId="36DF203C" w14:textId="77777777" w:rsidR="009650FE" w:rsidRDefault="009650FE">
      <w:pPr>
        <w:pStyle w:val="Normaalweb"/>
        <w:divId w:val="953290302"/>
        <w:rPr>
          <w:lang w:val="en-GB"/>
        </w:rPr>
      </w:pPr>
      <w:r>
        <w:rPr>
          <w:lang w:val="en-GB"/>
        </w:rPr>
        <w:t>This report is not a complaint. It is an audit. That is not a rhetorical choice — it is a strategic choice.</w:t>
      </w:r>
    </w:p>
    <w:p w14:paraId="28E46B59" w14:textId="77777777" w:rsidR="009650FE" w:rsidRDefault="009650FE">
      <w:pPr>
        <w:pStyle w:val="Normaalweb"/>
        <w:divId w:val="953290302"/>
        <w:rPr>
          <w:lang w:val="en-GB"/>
        </w:rPr>
      </w:pPr>
      <w:r>
        <w:rPr>
          <w:lang w:val="en-GB"/>
        </w:rPr>
        <w:t>A complaint is treated as an individual problem. An audit is treated as a systemic problem. And only a systemic problem triggers the political mechanisms that can lead to real change.</w:t>
      </w:r>
    </w:p>
    <w:p w14:paraId="5DF70F18" w14:textId="77777777" w:rsidR="009650FE" w:rsidRDefault="009650FE">
      <w:pPr>
        <w:pStyle w:val="Normaalweb"/>
        <w:divId w:val="953290302"/>
        <w:rPr>
          <w:lang w:val="en-GB"/>
        </w:rPr>
      </w:pPr>
      <w:r>
        <w:rPr>
          <w:lang w:val="en-GB"/>
        </w:rPr>
        <w:t>The documents in this file are therefore organised in the form of an audit:</w:t>
      </w:r>
    </w:p>
    <w:p w14:paraId="6A0AFCC9" w14:textId="77777777" w:rsidR="009650FE" w:rsidRDefault="009650FE">
      <w:pPr>
        <w:numPr>
          <w:ilvl w:val="0"/>
          <w:numId w:val="27"/>
        </w:numPr>
        <w:spacing w:before="100" w:beforeAutospacing="1" w:after="100" w:afterAutospacing="1"/>
        <w:divId w:val="953290302"/>
        <w:rPr>
          <w:rFonts w:eastAsia="Times New Roman"/>
          <w:lang w:val="en-GB"/>
        </w:rPr>
      </w:pPr>
      <w:r>
        <w:rPr>
          <w:rStyle w:val="Zwaar"/>
          <w:rFonts w:eastAsia="Times New Roman"/>
          <w:lang w:val="en-GB"/>
        </w:rPr>
        <w:t>Document B</w:t>
      </w:r>
      <w:r>
        <w:rPr>
          <w:rFonts w:eastAsia="Times New Roman"/>
          <w:lang w:val="en-GB"/>
        </w:rPr>
        <w:t xml:space="preserve"> is not a list of complaints, but a </w:t>
      </w:r>
      <w:r>
        <w:rPr>
          <w:rStyle w:val="Nadruk"/>
          <w:rFonts w:eastAsia="Times New Roman"/>
          <w:lang w:val="en-GB"/>
        </w:rPr>
        <w:t>data matrix</w:t>
      </w:r>
      <w:r>
        <w:rPr>
          <w:rFonts w:eastAsia="Times New Roman"/>
          <w:lang w:val="en-GB"/>
        </w:rPr>
        <w:t>: a factual record of dates, reference numbers and correspondence.</w:t>
      </w:r>
    </w:p>
    <w:p w14:paraId="42908888" w14:textId="77777777" w:rsidR="009650FE" w:rsidRDefault="009650FE">
      <w:pPr>
        <w:numPr>
          <w:ilvl w:val="0"/>
          <w:numId w:val="27"/>
        </w:numPr>
        <w:spacing w:before="100" w:beforeAutospacing="1" w:after="100" w:afterAutospacing="1"/>
        <w:divId w:val="953290302"/>
        <w:rPr>
          <w:rFonts w:eastAsia="Times New Roman"/>
          <w:lang w:val="en-GB"/>
        </w:rPr>
      </w:pPr>
      <w:r>
        <w:rPr>
          <w:rStyle w:val="Zwaar"/>
          <w:rFonts w:eastAsia="Times New Roman"/>
          <w:lang w:val="en-GB"/>
        </w:rPr>
        <w:t>Document C</w:t>
      </w:r>
      <w:r>
        <w:rPr>
          <w:rFonts w:eastAsia="Times New Roman"/>
          <w:lang w:val="en-GB"/>
        </w:rPr>
        <w:t xml:space="preserve"> is not a picture book, but a </w:t>
      </w:r>
      <w:r>
        <w:rPr>
          <w:rStyle w:val="Nadruk"/>
          <w:rFonts w:eastAsia="Times New Roman"/>
          <w:lang w:val="en-GB"/>
        </w:rPr>
        <w:t>visual architecture</w:t>
      </w:r>
      <w:r>
        <w:rPr>
          <w:rFonts w:eastAsia="Times New Roman"/>
          <w:lang w:val="en-GB"/>
        </w:rPr>
        <w:t>: a structural analysis of the institutional layers and the mechanisms that cause failure.</w:t>
      </w:r>
    </w:p>
    <w:p w14:paraId="3DD29742" w14:textId="77777777" w:rsidR="009650FE" w:rsidRDefault="009650FE">
      <w:pPr>
        <w:numPr>
          <w:ilvl w:val="0"/>
          <w:numId w:val="27"/>
        </w:numPr>
        <w:spacing w:before="100" w:beforeAutospacing="1" w:after="100" w:afterAutospacing="1"/>
        <w:divId w:val="953290302"/>
        <w:rPr>
          <w:rFonts w:eastAsia="Times New Roman"/>
          <w:lang w:val="en-GB"/>
        </w:rPr>
      </w:pPr>
      <w:r>
        <w:rPr>
          <w:rStyle w:val="Zwaar"/>
          <w:rFonts w:eastAsia="Times New Roman"/>
          <w:lang w:val="en-GB"/>
        </w:rPr>
        <w:t>Document D</w:t>
      </w:r>
      <w:r>
        <w:rPr>
          <w:rFonts w:eastAsia="Times New Roman"/>
          <w:lang w:val="en-GB"/>
        </w:rPr>
        <w:t xml:space="preserve"> is not a summary, but a </w:t>
      </w:r>
      <w:r>
        <w:rPr>
          <w:rStyle w:val="Nadruk"/>
          <w:rFonts w:eastAsia="Times New Roman"/>
          <w:lang w:val="en-GB"/>
        </w:rPr>
        <w:t>synthesis</w:t>
      </w:r>
      <w:r>
        <w:rPr>
          <w:rFonts w:eastAsia="Times New Roman"/>
          <w:lang w:val="en-GB"/>
        </w:rPr>
        <w:t>: the conclusions and the three building blocks for reform.</w:t>
      </w:r>
    </w:p>
    <w:p w14:paraId="53018E40" w14:textId="77777777" w:rsidR="009650FE" w:rsidRDefault="009650FE">
      <w:pPr>
        <w:pStyle w:val="Normaalweb"/>
        <w:divId w:val="953290302"/>
        <w:rPr>
          <w:lang w:val="en-GB"/>
        </w:rPr>
      </w:pPr>
      <w:r>
        <w:rPr>
          <w:lang w:val="en-GB"/>
        </w:rPr>
        <w:t>The difference is not merely superficial. It determines whether politicians can brush the matter aside — “we do not deal with individual cases” — or whether they must address it.</w:t>
      </w:r>
    </w:p>
    <w:p w14:paraId="7DBB0DD4" w14:textId="77777777" w:rsidR="009650FE" w:rsidRDefault="009650FE">
      <w:pPr>
        <w:pStyle w:val="noot"/>
        <w:spacing w:after="120" w:afterAutospacing="0"/>
        <w:divId w:val="953290302"/>
        <w:rPr>
          <w:lang w:val="en-GB"/>
        </w:rPr>
      </w:pPr>
      <w:r>
        <w:rPr>
          <w:lang w:val="en-GB"/>
        </w:rPr>
        <w:t>All organisations in this chapter are legal entities. Natural persons are identified by their position or their symbol (</w:t>
      </w:r>
      <w:r>
        <w:rPr>
          <w:rFonts w:ascii="Segoe UI Symbol" w:hAnsi="Segoe UI Symbol" w:cs="Segoe UI Symbol"/>
          <w:lang w:val="en-GB"/>
        </w:rPr>
        <w:t>♂</w:t>
      </w:r>
      <w:r>
        <w:rPr>
          <w:lang w:val="en-GB"/>
        </w:rPr>
        <w:t xml:space="preserve">, </w:t>
      </w:r>
      <w:r>
        <w:rPr>
          <w:rFonts w:ascii="Segoe UI Symbol" w:hAnsi="Segoe UI Symbol" w:cs="Segoe UI Symbol"/>
          <w:lang w:val="en-GB"/>
        </w:rPr>
        <w:t>♀</w:t>
      </w:r>
      <w:r>
        <w:rPr>
          <w:lang w:val="en-GB"/>
        </w:rPr>
        <w:t>). The facts are based on Document B. The constitutional basis is Articles 33, 36, 37 and 40 of the Belgian Constitution, and Articles 42 and 68 of the Dutch Constitution. The parliamentary procedures are based on the rules of procedure of the Chamber of Representatives and the House of Representatives. The information on the benefits scandal is based on public reports by the National Ombudsman and the parliamentary committee of inquiry. This chapter does not constitute legal advice.</w:t>
      </w:r>
    </w:p>
    <w:p w14:paraId="5E80738A" w14:textId="77777777" w:rsidR="009650FE" w:rsidRDefault="009650FE">
      <w:pPr>
        <w:pStyle w:val="marker"/>
        <w:ind w:left="800" w:right="800"/>
        <w:divId w:val="953290302"/>
        <w:rPr>
          <w:lang w:val="en-GB"/>
        </w:rPr>
      </w:pPr>
      <w:r>
        <w:br w:type="page"/>
      </w:r>
    </w:p>
    <w:p w14:paraId="23D35318" w14:textId="77777777" w:rsidR="009650FE" w:rsidRDefault="009650FE">
      <w:pPr>
        <w:pStyle w:val="Kop2"/>
        <w:divId w:val="953290302"/>
        <w:rPr>
          <w:rFonts w:eastAsia="Times New Roman"/>
          <w:lang w:val="en-GB"/>
        </w:rPr>
      </w:pPr>
      <w:bookmarkStart w:id="139" w:name="_Toc242103277"/>
      <w:r>
        <w:rPr>
          <w:rFonts w:eastAsia="Times New Roman"/>
          <w:lang w:val="en-GB"/>
        </w:rPr>
        <w:t>The nobility</w:t>
      </w:r>
      <w:bookmarkEnd w:id="139"/>
    </w:p>
    <w:p w14:paraId="7D27894C" w14:textId="77777777" w:rsidR="009650FE" w:rsidRDefault="009650FE">
      <w:pPr>
        <w:pStyle w:val="lead"/>
        <w:divId w:val="953290302"/>
        <w:rPr>
          <w:lang w:val="en-GB"/>
        </w:rPr>
      </w:pPr>
      <w:r>
        <w:rPr>
          <w:lang w:val="en-GB"/>
        </w:rPr>
        <w:t>In Belgium and the Netherlands, the King is the symbolic head of state. Formally, he has no independent power: his actions are only valid if co-signed by a responsible minister. Nevertheless, he receives thousands of petitions from citizens every year. These petitions are not legal proceedings. They are an informal channel — and precisely because they are informal, they can influence the political agenda in a way that formal complaints cannot.</w:t>
      </w:r>
    </w:p>
    <w:p w14:paraId="70CB10AF" w14:textId="77777777" w:rsidR="009650FE" w:rsidRDefault="009650FE">
      <w:pPr>
        <w:pStyle w:val="Kop3"/>
        <w:divId w:val="953290302"/>
        <w:rPr>
          <w:rFonts w:eastAsia="Times New Roman"/>
          <w:lang w:val="en-GB"/>
        </w:rPr>
      </w:pPr>
      <w:bookmarkStart w:id="140" w:name="_Toc242103278"/>
      <w:r>
        <w:rPr>
          <w:rFonts w:eastAsia="Times New Roman"/>
          <w:lang w:val="en-GB"/>
        </w:rPr>
        <w:t>Part A — Formal power: what the King can and cannot do</w:t>
      </w:r>
      <w:bookmarkEnd w:id="140"/>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6DC3F021" w14:textId="77777777">
        <w:trPr>
          <w:divId w:val="953290302"/>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394BEEF4" w14:textId="77777777" w:rsidR="009650FE" w:rsidRDefault="009650FE">
            <w:pPr>
              <w:pStyle w:val="Normaalweb"/>
              <w:spacing w:before="120"/>
              <w:jc w:val="center"/>
              <w:rPr>
                <w:sz w:val="21"/>
                <w:szCs w:val="21"/>
              </w:rPr>
            </w:pPr>
            <w:r>
              <w:rPr>
                <w:noProof/>
                <w:sz w:val="21"/>
                <w:szCs w:val="21"/>
              </w:rPr>
              <w:drawing>
                <wp:inline distT="0" distB="0" distL="0" distR="0" wp14:anchorId="3AE011D4" wp14:editId="075A8293">
                  <wp:extent cx="3810000" cy="1524000"/>
                  <wp:effectExtent l="0" t="0" r="0" b="0"/>
                  <wp:docPr id="81" name="Afbeelding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3810000" cy="1524000"/>
                          </a:xfrm>
                          <a:prstGeom prst="rect">
                            <a:avLst/>
                          </a:prstGeom>
                          <a:noFill/>
                          <a:ln>
                            <a:noFill/>
                          </a:ln>
                        </pic:spPr>
                      </pic:pic>
                    </a:graphicData>
                  </a:graphic>
                </wp:inline>
              </w:drawing>
            </w:r>
          </w:p>
          <w:p w14:paraId="311AD757" w14:textId="77777777" w:rsidR="009650FE" w:rsidRDefault="009650FE">
            <w:pPr>
              <w:pStyle w:val="caption"/>
              <w:spacing w:after="120" w:afterAutospacing="0"/>
            </w:pPr>
            <w:r>
              <w:rPr>
                <w:rStyle w:val="Zwaar"/>
              </w:rPr>
              <w:t>Figure XVIII.1 — The formal position of the King.</w:t>
            </w:r>
            <w:r>
              <w:t xml:space="preserve"> </w:t>
            </w:r>
            <w:r>
              <w:t>In Belgium, the King is part of the legislature (Art. 36) and holds executive power (Art. 37), but no act is valid without the co-signature of a minister (Art. 106). In the Netherlands, the King is inviolable (Art. 42) and does not possess any independent constitutional powers. In both countries: the King reigns but does not govern.</w:t>
            </w:r>
          </w:p>
        </w:tc>
      </w:tr>
    </w:tbl>
    <w:p w14:paraId="10E025CA" w14:textId="77777777" w:rsidR="009650FE" w:rsidRDefault="009650FE">
      <w:pPr>
        <w:pStyle w:val="Kop3"/>
        <w:divId w:val="953290302"/>
        <w:rPr>
          <w:rFonts w:eastAsia="Times New Roman"/>
          <w:lang w:val="en-GB"/>
        </w:rPr>
      </w:pPr>
      <w:bookmarkStart w:id="141" w:name="_Toc242103279"/>
      <w:r>
        <w:rPr>
          <w:rFonts w:eastAsia="Times New Roman"/>
          <w:lang w:val="en-GB"/>
        </w:rPr>
        <w:t>Part B — The right to petition</w:t>
      </w:r>
      <w:bookmarkEnd w:id="141"/>
    </w:p>
    <w:p w14:paraId="02167D58" w14:textId="77777777" w:rsidR="009650FE" w:rsidRDefault="009650FE">
      <w:pPr>
        <w:pStyle w:val="Normaalweb"/>
        <w:divId w:val="953290302"/>
        <w:rPr>
          <w:lang w:val="en-GB"/>
        </w:rPr>
      </w:pPr>
      <w:r>
        <w:rPr>
          <w:lang w:val="en-GB"/>
        </w:rPr>
        <w:t>In both countries, the right to submit a petition is enshrined in the constitution.</w:t>
      </w:r>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4D26B89E" w14:textId="77777777">
        <w:trPr>
          <w:divId w:val="953290302"/>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33D34CF8" w14:textId="77777777" w:rsidR="009650FE" w:rsidRDefault="009650FE">
            <w:pPr>
              <w:pStyle w:val="Normaalweb"/>
              <w:spacing w:before="120"/>
              <w:jc w:val="center"/>
              <w:rPr>
                <w:sz w:val="21"/>
                <w:szCs w:val="21"/>
              </w:rPr>
            </w:pPr>
            <w:r>
              <w:rPr>
                <w:noProof/>
                <w:sz w:val="21"/>
                <w:szCs w:val="21"/>
              </w:rPr>
              <w:drawing>
                <wp:inline distT="0" distB="0" distL="0" distR="0" wp14:anchorId="702BD866" wp14:editId="00C7AD93">
                  <wp:extent cx="3810000" cy="1333500"/>
                  <wp:effectExtent l="0" t="0" r="0" b="0"/>
                  <wp:docPr id="82" name="Afbeelding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3810000" cy="1333500"/>
                          </a:xfrm>
                          <a:prstGeom prst="rect">
                            <a:avLst/>
                          </a:prstGeom>
                          <a:noFill/>
                          <a:ln>
                            <a:noFill/>
                          </a:ln>
                        </pic:spPr>
                      </pic:pic>
                    </a:graphicData>
                  </a:graphic>
                </wp:inline>
              </w:drawing>
            </w:r>
          </w:p>
          <w:p w14:paraId="4C3CA22F" w14:textId="77777777" w:rsidR="009650FE" w:rsidRDefault="009650FE">
            <w:pPr>
              <w:pStyle w:val="caption"/>
              <w:spacing w:after="120" w:afterAutospacing="0"/>
            </w:pPr>
            <w:r>
              <w:rPr>
                <w:rStyle w:val="Zwaar"/>
              </w:rPr>
              <w:t>Figure XVIII.2 — The right to petition.</w:t>
            </w:r>
            <w:r>
              <w:t xml:space="preserve"> In Belgium, the right to petition is enshrined in Article 28 of the Constitution, and Article 57 grants the Chamber of Representatives the power to refer petitions to ministers, who are obliged to provide an explanation. In the Netherlands, the right to petition is enshrined in Article 5 of the Constitution, without any specific parliamentary procedure. The House of Representatives has its own regulations governing the Committee on Petitions and Citizens’ Initiatives.</w:t>
            </w:r>
          </w:p>
        </w:tc>
      </w:tr>
    </w:tbl>
    <w:p w14:paraId="6185738B" w14:textId="77777777" w:rsidR="009650FE" w:rsidRDefault="009650FE">
      <w:pPr>
        <w:pStyle w:val="Kop3"/>
        <w:divId w:val="953290302"/>
        <w:rPr>
          <w:rFonts w:eastAsia="Times New Roman"/>
          <w:lang w:val="en-GB"/>
        </w:rPr>
      </w:pPr>
      <w:bookmarkStart w:id="142" w:name="_Toc242103280"/>
      <w:r>
        <w:rPr>
          <w:rFonts w:eastAsia="Times New Roman"/>
          <w:lang w:val="en-GB"/>
        </w:rPr>
        <w:t>Part C — In practice: how petitions are dealt with</w:t>
      </w:r>
      <w:bookmarkEnd w:id="142"/>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493FA6BE" w14:textId="77777777">
        <w:trPr>
          <w:divId w:val="953290302"/>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57AE75C9" w14:textId="77777777" w:rsidR="009650FE" w:rsidRDefault="009650FE">
            <w:pPr>
              <w:pStyle w:val="Normaalweb"/>
              <w:spacing w:before="120"/>
              <w:jc w:val="center"/>
              <w:rPr>
                <w:sz w:val="21"/>
                <w:szCs w:val="21"/>
              </w:rPr>
            </w:pPr>
            <w:r>
              <w:rPr>
                <w:noProof/>
                <w:sz w:val="21"/>
                <w:szCs w:val="21"/>
              </w:rPr>
              <w:drawing>
                <wp:inline distT="0" distB="0" distL="0" distR="0" wp14:anchorId="3F151E5D" wp14:editId="1AF33F14">
                  <wp:extent cx="3810000" cy="1644650"/>
                  <wp:effectExtent l="0" t="0" r="0" b="0"/>
                  <wp:docPr id="83" name="Afbeelding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3810000" cy="1644650"/>
                          </a:xfrm>
                          <a:prstGeom prst="rect">
                            <a:avLst/>
                          </a:prstGeom>
                          <a:noFill/>
                          <a:ln>
                            <a:noFill/>
                          </a:ln>
                        </pic:spPr>
                      </pic:pic>
                    </a:graphicData>
                  </a:graphic>
                </wp:inline>
              </w:drawing>
            </w:r>
          </w:p>
          <w:p w14:paraId="5AE97523" w14:textId="77777777" w:rsidR="009650FE" w:rsidRDefault="009650FE">
            <w:pPr>
              <w:pStyle w:val="caption"/>
              <w:spacing w:after="120" w:afterAutospacing="0"/>
            </w:pPr>
            <w:r>
              <w:rPr>
                <w:rStyle w:val="Zwaar"/>
              </w:rPr>
              <w:t>Figure XVIII.3 — The path of a petition.</w:t>
            </w:r>
            <w:r>
              <w:t xml:space="preserve"> In Belgium, the Palace’s Petitions Service receives around ten thousand petitions each year. Each petition is examined and either given a response or referred to the most appropriate authority. In the Netherlands, the King’s Cabinet receives between three thousand and five thousand letters each year. The Cabinet analyses these and forwards them to the relevant minister. In both cases: there are no binding consequences.</w:t>
            </w:r>
          </w:p>
        </w:tc>
      </w:tr>
    </w:tbl>
    <w:p w14:paraId="29EC9780" w14:textId="77777777" w:rsidR="009650FE" w:rsidRDefault="009650FE">
      <w:pPr>
        <w:pStyle w:val="Kop3"/>
        <w:divId w:val="953290302"/>
        <w:rPr>
          <w:rFonts w:eastAsia="Times New Roman"/>
          <w:lang w:val="en-GB"/>
        </w:rPr>
      </w:pPr>
      <w:bookmarkStart w:id="143" w:name="_Toc242103281"/>
      <w:r>
        <w:rPr>
          <w:rFonts w:eastAsia="Times New Roman"/>
          <w:lang w:val="en-GB"/>
        </w:rPr>
        <w:t>Part D — The paradox of the informal channel</w:t>
      </w:r>
      <w:bookmarkEnd w:id="143"/>
    </w:p>
    <w:p w14:paraId="747CC01F" w14:textId="77777777" w:rsidR="009650FE" w:rsidRDefault="009650FE">
      <w:pPr>
        <w:pStyle w:val="Normaalweb"/>
        <w:divId w:val="953290302"/>
        <w:rPr>
          <w:lang w:val="en-GB"/>
        </w:rPr>
      </w:pPr>
      <w:r>
        <w:rPr>
          <w:lang w:val="en-GB"/>
        </w:rPr>
        <w:t>Formally speaking, the King has no power. The minister is responsible. Politics calls the shots. And yet: a petition to the King reaches a level that an ordinary complaint does not.</w:t>
      </w:r>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14D36514" w14:textId="77777777">
        <w:trPr>
          <w:divId w:val="953290302"/>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70E34F0F" w14:textId="77777777" w:rsidR="009650FE" w:rsidRDefault="009650FE">
            <w:pPr>
              <w:pStyle w:val="Normaalweb"/>
              <w:spacing w:before="120"/>
              <w:jc w:val="center"/>
              <w:rPr>
                <w:sz w:val="21"/>
                <w:szCs w:val="21"/>
              </w:rPr>
            </w:pPr>
            <w:r>
              <w:rPr>
                <w:noProof/>
                <w:sz w:val="21"/>
                <w:szCs w:val="21"/>
              </w:rPr>
              <w:drawing>
                <wp:inline distT="0" distB="0" distL="0" distR="0" wp14:anchorId="6D81C987" wp14:editId="61948D07">
                  <wp:extent cx="3810000" cy="1206500"/>
                  <wp:effectExtent l="0" t="0" r="0" b="0"/>
                  <wp:docPr id="84" name="Afbeelding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3810000" cy="1206500"/>
                          </a:xfrm>
                          <a:prstGeom prst="rect">
                            <a:avLst/>
                          </a:prstGeom>
                          <a:noFill/>
                          <a:ln>
                            <a:noFill/>
                          </a:ln>
                        </pic:spPr>
                      </pic:pic>
                    </a:graphicData>
                  </a:graphic>
                </wp:inline>
              </w:drawing>
            </w:r>
          </w:p>
          <w:p w14:paraId="5B5CDE92" w14:textId="77777777" w:rsidR="009650FE" w:rsidRDefault="009650FE">
            <w:pPr>
              <w:pStyle w:val="caption"/>
              <w:spacing w:after="120" w:afterAutospacing="0"/>
            </w:pPr>
            <w:r>
              <w:rPr>
                <w:rStyle w:val="Zwaar"/>
              </w:rPr>
              <w:t>Figure XVIII.4 — The paradox of the informal channel.</w:t>
            </w:r>
            <w:r>
              <w:t xml:space="preserve"> An ordinary complaint remains at the executive level. A petition to the King reaches the political level, because it is analysed by the Cabinet and must be answered by a minister. The King has no power, but his postbox does.</w:t>
            </w:r>
          </w:p>
        </w:tc>
      </w:tr>
    </w:tbl>
    <w:p w14:paraId="0CD9622C" w14:textId="77777777" w:rsidR="009650FE" w:rsidRDefault="009650FE">
      <w:pPr>
        <w:pStyle w:val="Kop3"/>
        <w:divId w:val="953290302"/>
        <w:rPr>
          <w:rFonts w:eastAsia="Times New Roman"/>
          <w:lang w:val="en-GB"/>
        </w:rPr>
      </w:pPr>
      <w:bookmarkStart w:id="144" w:name="_Toc242103282"/>
      <w:r>
        <w:rPr>
          <w:rFonts w:eastAsia="Times New Roman"/>
          <w:lang w:val="en-GB"/>
        </w:rPr>
        <w:t>Part E — Practical aspects of this case</w:t>
      </w:r>
      <w:bookmarkEnd w:id="144"/>
    </w:p>
    <w:p w14:paraId="0A97E46A" w14:textId="77777777" w:rsidR="009650FE" w:rsidRDefault="009650FE">
      <w:pPr>
        <w:pStyle w:val="Normaalweb"/>
        <w:divId w:val="953290302"/>
        <w:rPr>
          <w:lang w:val="en-GB"/>
        </w:rPr>
      </w:pPr>
      <w:r>
        <w:rPr>
          <w:lang w:val="en-GB"/>
        </w:rPr>
        <w:t>In this case, a petition has been submitted to the head of state in both countries.</w:t>
      </w:r>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307E8412" w14:textId="77777777">
        <w:trPr>
          <w:divId w:val="953290302"/>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0022735B" w14:textId="77777777" w:rsidR="009650FE" w:rsidRDefault="009650FE">
            <w:pPr>
              <w:pStyle w:val="Normaalweb"/>
              <w:spacing w:before="120"/>
              <w:jc w:val="center"/>
              <w:rPr>
                <w:sz w:val="21"/>
                <w:szCs w:val="21"/>
              </w:rPr>
            </w:pPr>
            <w:r>
              <w:rPr>
                <w:noProof/>
                <w:sz w:val="21"/>
                <w:szCs w:val="21"/>
              </w:rPr>
              <w:drawing>
                <wp:inline distT="0" distB="0" distL="0" distR="0" wp14:anchorId="27A9A90C" wp14:editId="45E79D91">
                  <wp:extent cx="3810000" cy="1333500"/>
                  <wp:effectExtent l="0" t="0" r="0" b="0"/>
                  <wp:docPr id="85" name="Afbeelding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3810000" cy="1333500"/>
                          </a:xfrm>
                          <a:prstGeom prst="rect">
                            <a:avLst/>
                          </a:prstGeom>
                          <a:noFill/>
                          <a:ln>
                            <a:noFill/>
                          </a:ln>
                        </pic:spPr>
                      </pic:pic>
                    </a:graphicData>
                  </a:graphic>
                </wp:inline>
              </w:drawing>
            </w:r>
          </w:p>
          <w:p w14:paraId="44B00A0E" w14:textId="77777777" w:rsidR="009650FE" w:rsidRDefault="009650FE">
            <w:pPr>
              <w:pStyle w:val="caption"/>
              <w:spacing w:after="120" w:afterAutospacing="0"/>
            </w:pPr>
            <w:r>
              <w:rPr>
                <w:rStyle w:val="Zwaar"/>
              </w:rPr>
              <w:t>Figure XVIII.5 — The two petitions.</w:t>
            </w:r>
            <w:r>
              <w:t xml:space="preserve"> In both countries, a petition was sent to the Head of State. In Belgium, the digital channel failed due to a DNS error on the Palace’s mail server; only the physical letter reached the Palace. In the Netherlands, the digital channel did work. In both cases, the petitions were forwarded to the relevant minister, without any substantive intervention by the King.</w:t>
            </w:r>
          </w:p>
        </w:tc>
      </w:tr>
    </w:tbl>
    <w:p w14:paraId="009D6542" w14:textId="77777777" w:rsidR="009650FE" w:rsidRDefault="009650FE">
      <w:pPr>
        <w:pStyle w:val="Kop3"/>
        <w:divId w:val="953290302"/>
        <w:rPr>
          <w:rFonts w:eastAsia="Times New Roman"/>
          <w:lang w:val="en-GB"/>
        </w:rPr>
      </w:pPr>
      <w:bookmarkStart w:id="145" w:name="_Toc242103283"/>
      <w:r>
        <w:rPr>
          <w:rFonts w:eastAsia="Times New Roman"/>
          <w:lang w:val="en-GB"/>
        </w:rPr>
        <w:t>Part F — What this chapter sets out</w:t>
      </w:r>
      <w:bookmarkEnd w:id="145"/>
    </w:p>
    <w:p w14:paraId="314249BA" w14:textId="77777777" w:rsidR="009650FE" w:rsidRDefault="009650FE">
      <w:pPr>
        <w:pStyle w:val="Normaalweb"/>
        <w:divId w:val="953290302"/>
        <w:rPr>
          <w:lang w:val="en-GB"/>
        </w:rPr>
      </w:pPr>
      <w:r>
        <w:rPr>
          <w:lang w:val="en-GB"/>
        </w:rPr>
        <w:t>The nobility — the King and his cabinet — have no executive power in Belgium and the Netherlands. The King reigns, but does not govern. He is immune from prosecution, but his acts are only valid if countersigned by a responsible minister.</w:t>
      </w:r>
    </w:p>
    <w:p w14:paraId="5713399D" w14:textId="77777777" w:rsidR="009650FE" w:rsidRDefault="009650FE">
      <w:pPr>
        <w:pStyle w:val="Normaalweb"/>
        <w:divId w:val="953290302"/>
        <w:rPr>
          <w:lang w:val="en-GB"/>
        </w:rPr>
      </w:pPr>
      <w:r>
        <w:rPr>
          <w:lang w:val="en-GB"/>
        </w:rPr>
        <w:t>Nevertheless, a petition to the King is a channel that does reach the political level. An ordinary complaint remains within the executive branch. A petition to the King is analysed by the Cabinet, answered by a minister, and — more importantly — the minister bears political responsibility for it. In this way, the message reaches a level where the executive branch cannot ignore it.</w:t>
      </w:r>
    </w:p>
    <w:p w14:paraId="17962799" w14:textId="77777777" w:rsidR="009650FE" w:rsidRDefault="009650FE">
      <w:pPr>
        <w:pStyle w:val="Normaalweb"/>
        <w:divId w:val="953290302"/>
        <w:rPr>
          <w:lang w:val="en-GB"/>
        </w:rPr>
      </w:pPr>
      <w:r>
        <w:rPr>
          <w:lang w:val="en-GB"/>
        </w:rPr>
        <w:t>The paradox is that the King has no power, but his postbox does. It is an informal channel. No legal procedure. No right to a decision. But it is a channel that takes the message one level higher. And in a case where those in charge of implementation refuse to listen, that is no small matter.</w:t>
      </w:r>
    </w:p>
    <w:p w14:paraId="7679D56C" w14:textId="77777777" w:rsidR="009650FE" w:rsidRDefault="009650FE">
      <w:pPr>
        <w:pStyle w:val="noot"/>
        <w:spacing w:after="120" w:afterAutospacing="0"/>
        <w:divId w:val="953290302"/>
        <w:rPr>
          <w:lang w:val="en-GB"/>
        </w:rPr>
      </w:pPr>
      <w:r>
        <w:rPr>
          <w:lang w:val="en-GB"/>
        </w:rPr>
        <w:t>All organisations in this chapter are legal entities. Natural persons are referred to by their title or symbol. The constitutional basis is Articles 28, 33, 36, 37, 57 and 106 of the Belgian Constitution, and Articles 5, 42 and 68 of the Dutch Constitution. The procedure for petitions is based on the official communications from the Royal Palace and the King’s Cabinet. This chapter does not constitute legal advice.</w:t>
      </w:r>
    </w:p>
    <w:p w14:paraId="4584941F" w14:textId="77777777" w:rsidR="009650FE" w:rsidRDefault="009650FE">
      <w:pPr>
        <w:pStyle w:val="marker"/>
        <w:ind w:left="800" w:right="800"/>
        <w:divId w:val="953290302"/>
        <w:rPr>
          <w:lang w:val="en-GB"/>
        </w:rPr>
      </w:pPr>
      <w:r>
        <w:br w:type="page"/>
      </w:r>
    </w:p>
    <w:p w14:paraId="29AF8C10" w14:textId="77777777" w:rsidR="009650FE" w:rsidRDefault="009650FE">
      <w:pPr>
        <w:pStyle w:val="Kop2"/>
        <w:divId w:val="953290302"/>
        <w:rPr>
          <w:rFonts w:eastAsia="Times New Roman"/>
          <w:lang w:val="en-GB"/>
        </w:rPr>
      </w:pPr>
      <w:bookmarkStart w:id="146" w:name="_Toc242103284"/>
      <w:r>
        <w:rPr>
          <w:rFonts w:eastAsia="Times New Roman"/>
          <w:lang w:val="en-GB"/>
        </w:rPr>
        <w:t>The allies and the watchdog</w:t>
      </w:r>
      <w:bookmarkEnd w:id="146"/>
    </w:p>
    <w:p w14:paraId="4E9CF91C" w14:textId="77777777" w:rsidR="009650FE" w:rsidRDefault="009650FE">
      <w:pPr>
        <w:pStyle w:val="lead"/>
        <w:divId w:val="953290302"/>
        <w:rPr>
          <w:lang w:val="en-GB"/>
        </w:rPr>
      </w:pPr>
      <w:r>
        <w:rPr>
          <w:lang w:val="en-GB"/>
        </w:rPr>
        <w:t>Alongside the government and the private sector, there are organisations that are supposed to support citizens: trade unions, equal opportunities centres, human rights organisations and academics. This report looks at four of them. One actually helps, with a tax service that makes a real difference. One claims it has no jurisdiction on the basis of a technical criterion. And the academic world only gets involved once the case has become irrefutable — and then things move quickly.</w:t>
      </w:r>
    </w:p>
    <w:p w14:paraId="770D82F5" w14:textId="77777777" w:rsidR="009650FE" w:rsidRDefault="009650FE">
      <w:pPr>
        <w:pStyle w:val="Kop3"/>
        <w:divId w:val="953290302"/>
        <w:rPr>
          <w:rFonts w:eastAsia="Times New Roman"/>
          <w:lang w:val="en-GB"/>
        </w:rPr>
      </w:pPr>
      <w:bookmarkStart w:id="147" w:name="_Toc242103285"/>
      <w:r>
        <w:rPr>
          <w:rFonts w:eastAsia="Times New Roman"/>
          <w:lang w:val="en-GB"/>
        </w:rPr>
        <w:t>Part A — ACV: the trade union that helps and takes action</w:t>
      </w:r>
      <w:bookmarkEnd w:id="147"/>
    </w:p>
    <w:p w14:paraId="5C65DE66" w14:textId="77777777" w:rsidR="009650FE" w:rsidRDefault="009650FE">
      <w:pPr>
        <w:pStyle w:val="Normaalweb"/>
        <w:divId w:val="953290302"/>
        <w:rPr>
          <w:lang w:val="en-GB"/>
        </w:rPr>
      </w:pPr>
      <w:r>
        <w:rPr>
          <w:lang w:val="en-GB"/>
        </w:rPr>
        <w:t>The General Christian Trade Union is Belgium’s largest trade union. As well as providing trade union representation, it offers legal assistance, tax advice and payment services for unemployment benefits. In this case, the trade union plays three roles.</w:t>
      </w:r>
    </w:p>
    <w:p w14:paraId="4B11D063" w14:textId="77777777" w:rsidR="009650FE" w:rsidRDefault="009650FE">
      <w:pPr>
        <w:pStyle w:val="Kop4"/>
        <w:divId w:val="953290302"/>
        <w:rPr>
          <w:rFonts w:eastAsia="Times New Roman"/>
          <w:lang w:val="en-GB"/>
        </w:rPr>
      </w:pPr>
      <w:r>
        <w:rPr>
          <w:rFonts w:eastAsia="Times New Roman"/>
          <w:lang w:val="en-GB"/>
        </w:rPr>
        <w:t>What works: the tax office</w:t>
      </w:r>
    </w:p>
    <w:p w14:paraId="05743DEF" w14:textId="77777777" w:rsidR="009650FE" w:rsidRDefault="009650FE">
      <w:pPr>
        <w:pStyle w:val="Normaalweb"/>
        <w:divId w:val="953290302"/>
        <w:rPr>
          <w:lang w:val="en-GB"/>
        </w:rPr>
      </w:pPr>
      <w:r>
        <w:rPr>
          <w:lang w:val="en-GB"/>
        </w:rPr>
        <w:t>The annual Belgian tax return is prepared via the ACV East Flanders tax department. The disability code is entered correctly. The childcare certificates are added manually. The result is a refund of €2,669.97, which was definitively submitted on 25 September 2026. This service is functioning correctly.</w:t>
      </w:r>
    </w:p>
    <w:p w14:paraId="5778B6BD" w14:textId="77777777" w:rsidR="009650FE" w:rsidRDefault="009650FE">
      <w:pPr>
        <w:pStyle w:val="Kop4"/>
        <w:divId w:val="953290302"/>
        <w:rPr>
          <w:rFonts w:eastAsia="Times New Roman"/>
          <w:lang w:val="en-GB"/>
        </w:rPr>
      </w:pPr>
      <w:r>
        <w:rPr>
          <w:rFonts w:eastAsia="Times New Roman"/>
          <w:lang w:val="en-GB"/>
        </w:rPr>
        <w:t>What doesn’t work: legal aid from the CM</w:t>
      </w:r>
    </w:p>
    <w:p w14:paraId="4D076459" w14:textId="77777777" w:rsidR="009650FE" w:rsidRDefault="009650FE">
      <w:pPr>
        <w:pStyle w:val="Normaalweb"/>
        <w:divId w:val="953290302"/>
        <w:rPr>
          <w:lang w:val="en-GB"/>
        </w:rPr>
      </w:pPr>
      <w:r>
        <w:rPr>
          <w:lang w:val="en-GB"/>
        </w:rPr>
        <w:t>If the CM refuses to pay sickness benefit and does not apply the aggregation rules, the trade union is formally called upon to intervene. It is not the patient who is a member, but his partner — herself a trade union representative in the education sector. Through her role, she seeks assistance from the Christian Teachers’ Association, the education branch of the same trade union.</w:t>
      </w:r>
    </w:p>
    <w:p w14:paraId="2FA1958E" w14:textId="77777777" w:rsidR="009650FE" w:rsidRDefault="009650FE">
      <w:pPr>
        <w:pStyle w:val="Normaalweb"/>
        <w:divId w:val="953290302"/>
        <w:rPr>
          <w:lang w:val="en-GB"/>
        </w:rPr>
      </w:pPr>
      <w:r>
        <w:rPr>
          <w:lang w:val="en-GB"/>
        </w:rPr>
        <w:t>The legal department fully acknowledges the system error. The administrative distinction between incapacity and disability is confirmed. Nevertheless, the trade union refuses to take legal action against the CM, citing a formal argument: the patient herself does not have a membership number. The paying member — the partner — suffers the financial consequences, but receives no legal assistance for a case that is not in her name.</w:t>
      </w:r>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7103DF80" w14:textId="77777777">
        <w:trPr>
          <w:divId w:val="953290302"/>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64F33FA7" w14:textId="77777777" w:rsidR="009650FE" w:rsidRDefault="009650FE">
            <w:pPr>
              <w:pStyle w:val="Normaalweb"/>
              <w:spacing w:before="120"/>
              <w:jc w:val="center"/>
              <w:rPr>
                <w:sz w:val="21"/>
                <w:szCs w:val="21"/>
              </w:rPr>
            </w:pPr>
            <w:r>
              <w:rPr>
                <w:noProof/>
                <w:sz w:val="21"/>
                <w:szCs w:val="21"/>
              </w:rPr>
              <w:drawing>
                <wp:inline distT="0" distB="0" distL="0" distR="0" wp14:anchorId="16CF2EAE" wp14:editId="739F6B63">
                  <wp:extent cx="3810000" cy="1524000"/>
                  <wp:effectExtent l="0" t="0" r="0" b="0"/>
                  <wp:docPr id="86" name="Afbeelding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3810000" cy="1524000"/>
                          </a:xfrm>
                          <a:prstGeom prst="rect">
                            <a:avLst/>
                          </a:prstGeom>
                          <a:noFill/>
                          <a:ln>
                            <a:noFill/>
                          </a:ln>
                        </pic:spPr>
                      </pic:pic>
                    </a:graphicData>
                  </a:graphic>
                </wp:inline>
              </w:drawing>
            </w:r>
          </w:p>
          <w:p w14:paraId="62DDC60E" w14:textId="77777777" w:rsidR="009650FE" w:rsidRDefault="009650FE">
            <w:pPr>
              <w:pStyle w:val="caption"/>
              <w:spacing w:after="120" w:afterAutospacing="0"/>
            </w:pPr>
            <w:r>
              <w:rPr>
                <w:rStyle w:val="Zwaar"/>
              </w:rPr>
              <w:t>Figure XXI.1 — ACV: two entry points, two outcomes.</w:t>
            </w:r>
            <w:r>
              <w:t xml:space="preserve"> The tax department is functioning. The legal department stops at the individual membership threshold: only members who have a case file of their own receive assistance.</w:t>
            </w:r>
          </w:p>
        </w:tc>
      </w:tr>
    </w:tbl>
    <w:p w14:paraId="3CA2183A" w14:textId="77777777" w:rsidR="009650FE" w:rsidRDefault="009650FE">
      <w:pPr>
        <w:pStyle w:val="Kop3"/>
        <w:divId w:val="953290302"/>
        <w:rPr>
          <w:rFonts w:eastAsia="Times New Roman"/>
          <w:lang w:val="en-GB"/>
        </w:rPr>
      </w:pPr>
      <w:bookmarkStart w:id="148" w:name="_Toc242103286"/>
      <w:r>
        <w:rPr>
          <w:rFonts w:eastAsia="Times New Roman"/>
          <w:lang w:val="en-GB"/>
        </w:rPr>
        <w:t>Part B — UNIA: the watchdog that isn’t allowed to bite</w:t>
      </w:r>
      <w:bookmarkEnd w:id="148"/>
    </w:p>
    <w:p w14:paraId="3188441C" w14:textId="77777777" w:rsidR="009650FE" w:rsidRDefault="009650FE">
      <w:pPr>
        <w:pStyle w:val="Normaalweb"/>
        <w:divId w:val="953290302"/>
        <w:rPr>
          <w:lang w:val="en-GB"/>
        </w:rPr>
      </w:pPr>
      <w:r>
        <w:rPr>
          <w:lang w:val="en-GB"/>
        </w:rPr>
        <w:t>UNIA is the Interfederal Centre for Equal Opportunities. It is Belgium’s independent watchdog against discrimination. When administrative bodies refuse to recognise a citizen on the grounds that they reside in a neighbouring country, the question arises as to whether this constitutes discrimination.</w:t>
      </w:r>
    </w:p>
    <w:p w14:paraId="53A9B43F" w14:textId="77777777" w:rsidR="009650FE" w:rsidRDefault="009650FE">
      <w:pPr>
        <w:pStyle w:val="Normaalweb"/>
        <w:divId w:val="953290302"/>
        <w:rPr>
          <w:lang w:val="en-GB"/>
        </w:rPr>
      </w:pPr>
      <w:r>
        <w:rPr>
          <w:lang w:val="en-GB"/>
        </w:rPr>
        <w:t>In April 2026, UNIA will be formally notified of the systematic exclusion of cross-border workers. The notification concerns the refusal to recognise medical qualifications solely on the grounds of residence in the Netherlands.</w:t>
      </w:r>
    </w:p>
    <w:p w14:paraId="3074B911" w14:textId="77777777" w:rsidR="009650FE" w:rsidRDefault="009650FE">
      <w:pPr>
        <w:pStyle w:val="Normaalweb"/>
        <w:divId w:val="953290302"/>
        <w:rPr>
          <w:lang w:val="en-GB"/>
        </w:rPr>
      </w:pPr>
      <w:r>
        <w:rPr>
          <w:lang w:val="en-GB"/>
        </w:rPr>
        <w:t>UNIA’s assessment highlights a shortcoming in Belgian anti-discrimination legislation. The watchdog formally declares that it lacks jurisdiction, for two critical reasons.</w:t>
      </w:r>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73673136" w14:textId="77777777">
        <w:trPr>
          <w:divId w:val="953290302"/>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08EC9566" w14:textId="77777777" w:rsidR="009650FE" w:rsidRDefault="009650FE">
            <w:pPr>
              <w:pStyle w:val="Normaalweb"/>
              <w:spacing w:before="120"/>
              <w:jc w:val="center"/>
              <w:rPr>
                <w:sz w:val="21"/>
                <w:szCs w:val="21"/>
              </w:rPr>
            </w:pPr>
            <w:r>
              <w:rPr>
                <w:noProof/>
                <w:sz w:val="21"/>
                <w:szCs w:val="21"/>
              </w:rPr>
              <w:drawing>
                <wp:inline distT="0" distB="0" distL="0" distR="0" wp14:anchorId="6A1F93A6" wp14:editId="241924A4">
                  <wp:extent cx="3810000" cy="1460500"/>
                  <wp:effectExtent l="0" t="0" r="0" b="6350"/>
                  <wp:docPr id="87" name="Afbeelding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3810000" cy="1460500"/>
                          </a:xfrm>
                          <a:prstGeom prst="rect">
                            <a:avLst/>
                          </a:prstGeom>
                          <a:noFill/>
                          <a:ln>
                            <a:noFill/>
                          </a:ln>
                        </pic:spPr>
                      </pic:pic>
                    </a:graphicData>
                  </a:graphic>
                </wp:inline>
              </w:drawing>
            </w:r>
          </w:p>
          <w:p w14:paraId="772C23D2" w14:textId="77777777" w:rsidR="009650FE" w:rsidRDefault="009650FE">
            <w:pPr>
              <w:pStyle w:val="caption"/>
              <w:spacing w:after="120" w:afterAutospacing="0"/>
            </w:pPr>
            <w:r>
              <w:rPr>
                <w:rStyle w:val="Zwaar"/>
              </w:rPr>
              <w:t>Figure XXI.2 — UNIA’s lack of jurisdiction.</w:t>
            </w:r>
            <w:r>
              <w:t xml:space="preserve"> UNIA declares that it lacks jurisdiction for two reasons: place of residence is not a protected ground under anti-discrimination legislation, and the exclusion stems from the Act itself.</w:t>
            </w:r>
          </w:p>
        </w:tc>
      </w:tr>
    </w:tbl>
    <w:p w14:paraId="58D7E39F" w14:textId="77777777" w:rsidR="009650FE" w:rsidRDefault="009650FE">
      <w:pPr>
        <w:pStyle w:val="Normaalweb"/>
        <w:divId w:val="953290302"/>
        <w:rPr>
          <w:lang w:val="en-GB"/>
        </w:rPr>
      </w:pPr>
      <w:r>
        <w:rPr>
          <w:lang w:val="en-GB"/>
        </w:rPr>
        <w:t>UNIA is closing the case. In doing so, it unwittingly confirms that the exclusion of cross-border workers under the current system is entirely legal.</w:t>
      </w:r>
    </w:p>
    <w:p w14:paraId="6D44201A" w14:textId="77777777" w:rsidR="009650FE" w:rsidRDefault="009650FE">
      <w:pPr>
        <w:pStyle w:val="Kop3"/>
        <w:divId w:val="953290302"/>
        <w:rPr>
          <w:rFonts w:eastAsia="Times New Roman"/>
          <w:lang w:val="en-GB"/>
        </w:rPr>
      </w:pPr>
      <w:bookmarkStart w:id="149" w:name="_Toc242103287"/>
      <w:r>
        <w:rPr>
          <w:rFonts w:eastAsia="Times New Roman"/>
          <w:lang w:val="en-GB"/>
        </w:rPr>
        <w:t>Part C — The academic observation layer</w:t>
      </w:r>
      <w:bookmarkEnd w:id="149"/>
    </w:p>
    <w:p w14:paraId="69908160" w14:textId="77777777" w:rsidR="009650FE" w:rsidRDefault="009650FE">
      <w:pPr>
        <w:pStyle w:val="Normaalweb"/>
        <w:divId w:val="953290302"/>
        <w:rPr>
          <w:lang w:val="en-GB"/>
        </w:rPr>
      </w:pPr>
      <w:r>
        <w:rPr>
          <w:lang w:val="en-GB"/>
        </w:rPr>
        <w:t>The academic world is the final line of defence that could come to the public’s aid. Universities and centres of expertise study systemic failure, publish research on institutional exclusion, and possess the analytical tools to evaluate a case scientifically. What happens when they are presented with a real-life case?</w:t>
      </w:r>
    </w:p>
    <w:p w14:paraId="67C02A7F" w14:textId="77777777" w:rsidR="009650FE" w:rsidRDefault="009650FE">
      <w:pPr>
        <w:pStyle w:val="Kop4"/>
        <w:divId w:val="953290302"/>
        <w:rPr>
          <w:rFonts w:eastAsia="Times New Roman"/>
          <w:lang w:val="en-GB"/>
        </w:rPr>
      </w:pPr>
      <w:r>
        <w:rPr>
          <w:rFonts w:eastAsia="Times New Roman"/>
          <w:lang w:val="en-GB"/>
        </w:rPr>
        <w:t>Months of silence</w:t>
      </w:r>
    </w:p>
    <w:p w14:paraId="522B362F" w14:textId="77777777" w:rsidR="009650FE" w:rsidRDefault="009650FE">
      <w:pPr>
        <w:pStyle w:val="Normaalweb"/>
        <w:divId w:val="953290302"/>
        <w:rPr>
          <w:lang w:val="en-GB"/>
        </w:rPr>
      </w:pPr>
      <w:r>
        <w:rPr>
          <w:lang w:val="en-GB"/>
        </w:rPr>
        <w:t>Between May and September 2026, various academics and institutions will be contacted. Maastricht University’s ITEM Centre of Expertise, the Institute for Social Law at KU Leuven, the Montaigne Centre at Utrecht University, the DRIFT Transition Institute at Erasmus University, and Amsterdam UMC. For months, there is no response. Not a single substantive response is received to a dossier that embodies precisely the themes on which these institutions publish.</w:t>
      </w:r>
    </w:p>
    <w:p w14:paraId="5ECA8010" w14:textId="77777777" w:rsidR="009650FE" w:rsidRDefault="009650FE">
      <w:pPr>
        <w:pStyle w:val="Kop4"/>
        <w:divId w:val="953290302"/>
        <w:rPr>
          <w:rFonts w:eastAsia="Times New Roman"/>
          <w:lang w:val="en-GB"/>
        </w:rPr>
      </w:pPr>
      <w:r>
        <w:rPr>
          <w:rFonts w:eastAsia="Times New Roman"/>
          <w:lang w:val="en-GB"/>
        </w:rPr>
        <w:t>The opening</w:t>
      </w:r>
    </w:p>
    <w:p w14:paraId="199FE199" w14:textId="77777777" w:rsidR="009650FE" w:rsidRDefault="009650FE">
      <w:pPr>
        <w:pStyle w:val="Normaalweb"/>
        <w:divId w:val="953290302"/>
        <w:rPr>
          <w:lang w:val="en-GB"/>
        </w:rPr>
      </w:pPr>
      <w:r>
        <w:rPr>
          <w:lang w:val="en-GB"/>
        </w:rPr>
        <w:t>When, in the autumn of 2026, the complete dossier exceeds the threshold of 250 pages of irrefutable empirical evidence, the ITEM centre of expertise will begin a substantive review. On 17 September 2026, a professor confirms receipt of the dossier and states that he will read the documents first before commenting on their content.</w:t>
      </w:r>
    </w:p>
    <w:p w14:paraId="259E60C2" w14:textId="77777777" w:rsidR="009650FE" w:rsidRDefault="009650FE">
      <w:pPr>
        <w:pStyle w:val="Kop4"/>
        <w:divId w:val="953290302"/>
        <w:rPr>
          <w:rFonts w:eastAsia="Times New Roman"/>
          <w:lang w:val="en-GB"/>
        </w:rPr>
      </w:pPr>
      <w:r>
        <w:rPr>
          <w:rFonts w:eastAsia="Times New Roman"/>
          <w:lang w:val="en-GB"/>
        </w:rPr>
        <w:t>What follows</w:t>
      </w:r>
    </w:p>
    <w:p w14:paraId="47F2B277" w14:textId="77777777" w:rsidR="009650FE" w:rsidRDefault="009650FE">
      <w:pPr>
        <w:pStyle w:val="Normaalweb"/>
        <w:divId w:val="953290302"/>
        <w:rPr>
          <w:lang w:val="en-GB"/>
        </w:rPr>
      </w:pPr>
      <w:r>
        <w:rPr>
          <w:lang w:val="en-GB"/>
        </w:rPr>
        <w:t>In the following week, the case is actively reviewed. An independent researcher specialising in cross-border employment — based at an academic institution and not involved in the case — examines the material and, within a few days, provides a series of legal analyses and alternative courses of action:</w:t>
      </w:r>
    </w:p>
    <w:p w14:paraId="44B55DB7" w14:textId="77777777" w:rsidR="009650FE" w:rsidRDefault="009650FE">
      <w:pPr>
        <w:numPr>
          <w:ilvl w:val="0"/>
          <w:numId w:val="28"/>
        </w:numPr>
        <w:spacing w:before="100" w:beforeAutospacing="1" w:after="100" w:afterAutospacing="1"/>
        <w:divId w:val="953290302"/>
        <w:rPr>
          <w:rFonts w:eastAsia="Times New Roman"/>
          <w:lang w:val="en-GB"/>
        </w:rPr>
      </w:pPr>
      <w:r>
        <w:rPr>
          <w:rFonts w:eastAsia="Times New Roman"/>
          <w:lang w:val="en-GB"/>
        </w:rPr>
        <w:t>The Wajong procedure and the restrictions set out in Annex X to Regulation 883/2004 (benefits that cannot be exported).</w:t>
      </w:r>
    </w:p>
    <w:p w14:paraId="7CD91130" w14:textId="77777777" w:rsidR="009650FE" w:rsidRDefault="009650FE">
      <w:pPr>
        <w:numPr>
          <w:ilvl w:val="0"/>
          <w:numId w:val="28"/>
        </w:numPr>
        <w:spacing w:before="100" w:beforeAutospacing="1" w:after="100" w:afterAutospacing="1"/>
        <w:divId w:val="953290302"/>
        <w:rPr>
          <w:rFonts w:eastAsia="Times New Roman"/>
          <w:lang w:val="en-GB"/>
        </w:rPr>
      </w:pPr>
      <w:r>
        <w:rPr>
          <w:rFonts w:eastAsia="Times New Roman"/>
          <w:lang w:val="en-GB"/>
        </w:rPr>
        <w:t>The Schumacker judgment (C-279/93) and the 90 per cent rule as the basis for tax equivalence.</w:t>
      </w:r>
    </w:p>
    <w:p w14:paraId="2E756B3B" w14:textId="77777777" w:rsidR="009650FE" w:rsidRDefault="009650FE">
      <w:pPr>
        <w:numPr>
          <w:ilvl w:val="0"/>
          <w:numId w:val="28"/>
        </w:numPr>
        <w:spacing w:before="100" w:beforeAutospacing="1" w:after="100" w:afterAutospacing="1"/>
        <w:divId w:val="953290302"/>
        <w:rPr>
          <w:rFonts w:eastAsia="Times New Roman"/>
          <w:lang w:val="en-GB"/>
        </w:rPr>
      </w:pPr>
      <w:r>
        <w:rPr>
          <w:rFonts w:eastAsia="Times New Roman"/>
          <w:lang w:val="en-GB"/>
        </w:rPr>
        <w:t>The Dimitri Hendrix judgment (C-385/17) on the continued payment of benefits following a move.</w:t>
      </w:r>
    </w:p>
    <w:p w14:paraId="699F7599" w14:textId="77777777" w:rsidR="009650FE" w:rsidRDefault="009650FE">
      <w:pPr>
        <w:numPr>
          <w:ilvl w:val="0"/>
          <w:numId w:val="28"/>
        </w:numPr>
        <w:spacing w:before="100" w:beforeAutospacing="1" w:after="100" w:afterAutospacing="1"/>
        <w:divId w:val="953290302"/>
        <w:rPr>
          <w:rFonts w:eastAsia="Times New Roman"/>
          <w:lang w:val="en-GB"/>
        </w:rPr>
      </w:pPr>
      <w:r>
        <w:rPr>
          <w:rFonts w:eastAsia="Times New Roman"/>
          <w:lang w:val="en-GB"/>
        </w:rPr>
        <w:t>The link between the Vester judgement and Frederic Vester’s systems theory.</w:t>
      </w:r>
    </w:p>
    <w:p w14:paraId="256F4D25" w14:textId="77777777" w:rsidR="009650FE" w:rsidRDefault="009650FE">
      <w:pPr>
        <w:numPr>
          <w:ilvl w:val="0"/>
          <w:numId w:val="28"/>
        </w:numPr>
        <w:spacing w:before="100" w:beforeAutospacing="1" w:after="100" w:afterAutospacing="1"/>
        <w:divId w:val="953290302"/>
        <w:rPr>
          <w:rFonts w:eastAsia="Times New Roman"/>
          <w:lang w:val="en-GB"/>
        </w:rPr>
      </w:pPr>
      <w:r>
        <w:rPr>
          <w:rFonts w:eastAsia="Times New Roman"/>
          <w:lang w:val="en-GB"/>
        </w:rPr>
        <w:t>The central role of disciplinary complaints to the Medical Council as a systemic bottleneck.</w:t>
      </w:r>
    </w:p>
    <w:p w14:paraId="39EF40C2" w14:textId="77777777" w:rsidR="009650FE" w:rsidRDefault="009650FE">
      <w:pPr>
        <w:numPr>
          <w:ilvl w:val="0"/>
          <w:numId w:val="28"/>
        </w:numPr>
        <w:spacing w:before="100" w:beforeAutospacing="1" w:after="100" w:afterAutospacing="1"/>
        <w:divId w:val="953290302"/>
        <w:rPr>
          <w:rFonts w:eastAsia="Times New Roman"/>
          <w:lang w:val="en-GB"/>
        </w:rPr>
      </w:pPr>
      <w:r>
        <w:rPr>
          <w:rFonts w:eastAsia="Times New Roman"/>
          <w:lang w:val="en-GB"/>
        </w:rPr>
        <w:t>The municipality of Hulst’s refusal to accept the European parking card.</w:t>
      </w:r>
    </w:p>
    <w:p w14:paraId="2A9434C9" w14:textId="77777777" w:rsidR="009650FE" w:rsidRDefault="009650FE">
      <w:pPr>
        <w:pStyle w:val="Normaalweb"/>
        <w:divId w:val="953290302"/>
        <w:rPr>
          <w:lang w:val="en-GB"/>
        </w:rPr>
      </w:pPr>
      <w:r>
        <w:rPr>
          <w:lang w:val="en-GB"/>
        </w:rPr>
        <w:t>In addition, the researcher receives formal written confirmation from the FPS Finance (Non-Residents Tax PG15 Ledeberg) that voluntarily attaching medical certificates to the tax return is a valid way of proving tax disability status. A few days later, he submits an official letter from the European Commission (DG EMPL, 25 September 2026), which shows that the Commission has been investigating three infringement complaints against Belgium and Flanders since 2022 and 2023 without reaching a decision.</w:t>
      </w:r>
    </w:p>
    <w:p w14:paraId="12B9C27D" w14:textId="77777777" w:rsidR="009650FE" w:rsidRDefault="009650FE">
      <w:pPr>
        <w:pStyle w:val="Normaalweb"/>
        <w:divId w:val="953290302"/>
        <w:rPr>
          <w:lang w:val="en-GB"/>
        </w:rPr>
      </w:pPr>
      <w:r>
        <w:rPr>
          <w:lang w:val="en-GB"/>
        </w:rPr>
        <w:t>What seemed impossible for months has happened in four days. The academic community, which had previously remained silent, has delivered a series of legal breakthroughs in the space of a week. The academic world operates retrospectively, not curatively — and once it gets going, it moves quickly.</w:t>
      </w:r>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38C02499" w14:textId="77777777">
        <w:trPr>
          <w:divId w:val="953290302"/>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7B66E31D" w14:textId="77777777" w:rsidR="009650FE" w:rsidRDefault="009650FE">
            <w:pPr>
              <w:pStyle w:val="Normaalweb"/>
              <w:spacing w:before="120"/>
              <w:jc w:val="center"/>
              <w:rPr>
                <w:sz w:val="21"/>
                <w:szCs w:val="21"/>
              </w:rPr>
            </w:pPr>
            <w:r>
              <w:rPr>
                <w:noProof/>
                <w:sz w:val="21"/>
                <w:szCs w:val="21"/>
              </w:rPr>
              <w:drawing>
                <wp:inline distT="0" distB="0" distL="0" distR="0" wp14:anchorId="64D34AA6" wp14:editId="65E883E7">
                  <wp:extent cx="3810000" cy="1524000"/>
                  <wp:effectExtent l="0" t="0" r="0" b="0"/>
                  <wp:docPr id="88" name="Afbeelding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3810000" cy="1524000"/>
                          </a:xfrm>
                          <a:prstGeom prst="rect">
                            <a:avLst/>
                          </a:prstGeom>
                          <a:noFill/>
                          <a:ln>
                            <a:noFill/>
                          </a:ln>
                        </pic:spPr>
                      </pic:pic>
                    </a:graphicData>
                  </a:graphic>
                </wp:inline>
              </w:drawing>
            </w:r>
          </w:p>
          <w:p w14:paraId="3523C819" w14:textId="77777777" w:rsidR="009650FE" w:rsidRDefault="009650FE">
            <w:pPr>
              <w:pStyle w:val="caption"/>
              <w:spacing w:after="120" w:afterAutospacing="0"/>
            </w:pPr>
            <w:r>
              <w:rPr>
                <w:rStyle w:val="Zwaar"/>
              </w:rPr>
              <w:t>Figure XXI.3 — From silence to disclosure.</w:t>
            </w:r>
            <w:r>
              <w:t xml:space="preserve"> For months, the academic world failed to respond to the dossier. It was only when it contained 250 pages of irrefutable evidence that the ITEM centre of expertise agreed to conduct a substantive review. And then things moved quickly: within four days, new legal avenues, court rulings and system links were provided.</w:t>
            </w:r>
          </w:p>
        </w:tc>
      </w:tr>
    </w:tbl>
    <w:p w14:paraId="3E48E04B" w14:textId="77777777" w:rsidR="009650FE" w:rsidRDefault="009650FE">
      <w:pPr>
        <w:pStyle w:val="Kop3"/>
        <w:divId w:val="953290302"/>
        <w:rPr>
          <w:rFonts w:eastAsia="Times New Roman"/>
          <w:lang w:val="en-GB"/>
        </w:rPr>
      </w:pPr>
      <w:bookmarkStart w:id="150" w:name="_Toc242103288"/>
      <w:r>
        <w:rPr>
          <w:rFonts w:eastAsia="Times New Roman"/>
          <w:lang w:val="en-GB"/>
        </w:rPr>
        <w:t>Part D — What this chapter sets out</w:t>
      </w:r>
      <w:bookmarkEnd w:id="150"/>
    </w:p>
    <w:p w14:paraId="0CD16781" w14:textId="77777777" w:rsidR="009650FE" w:rsidRDefault="009650FE">
      <w:pPr>
        <w:pStyle w:val="Normaalweb"/>
        <w:divId w:val="953290302"/>
        <w:rPr>
          <w:lang w:val="en-GB"/>
        </w:rPr>
      </w:pPr>
      <w:r>
        <w:rPr>
          <w:lang w:val="en-GB"/>
        </w:rPr>
        <w:t>The four allies who are supposed to assist the citizen all operate within their own borders.</w:t>
      </w:r>
    </w:p>
    <w:p w14:paraId="587C7390" w14:textId="77777777" w:rsidR="009650FE" w:rsidRDefault="009650FE">
      <w:pPr>
        <w:pStyle w:val="Normaalweb"/>
        <w:divId w:val="953290302"/>
        <w:rPr>
          <w:lang w:val="en-GB"/>
        </w:rPr>
      </w:pPr>
      <w:r>
        <w:rPr>
          <w:lang w:val="en-GB"/>
        </w:rPr>
        <w:t>The trade union works on behalf of its members, but only in relation to the case filed in their name.</w:t>
      </w:r>
    </w:p>
    <w:p w14:paraId="396A41E4" w14:textId="77777777" w:rsidR="009650FE" w:rsidRDefault="009650FE">
      <w:pPr>
        <w:pStyle w:val="Normaalweb"/>
        <w:divId w:val="953290302"/>
        <w:rPr>
          <w:lang w:val="en-GB"/>
        </w:rPr>
      </w:pPr>
      <w:r>
        <w:rPr>
          <w:lang w:val="en-GB"/>
        </w:rPr>
        <w:t>UNIA campaigns against discrimination, but only against discrimination that does not stem from the law itself.</w:t>
      </w:r>
    </w:p>
    <w:p w14:paraId="3C6E94DB" w14:textId="77777777" w:rsidR="009650FE" w:rsidRDefault="009650FE">
      <w:pPr>
        <w:pStyle w:val="Normaalweb"/>
        <w:divId w:val="953290302"/>
        <w:rPr>
          <w:lang w:val="en-GB"/>
        </w:rPr>
      </w:pPr>
      <w:r>
        <w:rPr>
          <w:lang w:val="en-GB"/>
        </w:rPr>
        <w:t>The academic world operates on the basis of theory, but only comes into its own once the case has become complete and irrefutable. What had remained dormant for months springs into action within a matter of days. The focus is then no longer on the case itself, but on its scientific validation.</w:t>
      </w:r>
    </w:p>
    <w:p w14:paraId="795164E8" w14:textId="77777777" w:rsidR="009650FE" w:rsidRDefault="009650FE">
      <w:pPr>
        <w:pStyle w:val="Normaalweb"/>
        <w:divId w:val="953290302"/>
        <w:rPr>
          <w:lang w:val="en-GB"/>
        </w:rPr>
      </w:pPr>
      <w:r>
        <w:rPr>
          <w:lang w:val="en-GB"/>
        </w:rPr>
        <w:t>And what remains for the public is that the structural exclusion of cross-border workers has not only been legalised, but has also become socially normalised. Those who build up a case and persevere will eventually be heard. But only those who persevere.</w:t>
      </w:r>
    </w:p>
    <w:tbl>
      <w:tblPr>
        <w:tblW w:w="5000" w:type="pct"/>
        <w:tblCellMar>
          <w:top w:w="15" w:type="dxa"/>
          <w:left w:w="15" w:type="dxa"/>
          <w:bottom w:w="15" w:type="dxa"/>
          <w:right w:w="15" w:type="dxa"/>
        </w:tblCellMar>
        <w:tblLook w:val="04A0" w:firstRow="1" w:lastRow="0" w:firstColumn="1" w:lastColumn="0" w:noHBand="0" w:noVBand="1"/>
      </w:tblPr>
      <w:tblGrid>
        <w:gridCol w:w="9019"/>
      </w:tblGrid>
      <w:tr w:rsidR="00000000" w14:paraId="078F1EF2" w14:textId="77777777">
        <w:trPr>
          <w:divId w:val="953290302"/>
        </w:trPr>
        <w:tc>
          <w:tcPr>
            <w:tcW w:w="0" w:type="auto"/>
            <w:tcBorders>
              <w:top w:val="single" w:sz="6" w:space="0" w:color="D5D0C5"/>
              <w:left w:val="single" w:sz="36" w:space="0" w:color="4A3B6B"/>
              <w:bottom w:val="single" w:sz="6" w:space="0" w:color="D5D0C5"/>
              <w:right w:val="single" w:sz="6" w:space="0" w:color="D5D0C5"/>
            </w:tcBorders>
            <w:shd w:val="clear" w:color="auto" w:fill="EDE9F5"/>
            <w:tcMar>
              <w:top w:w="200" w:type="dxa"/>
              <w:left w:w="280" w:type="dxa"/>
              <w:bottom w:w="200" w:type="dxa"/>
              <w:right w:w="280" w:type="dxa"/>
            </w:tcMar>
            <w:hideMark/>
          </w:tcPr>
          <w:p w14:paraId="4298FFD5" w14:textId="77777777" w:rsidR="009650FE" w:rsidRDefault="009650FE">
            <w:pPr>
              <w:spacing w:before="240" w:after="240"/>
              <w:rPr>
                <w:rFonts w:eastAsia="Times New Roman"/>
                <w:szCs w:val="22"/>
              </w:rPr>
            </w:pPr>
            <w:r>
              <w:rPr>
                <w:rStyle w:val="Zwaar"/>
                <w:rFonts w:eastAsia="Times New Roman"/>
                <w:szCs w:val="22"/>
              </w:rPr>
              <w:t>For anyone in the same situation:</w:t>
            </w:r>
            <w:r>
              <w:rPr>
                <w:rFonts w:eastAsia="Times New Roman"/>
                <w:szCs w:val="22"/>
              </w:rPr>
              <w:t xml:space="preserve"> </w:t>
            </w:r>
          </w:p>
          <w:p w14:paraId="029B696C" w14:textId="77777777" w:rsidR="009650FE" w:rsidRDefault="009650FE">
            <w:pPr>
              <w:numPr>
                <w:ilvl w:val="0"/>
                <w:numId w:val="29"/>
              </w:numPr>
              <w:spacing w:before="100" w:beforeAutospacing="1" w:after="100" w:afterAutospacing="1"/>
              <w:rPr>
                <w:rFonts w:eastAsia="Times New Roman"/>
                <w:szCs w:val="22"/>
              </w:rPr>
            </w:pPr>
            <w:r>
              <w:rPr>
                <w:rStyle w:val="Nadruk"/>
                <w:rFonts w:eastAsia="Times New Roman"/>
                <w:szCs w:val="22"/>
              </w:rPr>
              <w:t>Trade union:</w:t>
            </w:r>
            <w:r>
              <w:rPr>
                <w:rFonts w:eastAsia="Times New Roman"/>
                <w:szCs w:val="22"/>
              </w:rPr>
              <w:t xml:space="preserve"> </w:t>
            </w:r>
            <w:r>
              <w:rPr>
                <w:rFonts w:eastAsia="Times New Roman"/>
                <w:szCs w:val="22"/>
              </w:rPr>
              <w:t>check whose name the membership files are in. If the file is not in your name, the trade union may refuse to intervene.</w:t>
            </w:r>
          </w:p>
          <w:p w14:paraId="1F27FBF3" w14:textId="77777777" w:rsidR="009650FE" w:rsidRDefault="009650FE">
            <w:pPr>
              <w:numPr>
                <w:ilvl w:val="0"/>
                <w:numId w:val="29"/>
              </w:numPr>
              <w:spacing w:before="100" w:beforeAutospacing="1" w:after="100" w:afterAutospacing="1"/>
              <w:rPr>
                <w:rFonts w:eastAsia="Times New Roman"/>
                <w:szCs w:val="22"/>
              </w:rPr>
            </w:pPr>
            <w:r>
              <w:rPr>
                <w:rStyle w:val="Nadruk"/>
                <w:rFonts w:eastAsia="Times New Roman"/>
                <w:szCs w:val="22"/>
              </w:rPr>
              <w:t>UNIA:</w:t>
            </w:r>
            <w:r>
              <w:rPr>
                <w:rFonts w:eastAsia="Times New Roman"/>
                <w:szCs w:val="22"/>
              </w:rPr>
              <w:t xml:space="preserve"> if the exclusion is enshrined in law, UNIA cannot intervene. The only option is to take the matter to the Constitutional Court through legal proceedings. That is a long and costly process.</w:t>
            </w:r>
          </w:p>
          <w:p w14:paraId="5BF95718" w14:textId="77777777" w:rsidR="009650FE" w:rsidRDefault="009650FE">
            <w:pPr>
              <w:numPr>
                <w:ilvl w:val="0"/>
                <w:numId w:val="29"/>
              </w:numPr>
              <w:spacing w:before="100" w:beforeAutospacing="1" w:after="100" w:afterAutospacing="1"/>
              <w:rPr>
                <w:rFonts w:eastAsia="Times New Roman"/>
                <w:szCs w:val="22"/>
              </w:rPr>
            </w:pPr>
            <w:r>
              <w:rPr>
                <w:rStyle w:val="Nadruk"/>
                <w:rFonts w:eastAsia="Times New Roman"/>
                <w:szCs w:val="22"/>
              </w:rPr>
              <w:t>Academy:</w:t>
            </w:r>
            <w:r>
              <w:rPr>
                <w:rFonts w:eastAsia="Times New Roman"/>
                <w:szCs w:val="22"/>
              </w:rPr>
              <w:t xml:space="preserve"> keep submitting the dossier to centres of expertise. Often, an institution will only show interest once a dossier is complete and irrefutable. It is a matter of perseverance and documentation.</w:t>
            </w:r>
          </w:p>
        </w:tc>
      </w:tr>
    </w:tbl>
    <w:p w14:paraId="18A2DA9F" w14:textId="77777777" w:rsidR="009650FE" w:rsidRDefault="009650FE">
      <w:pPr>
        <w:pStyle w:val="noot"/>
        <w:spacing w:after="120" w:afterAutospacing="0"/>
        <w:divId w:val="953290302"/>
        <w:rPr>
          <w:lang w:val="en-GB"/>
        </w:rPr>
      </w:pPr>
      <w:r>
        <w:rPr>
          <w:lang w:val="en-GB"/>
        </w:rPr>
        <w:t>All organisations mentioned in this chapter are legal entities. Natural persons are referred to by their position. The facts are based on Document B. UNIA’s role and mandate are based on Belgian anti-discrimination legislation (Act of 10 May 2007). The judgments cited are C-279/93 (Schumacker), C-134/18 (Vester) and C-385/17 (Hendrix). This chapter does not constitute legal advice.</w:t>
      </w:r>
    </w:p>
    <w:p w14:paraId="69AB1036" w14:textId="77777777" w:rsidR="009650FE" w:rsidRDefault="009650FE">
      <w:pPr>
        <w:pStyle w:val="marker"/>
        <w:ind w:left="800" w:right="800"/>
        <w:divId w:val="953290302"/>
        <w:rPr>
          <w:lang w:val="en-GB"/>
        </w:rPr>
      </w:pPr>
      <w:r>
        <w:br w:type="page"/>
      </w:r>
    </w:p>
    <w:p w14:paraId="1C95E670" w14:textId="77777777" w:rsidR="009650FE" w:rsidRDefault="009650FE">
      <w:pPr>
        <w:pStyle w:val="Kop1"/>
        <w:divId w:val="953290302"/>
        <w:rPr>
          <w:rFonts w:eastAsia="Times New Roman"/>
          <w:lang w:val="en-GB"/>
        </w:rPr>
      </w:pPr>
      <w:bookmarkStart w:id="151" w:name="_Toc242103289"/>
      <w:r>
        <w:rPr>
          <w:rFonts w:eastAsia="Times New Roman"/>
          <w:lang w:val="en-GB"/>
        </w:rPr>
        <w:t>VII. Conclusion</w:t>
      </w:r>
      <w:bookmarkEnd w:id="151"/>
    </w:p>
    <w:p w14:paraId="3DB6170D" w14:textId="77777777" w:rsidR="009650FE" w:rsidRDefault="009650FE">
      <w:pPr>
        <w:pStyle w:val="Kop2"/>
        <w:divId w:val="953290302"/>
        <w:rPr>
          <w:rFonts w:eastAsia="Times New Roman"/>
          <w:lang w:val="en-GB"/>
        </w:rPr>
      </w:pPr>
      <w:bookmarkStart w:id="152" w:name="_Toc242103290"/>
      <w:r>
        <w:rPr>
          <w:rFonts w:eastAsia="Times New Roman"/>
          <w:lang w:val="en-GB"/>
        </w:rPr>
        <w:t>Conclusion — the complete pyramid</w:t>
      </w:r>
      <w:bookmarkEnd w:id="152"/>
    </w:p>
    <w:p w14:paraId="0D9F28B0" w14:textId="77777777" w:rsidR="009650FE" w:rsidRDefault="009650FE">
      <w:pPr>
        <w:pStyle w:val="lead"/>
        <w:divId w:val="953290302"/>
        <w:rPr>
          <w:lang w:val="en-GB"/>
        </w:rPr>
      </w:pPr>
      <w:r>
        <w:rPr>
          <w:lang w:val="en-GB"/>
        </w:rPr>
        <w:t>Five layers. Twenty-three chapters. One body at the centre. This is the complete System Audit board, at a glance.</w:t>
      </w:r>
    </w:p>
    <w:p w14:paraId="2DE8AF0C" w14:textId="77777777" w:rsidR="009650FE" w:rsidRDefault="009650FE">
      <w:pPr>
        <w:pStyle w:val="Kop3"/>
        <w:divId w:val="953290302"/>
        <w:rPr>
          <w:rFonts w:eastAsia="Times New Roman"/>
          <w:lang w:val="en-GB"/>
        </w:rPr>
      </w:pPr>
      <w:bookmarkStart w:id="153" w:name="_Toc242103291"/>
      <w:r>
        <w:rPr>
          <w:rFonts w:eastAsia="Times New Roman"/>
          <w:lang w:val="en-GB"/>
        </w:rPr>
        <w:t>The pyramid</w:t>
      </w:r>
      <w:bookmarkEnd w:id="153"/>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659B29CB" w14:textId="77777777">
        <w:trPr>
          <w:divId w:val="953290302"/>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5290214C" w14:textId="77777777" w:rsidR="009650FE" w:rsidRDefault="009650FE">
            <w:pPr>
              <w:pStyle w:val="Normaalweb"/>
              <w:spacing w:before="120"/>
              <w:jc w:val="center"/>
              <w:rPr>
                <w:sz w:val="21"/>
                <w:szCs w:val="21"/>
              </w:rPr>
            </w:pPr>
            <w:r>
              <w:rPr>
                <w:noProof/>
                <w:sz w:val="21"/>
                <w:szCs w:val="21"/>
              </w:rPr>
              <w:drawing>
                <wp:inline distT="0" distB="0" distL="0" distR="0" wp14:anchorId="7228C3BC" wp14:editId="02CBF7A7">
                  <wp:extent cx="3816350" cy="2444750"/>
                  <wp:effectExtent l="0" t="0" r="0" b="0"/>
                  <wp:docPr id="89" name="Afbeelding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3816350" cy="2444750"/>
                          </a:xfrm>
                          <a:prstGeom prst="rect">
                            <a:avLst/>
                          </a:prstGeom>
                          <a:noFill/>
                          <a:ln>
                            <a:noFill/>
                          </a:ln>
                        </pic:spPr>
                      </pic:pic>
                    </a:graphicData>
                  </a:graphic>
                </wp:inline>
              </w:drawing>
            </w:r>
          </w:p>
          <w:p w14:paraId="7E5A3473" w14:textId="77777777" w:rsidR="009650FE" w:rsidRDefault="009650FE">
            <w:pPr>
              <w:pStyle w:val="caption"/>
              <w:spacing w:after="120" w:afterAutospacing="0"/>
            </w:pPr>
            <w:r>
              <w:rPr>
                <w:rStyle w:val="Zwaar"/>
              </w:rPr>
              <w:t>Figure XXIII.1 — The complete pyramid.</w:t>
            </w:r>
            <w:r>
              <w:t xml:space="preserve"> Five layers. At the top: Europe and the international sphere; then symbolism; then politics; then oversight and the judiciary; and at the base: implementation and the private market. At the very bottom: the individual and the family, for whom everything is ultimately done.</w:t>
            </w:r>
          </w:p>
        </w:tc>
      </w:tr>
    </w:tbl>
    <w:p w14:paraId="0C9F4111" w14:textId="77777777" w:rsidR="009650FE" w:rsidRDefault="009650FE">
      <w:pPr>
        <w:pStyle w:val="Kop3"/>
        <w:divId w:val="953290302"/>
        <w:rPr>
          <w:rFonts w:eastAsia="Times New Roman"/>
          <w:lang w:val="en-GB"/>
        </w:rPr>
      </w:pPr>
      <w:bookmarkStart w:id="154" w:name="_Toc242103292"/>
      <w:r>
        <w:rPr>
          <w:rFonts w:eastAsia="Times New Roman"/>
          <w:lang w:val="en-GB"/>
        </w:rPr>
        <w:t>What this case has shown</w:t>
      </w:r>
      <w:bookmarkEnd w:id="154"/>
    </w:p>
    <w:p w14:paraId="548FE75E" w14:textId="77777777" w:rsidR="009650FE" w:rsidRDefault="009650FE">
      <w:pPr>
        <w:pStyle w:val="Normaalweb"/>
        <w:divId w:val="953290302"/>
        <w:rPr>
          <w:lang w:val="en-GB"/>
        </w:rPr>
      </w:pPr>
      <w:r>
        <w:rPr>
          <w:lang w:val="en-GB"/>
        </w:rPr>
        <w:t>Five layers, each with its own logic, each with its own mandate, each with its own limitations. What the case has shown is not that one layer is failing, but that the layers are failing together in a way that nobody can fix.</w:t>
      </w:r>
    </w:p>
    <w:p w14:paraId="2FABD1D9" w14:textId="77777777" w:rsidR="009650FE" w:rsidRDefault="009650FE">
      <w:pPr>
        <w:numPr>
          <w:ilvl w:val="0"/>
          <w:numId w:val="30"/>
        </w:numPr>
        <w:spacing w:before="100" w:beforeAutospacing="1" w:after="100" w:afterAutospacing="1"/>
        <w:divId w:val="953290302"/>
        <w:rPr>
          <w:rFonts w:eastAsia="Times New Roman"/>
          <w:lang w:val="en-GB"/>
        </w:rPr>
      </w:pPr>
      <w:r>
        <w:rPr>
          <w:rStyle w:val="Zwaar"/>
          <w:rFonts w:eastAsia="Times New Roman"/>
          <w:lang w:val="en-GB"/>
        </w:rPr>
        <w:t>The implementation</w:t>
      </w:r>
      <w:r>
        <w:rPr>
          <w:rFonts w:eastAsia="Times New Roman"/>
          <w:lang w:val="en-GB"/>
        </w:rPr>
        <w:t xml:space="preserve"> applies the rules, but the rules are not designed for people who live in two countries at the same time.</w:t>
      </w:r>
    </w:p>
    <w:p w14:paraId="6D9E3D5B" w14:textId="77777777" w:rsidR="009650FE" w:rsidRDefault="009650FE">
      <w:pPr>
        <w:numPr>
          <w:ilvl w:val="0"/>
          <w:numId w:val="30"/>
        </w:numPr>
        <w:spacing w:before="100" w:beforeAutospacing="1" w:after="100" w:afterAutospacing="1"/>
        <w:divId w:val="953290302"/>
        <w:rPr>
          <w:rFonts w:eastAsia="Times New Roman"/>
          <w:lang w:val="en-GB"/>
        </w:rPr>
      </w:pPr>
      <w:r>
        <w:rPr>
          <w:rStyle w:val="Zwaar"/>
          <w:rFonts w:eastAsia="Times New Roman"/>
          <w:lang w:val="en-GB"/>
        </w:rPr>
        <w:t>The supervisory authority</w:t>
      </w:r>
      <w:r>
        <w:rPr>
          <w:rFonts w:eastAsia="Times New Roman"/>
          <w:lang w:val="en-GB"/>
        </w:rPr>
        <w:t xml:space="preserve"> </w:t>
      </w:r>
      <w:r>
        <w:rPr>
          <w:rFonts w:eastAsia="Times New Roman"/>
          <w:lang w:val="en-GB"/>
        </w:rPr>
        <w:t>recognises the error, but claims it has no jurisdiction or is awaiting a decision from another body.</w:t>
      </w:r>
    </w:p>
    <w:p w14:paraId="6AA4CFDB" w14:textId="77777777" w:rsidR="009650FE" w:rsidRDefault="009650FE">
      <w:pPr>
        <w:numPr>
          <w:ilvl w:val="0"/>
          <w:numId w:val="30"/>
        </w:numPr>
        <w:spacing w:before="100" w:beforeAutospacing="1" w:after="100" w:afterAutospacing="1"/>
        <w:divId w:val="953290302"/>
        <w:rPr>
          <w:rFonts w:eastAsia="Times New Roman"/>
          <w:lang w:val="en-GB"/>
        </w:rPr>
      </w:pPr>
      <w:r>
        <w:rPr>
          <w:rStyle w:val="Zwaar"/>
          <w:rFonts w:eastAsia="Times New Roman"/>
          <w:lang w:val="en-GB"/>
        </w:rPr>
        <w:t>The courts</w:t>
      </w:r>
      <w:r>
        <w:rPr>
          <w:rFonts w:eastAsia="Times New Roman"/>
          <w:lang w:val="en-GB"/>
        </w:rPr>
        <w:t xml:space="preserve"> may enforce compliance, but access is restricted by costs and the reference year.</w:t>
      </w:r>
    </w:p>
    <w:p w14:paraId="4FC6F1E1" w14:textId="77777777" w:rsidR="009650FE" w:rsidRDefault="009650FE">
      <w:pPr>
        <w:numPr>
          <w:ilvl w:val="0"/>
          <w:numId w:val="30"/>
        </w:numPr>
        <w:spacing w:before="100" w:beforeAutospacing="1" w:after="100" w:afterAutospacing="1"/>
        <w:divId w:val="953290302"/>
        <w:rPr>
          <w:rFonts w:eastAsia="Times New Roman"/>
          <w:lang w:val="en-GB"/>
        </w:rPr>
      </w:pPr>
      <w:r>
        <w:rPr>
          <w:rStyle w:val="Zwaar"/>
          <w:rFonts w:eastAsia="Times New Roman"/>
          <w:lang w:val="en-GB"/>
        </w:rPr>
        <w:t>Politicians</w:t>
      </w:r>
      <w:r>
        <w:rPr>
          <w:rFonts w:eastAsia="Times New Roman"/>
          <w:lang w:val="en-GB"/>
        </w:rPr>
        <w:t xml:space="preserve"> can change the law, but they only respond to systemic failures — not to individual complaints.</w:t>
      </w:r>
    </w:p>
    <w:p w14:paraId="1E3A1F1B" w14:textId="77777777" w:rsidR="009650FE" w:rsidRDefault="009650FE">
      <w:pPr>
        <w:numPr>
          <w:ilvl w:val="0"/>
          <w:numId w:val="30"/>
        </w:numPr>
        <w:spacing w:before="100" w:beforeAutospacing="1" w:after="100" w:afterAutospacing="1"/>
        <w:divId w:val="953290302"/>
        <w:rPr>
          <w:rFonts w:eastAsia="Times New Roman"/>
          <w:lang w:val="en-GB"/>
        </w:rPr>
      </w:pPr>
      <w:r>
        <w:rPr>
          <w:rStyle w:val="Zwaar"/>
          <w:rFonts w:eastAsia="Times New Roman"/>
          <w:lang w:val="en-GB"/>
        </w:rPr>
        <w:t>Symbolism</w:t>
      </w:r>
      <w:r>
        <w:rPr>
          <w:rFonts w:eastAsia="Times New Roman"/>
          <w:lang w:val="en-GB"/>
        </w:rPr>
        <w:t xml:space="preserve"> has no power, but it does provide an informal channel through which the political sphere can be reached.</w:t>
      </w:r>
    </w:p>
    <w:p w14:paraId="36C80488" w14:textId="77777777" w:rsidR="009650FE" w:rsidRDefault="009650FE">
      <w:pPr>
        <w:numPr>
          <w:ilvl w:val="0"/>
          <w:numId w:val="30"/>
        </w:numPr>
        <w:spacing w:before="100" w:beforeAutospacing="1" w:after="100" w:afterAutospacing="1"/>
        <w:divId w:val="953290302"/>
        <w:rPr>
          <w:rFonts w:eastAsia="Times New Roman"/>
          <w:lang w:val="en-GB"/>
        </w:rPr>
      </w:pPr>
      <w:r>
        <w:rPr>
          <w:rStyle w:val="Zwaar"/>
          <w:rFonts w:eastAsia="Times New Roman"/>
          <w:lang w:val="en-GB"/>
        </w:rPr>
        <w:t>Europe</w:t>
      </w:r>
      <w:r>
        <w:rPr>
          <w:rFonts w:eastAsia="Times New Roman"/>
          <w:lang w:val="en-GB"/>
        </w:rPr>
        <w:t xml:space="preserve"> coordinates, but does not harmonise. Each country retains its own system.</w:t>
      </w:r>
    </w:p>
    <w:p w14:paraId="3262B850" w14:textId="77777777" w:rsidR="009650FE" w:rsidRDefault="009650FE">
      <w:pPr>
        <w:pStyle w:val="Normaalweb"/>
        <w:divId w:val="953290302"/>
        <w:rPr>
          <w:lang w:val="en-GB"/>
        </w:rPr>
      </w:pPr>
      <w:r>
        <w:rPr>
          <w:lang w:val="en-GB"/>
        </w:rPr>
        <w:t>What remains is the body. A body that has been viewed, described and assessed through every layer. And which has never been fully recognised as a single whole. The individual themselves acts as a data hub, a repository of records, a connecting cable between two systems that are incompatible with one another. And when they can no longer fulfil that role, the system grinds to a halt.</w:t>
      </w:r>
    </w:p>
    <w:p w14:paraId="1045A5EA" w14:textId="77777777" w:rsidR="009650FE" w:rsidRDefault="009650FE">
      <w:pPr>
        <w:pStyle w:val="Kop3"/>
        <w:divId w:val="953290302"/>
        <w:rPr>
          <w:rFonts w:eastAsia="Times New Roman"/>
          <w:lang w:val="en-GB"/>
        </w:rPr>
      </w:pPr>
      <w:bookmarkStart w:id="155" w:name="_Toc242103293"/>
      <w:r>
        <w:rPr>
          <w:rFonts w:eastAsia="Times New Roman"/>
          <w:lang w:val="en-GB"/>
        </w:rPr>
        <w:t>The bridge to Document D</w:t>
      </w:r>
      <w:bookmarkEnd w:id="155"/>
    </w:p>
    <w:p w14:paraId="5AFAB51C" w14:textId="77777777" w:rsidR="009650FE" w:rsidRDefault="009650FE">
      <w:pPr>
        <w:pStyle w:val="Normaalweb"/>
        <w:divId w:val="953290302"/>
        <w:rPr>
          <w:lang w:val="en-GB"/>
        </w:rPr>
      </w:pPr>
      <w:r>
        <w:rPr>
          <w:lang w:val="en-GB"/>
        </w:rPr>
        <w:t>Document C has outlined the framework and the mechanisms. Document D draws the conclusions. Three building blocks for reform, based on the realisation that the fault does not lie with the individual civil servant, but in the very architecture of the coordination process itself.</w:t>
      </w:r>
    </w:p>
    <w:p w14:paraId="5F02C85D" w14:textId="77777777" w:rsidR="009650FE" w:rsidRDefault="009650FE">
      <w:pPr>
        <w:pStyle w:val="Normaalweb"/>
        <w:divId w:val="953290302"/>
        <w:rPr>
          <w:lang w:val="en-GB"/>
        </w:rPr>
      </w:pPr>
      <w:r>
        <w:rPr>
          <w:lang w:val="en-GB"/>
        </w:rPr>
        <w:t>What has become apparent in Document C is the structure of the vacuum. What is set out in Document D is the structure of the solution. Not because a single measure solves everything, but because the architecture can be adapted at three points where it is currently stalling.</w:t>
      </w:r>
    </w:p>
    <w:p w14:paraId="08CD85C9" w14:textId="77777777" w:rsidR="009650FE" w:rsidRDefault="009650FE">
      <w:pPr>
        <w:pStyle w:val="noot"/>
        <w:spacing w:after="120" w:afterAutospacing="0"/>
        <w:divId w:val="953290302"/>
        <w:rPr>
          <w:lang w:val="en-GB"/>
        </w:rPr>
      </w:pPr>
      <w:r>
        <w:rPr>
          <w:lang w:val="en-GB"/>
        </w:rPr>
        <w:t>This is the conclusion of Document C. All organisations mentioned in this document are legal entities. Natural persons are identified by their role or their symbol (</w:t>
      </w:r>
      <w:r>
        <w:rPr>
          <w:rFonts w:ascii="Segoe UI Symbol" w:hAnsi="Segoe UI Symbol" w:cs="Segoe UI Symbol"/>
          <w:lang w:val="en-GB"/>
        </w:rPr>
        <w:t>♂</w:t>
      </w:r>
      <w:r>
        <w:rPr>
          <w:lang w:val="en-GB"/>
        </w:rPr>
        <w:t xml:space="preserve">, </w:t>
      </w:r>
      <w:r>
        <w:rPr>
          <w:rFonts w:ascii="Segoe UI Symbol" w:hAnsi="Segoe UI Symbol" w:cs="Segoe UI Symbol"/>
          <w:lang w:val="en-GB"/>
        </w:rPr>
        <w:t>♀</w:t>
      </w:r>
      <w:r>
        <w:rPr>
          <w:lang w:val="en-GB"/>
        </w:rPr>
        <w:t>). Document C is the visual counterpart to Document B (data matrix) and Document A (narrative audit). The conclusions and building blocks are set out in Document D (synthesis).</w:t>
      </w:r>
    </w:p>
    <w:p w14:paraId="42F250E5" w14:textId="77777777" w:rsidR="009650FE" w:rsidRDefault="009650FE">
      <w:pPr>
        <w:pStyle w:val="marker"/>
        <w:ind w:left="800" w:right="800"/>
        <w:divId w:val="953290302"/>
        <w:rPr>
          <w:lang w:val="en-GB"/>
        </w:rPr>
      </w:pPr>
      <w:r>
        <w:br w:type="page"/>
      </w:r>
    </w:p>
    <w:p w14:paraId="32632817" w14:textId="77777777" w:rsidR="009650FE" w:rsidRDefault="009650FE">
      <w:pPr>
        <w:pStyle w:val="Kop2"/>
        <w:divId w:val="953290302"/>
        <w:rPr>
          <w:rFonts w:eastAsia="Times New Roman"/>
          <w:lang w:val="en-GB"/>
        </w:rPr>
      </w:pPr>
      <w:bookmarkStart w:id="156" w:name="_Toc242103294"/>
      <w:r>
        <w:rPr>
          <w:rFonts w:eastAsia="Times New Roman"/>
          <w:lang w:val="en-GB"/>
        </w:rPr>
        <w:t>The entire network</w:t>
      </w:r>
      <w:bookmarkEnd w:id="156"/>
    </w:p>
    <w:p w14:paraId="2105BA46" w14:textId="77777777" w:rsidR="009650FE" w:rsidRDefault="009650FE">
      <w:pPr>
        <w:pStyle w:val="lead"/>
        <w:divId w:val="953290302"/>
        <w:rPr>
          <w:lang w:val="en-GB"/>
        </w:rPr>
      </w:pPr>
      <w:r>
        <w:rPr>
          <w:lang w:val="en-GB"/>
        </w:rPr>
        <w:t>Each of the previous chapters illustrated a single mechanism, a single instance or a single pattern. This chapter shows everything at once. The same nodes, the same channels, the same colours — but now in a single image, in no particular order, just as the family experiences it.</w:t>
      </w:r>
    </w:p>
    <w:p w14:paraId="73C7C094" w14:textId="77777777" w:rsidR="009650FE" w:rsidRDefault="009650FE">
      <w:pPr>
        <w:pStyle w:val="Kop3"/>
        <w:divId w:val="953290302"/>
        <w:rPr>
          <w:rFonts w:eastAsia="Times New Roman"/>
          <w:lang w:val="en-GB"/>
        </w:rPr>
      </w:pPr>
      <w:bookmarkStart w:id="157" w:name="_Toc242103295"/>
      <w:r>
        <w:rPr>
          <w:rFonts w:eastAsia="Times New Roman"/>
          <w:lang w:val="en-GB"/>
        </w:rPr>
        <w:t>What the family sees</w:t>
      </w:r>
      <w:bookmarkEnd w:id="157"/>
    </w:p>
    <w:p w14:paraId="5133F3F6" w14:textId="77777777" w:rsidR="009650FE" w:rsidRDefault="009650FE">
      <w:pPr>
        <w:pStyle w:val="Normaalweb"/>
        <w:divId w:val="953290302"/>
        <w:rPr>
          <w:lang w:val="en-GB"/>
        </w:rPr>
      </w:pPr>
      <w:r>
        <w:rPr>
          <w:lang w:val="en-GB"/>
        </w:rPr>
        <w:t>Readers who have got this far will have become familiar with each component individually. Each organisation had its own chapter. Each mechanism had its own diagram. Each colour had its own meaning. But the family facing this situation does not have that sense of order. The family sees only the whole picture. And that whole picture is a jumble.</w:t>
      </w:r>
    </w:p>
    <w:p w14:paraId="51230A7E" w14:textId="77777777" w:rsidR="009650FE" w:rsidRDefault="009650FE">
      <w:pPr>
        <w:pStyle w:val="Normaalweb"/>
        <w:divId w:val="953290302"/>
        <w:rPr>
          <w:lang w:val="en-GB"/>
        </w:rPr>
      </w:pPr>
      <w:r>
        <w:rPr>
          <w:lang w:val="en-GB"/>
        </w:rPr>
        <w:t>This is the whole thing.</w:t>
      </w:r>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6107FBE3" w14:textId="77777777">
        <w:trPr>
          <w:divId w:val="953290302"/>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485673B7" w14:textId="77777777" w:rsidR="009650FE" w:rsidRDefault="009650FE">
            <w:pPr>
              <w:pStyle w:val="Normaalweb"/>
              <w:spacing w:before="120"/>
              <w:jc w:val="center"/>
              <w:rPr>
                <w:sz w:val="21"/>
                <w:szCs w:val="21"/>
              </w:rPr>
            </w:pPr>
            <w:r>
              <w:rPr>
                <w:noProof/>
                <w:sz w:val="21"/>
                <w:szCs w:val="21"/>
              </w:rPr>
              <w:drawing>
                <wp:inline distT="0" distB="0" distL="0" distR="0" wp14:anchorId="4C41BB12" wp14:editId="1EB437C3">
                  <wp:extent cx="3803650" cy="3175000"/>
                  <wp:effectExtent l="0" t="0" r="6350" b="6350"/>
                  <wp:docPr id="90" name="Afbeelding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3803650" cy="3175000"/>
                          </a:xfrm>
                          <a:prstGeom prst="rect">
                            <a:avLst/>
                          </a:prstGeom>
                          <a:noFill/>
                          <a:ln>
                            <a:noFill/>
                          </a:ln>
                        </pic:spPr>
                      </pic:pic>
                    </a:graphicData>
                  </a:graphic>
                </wp:inline>
              </w:drawing>
            </w:r>
          </w:p>
          <w:p w14:paraId="37A21B8F" w14:textId="77777777" w:rsidR="009650FE" w:rsidRDefault="009650FE">
            <w:pPr>
              <w:pStyle w:val="caption"/>
              <w:spacing w:after="120" w:afterAutospacing="0"/>
            </w:pPr>
            <w:r>
              <w:rPr>
                <w:rStyle w:val="Zwaar"/>
              </w:rPr>
              <w:t>Figure XXIV.1 — The complete network.</w:t>
            </w:r>
            <w:r>
              <w:t xml:space="preserve"> </w:t>
            </w:r>
            <w:r>
              <w:t>What the family sees when it tries to navigate. Two worlds, each with its own set of organisations. One family in the middle. And 127 connections, most of which are blocked. In the previous chapters, each component could be followed separately. Here is the whole picture — without order, without hierarchy, without tranquillity.</w:t>
            </w:r>
          </w:p>
        </w:tc>
      </w:tr>
    </w:tbl>
    <w:p w14:paraId="0A57237C" w14:textId="77777777" w:rsidR="009650FE" w:rsidRDefault="009650FE">
      <w:pPr>
        <w:pStyle w:val="Kop3"/>
        <w:divId w:val="953290302"/>
        <w:rPr>
          <w:rFonts w:eastAsia="Times New Roman"/>
          <w:lang w:val="en-GB"/>
        </w:rPr>
      </w:pPr>
      <w:bookmarkStart w:id="158" w:name="_Toc242103296"/>
      <w:r>
        <w:rPr>
          <w:rFonts w:eastAsia="Times New Roman"/>
          <w:lang w:val="en-GB"/>
        </w:rPr>
        <w:t>What this diagram does</w:t>
      </w:r>
      <w:bookmarkEnd w:id="158"/>
    </w:p>
    <w:p w14:paraId="4BF914BA" w14:textId="77777777" w:rsidR="009650FE" w:rsidRDefault="009650FE">
      <w:pPr>
        <w:pStyle w:val="Normaalweb"/>
        <w:divId w:val="953290302"/>
        <w:rPr>
          <w:lang w:val="en-GB"/>
        </w:rPr>
      </w:pPr>
      <w:r>
        <w:rPr>
          <w:lang w:val="en-GB"/>
        </w:rPr>
        <w:t>All the previous chapters were well-organised. Each had a title, a framework and a clearly defined subject. Anyone reading those chapters gets the impression that the system is comprehensible, that each part has its own function, and that the chaos is merely an illusion.</w:t>
      </w:r>
    </w:p>
    <w:p w14:paraId="2D9D04C1" w14:textId="77777777" w:rsidR="009650FE" w:rsidRDefault="009650FE">
      <w:pPr>
        <w:pStyle w:val="Normaalweb"/>
        <w:divId w:val="953290302"/>
        <w:rPr>
          <w:lang w:val="en-GB"/>
        </w:rPr>
      </w:pPr>
      <w:r>
        <w:rPr>
          <w:lang w:val="en-GB"/>
        </w:rPr>
        <w:t>This diagram dispels that impression. There is no structure here. There is no title for each node. There is only the whole: 54 organisations, one family, 127 connections, 96 of which are blocked. And in the centre, a body that must hold its own.</w:t>
      </w:r>
    </w:p>
    <w:p w14:paraId="7BCC2A24" w14:textId="77777777" w:rsidR="009650FE" w:rsidRDefault="009650FE">
      <w:pPr>
        <w:pStyle w:val="Normaalweb"/>
        <w:divId w:val="953290302"/>
        <w:rPr>
          <w:lang w:val="en-GB"/>
        </w:rPr>
      </w:pPr>
      <w:r>
        <w:rPr>
          <w:lang w:val="en-GB"/>
        </w:rPr>
        <w:t>Readers who have worked their way through the previous 23 chapters knew where to look. They were able to follow the connections, recognise the channels and interpret the colours. But the family facing this situation does not have that structure. They do not realise that Vitaz operates in the healthcare sector and CM in the financial sector. They do not realise that CZ administers a treaty policy and CAK manages the register. All they see is this: there are people who are supposed to process my file, and the</w:t>
      </w:r>
      <w:r>
        <w:rPr>
          <w:lang w:val="en-GB"/>
        </w:rPr>
        <w:t>y are not doing so.</w:t>
      </w:r>
    </w:p>
    <w:p w14:paraId="62799299" w14:textId="77777777" w:rsidR="009650FE" w:rsidRDefault="009650FE">
      <w:pPr>
        <w:pStyle w:val="Normaalweb"/>
        <w:divId w:val="953290302"/>
        <w:rPr>
          <w:lang w:val="en-GB"/>
        </w:rPr>
      </w:pPr>
      <w:r>
        <w:rPr>
          <w:lang w:val="en-GB"/>
        </w:rPr>
        <w:t>That is what this diagram illustrates. Not the failure of a single body. Not the failure of a single mechanism. But the failure of the whole system — a network so complex that it is impossible for an ordinary person to find their way through it, and so rigid that it is impossible for an ordinary person to change anything within it.</w:t>
      </w:r>
    </w:p>
    <w:p w14:paraId="6CF9EA98" w14:textId="77777777" w:rsidR="009650FE" w:rsidRDefault="009650FE">
      <w:pPr>
        <w:pStyle w:val="Kop3"/>
        <w:divId w:val="953290302"/>
        <w:rPr>
          <w:rFonts w:eastAsia="Times New Roman"/>
          <w:lang w:val="en-GB"/>
        </w:rPr>
      </w:pPr>
      <w:bookmarkStart w:id="159" w:name="_Toc242103297"/>
      <w:r>
        <w:rPr>
          <w:rFonts w:eastAsia="Times New Roman"/>
          <w:lang w:val="en-GB"/>
        </w:rPr>
        <w:t>What isn’t in it</w:t>
      </w:r>
      <w:bookmarkEnd w:id="159"/>
    </w:p>
    <w:p w14:paraId="4AA9C274" w14:textId="77777777" w:rsidR="009650FE" w:rsidRDefault="009650FE">
      <w:pPr>
        <w:pStyle w:val="Normaalweb"/>
        <w:divId w:val="953290302"/>
        <w:rPr>
          <w:lang w:val="en-GB"/>
        </w:rPr>
      </w:pPr>
      <w:r>
        <w:rPr>
          <w:lang w:val="en-GB"/>
        </w:rPr>
        <w:t>The 127 connections shown in this diagram are the most important ones. In reality, there are more. Every letter sent to an organisation, every time a civil servant looks at a system, every telephone call made — these are all connections that do not appear in this diagram.</w:t>
      </w:r>
    </w:p>
    <w:p w14:paraId="6D95B215" w14:textId="77777777" w:rsidR="009650FE" w:rsidRDefault="009650FE">
      <w:pPr>
        <w:pStyle w:val="Normaalweb"/>
        <w:divId w:val="953290302"/>
        <w:rPr>
          <w:lang w:val="en-GB"/>
        </w:rPr>
      </w:pPr>
      <w:r>
        <w:rPr>
          <w:lang w:val="en-GB"/>
        </w:rPr>
        <w:t>And the 96 blocked connections shown here are only the blocked connections between the family and the organisations. In reality, there are also blocked connections between the organisations themselves. Between CM and UWV. Between CZ and CAK. Between FOD SZ and FPS Finance. Every blocked connection between organisations is an extra layer that the family has to navigate.</w:t>
      </w:r>
    </w:p>
    <w:p w14:paraId="22DDB695" w14:textId="77777777" w:rsidR="009650FE" w:rsidRDefault="009650FE">
      <w:pPr>
        <w:pStyle w:val="Normaalweb"/>
        <w:divId w:val="953290302"/>
        <w:rPr>
          <w:lang w:val="en-GB"/>
        </w:rPr>
      </w:pPr>
      <w:r>
        <w:rPr>
          <w:lang w:val="en-GB"/>
        </w:rPr>
        <w:t>What this diagram shows is not the entire network. It is a representation of the entire network. If all the connections were drawn in, the diagram would become illegible. And that is precisely the point.</w:t>
      </w:r>
    </w:p>
    <w:p w14:paraId="2EB23BC9" w14:textId="77777777" w:rsidR="009650FE" w:rsidRDefault="009650FE">
      <w:pPr>
        <w:pStyle w:val="noot"/>
        <w:spacing w:after="120" w:afterAutospacing="0"/>
        <w:divId w:val="953290302"/>
        <w:rPr>
          <w:lang w:val="en-GB"/>
        </w:rPr>
      </w:pPr>
      <w:r>
        <w:rPr>
          <w:lang w:val="en-GB"/>
        </w:rPr>
        <w:t>All organisations in this chapter are legal entities. Natural persons are referred to by their title or symbol. The organisations are based on Document B. The connections are based on the actual correspondence in Document B, summarised where relevant. The figures (54 organisations, 127 links) are indicative; the actual number is higher. This chapter does not constitute legal advice.</w:t>
      </w:r>
    </w:p>
    <w:sectPr w:rsidR="00000000" w:rsidSect="009650FE">
      <w:headerReference w:type="even" r:id="rId102"/>
      <w:headerReference w:type="default" r:id="rId103"/>
      <w:footerReference w:type="even" r:id="rId104"/>
      <w:footerReference w:type="default" r:id="rId105"/>
      <w:headerReference w:type="first" r:id="rId106"/>
      <w:footerReference w:type="first" r:id="rId107"/>
      <w:pgSz w:w="11906" w:h="16838"/>
      <w:pgMar w:top="1417" w:right="1417" w:bottom="1417"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7BEC38" w14:textId="77777777" w:rsidR="009650FE" w:rsidRDefault="009650FE" w:rsidP="009650FE">
      <w:pPr>
        <w:spacing w:after="0"/>
      </w:pPr>
      <w:r>
        <w:separator/>
      </w:r>
    </w:p>
  </w:endnote>
  <w:endnote w:type="continuationSeparator" w:id="0">
    <w:p w14:paraId="3D07FE16" w14:textId="77777777" w:rsidR="009650FE" w:rsidRDefault="009650FE" w:rsidP="009650F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8D3272" w14:textId="77777777" w:rsidR="009650FE" w:rsidRDefault="009650F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32BF5B" w14:textId="29971890" w:rsidR="009650FE" w:rsidRPr="009650FE" w:rsidRDefault="009650FE" w:rsidP="009650FE">
    <w:pPr>
      <w:pStyle w:val="Voettekst"/>
      <w:pBdr>
        <w:top w:val="single" w:sz="4" w:space="0" w:color="C0C0C0"/>
      </w:pBdr>
      <w:jc w:val="center"/>
      <w:rPr>
        <w:color w:val="808080"/>
        <w:sz w:val="18"/>
      </w:rPr>
    </w:pPr>
    <w:r w:rsidRPr="009650FE">
      <w:rPr>
        <w:color w:val="808080"/>
        <w:sz w:val="18"/>
      </w:rPr>
      <w:t xml:space="preserve">Pagina </w:t>
    </w:r>
    <w:r w:rsidRPr="009650FE">
      <w:rPr>
        <w:color w:val="808080"/>
        <w:sz w:val="18"/>
      </w:rPr>
      <w:fldChar w:fldCharType="begin"/>
    </w:r>
    <w:r w:rsidRPr="009650FE">
      <w:rPr>
        <w:color w:val="808080"/>
        <w:sz w:val="18"/>
      </w:rPr>
      <w:instrText xml:space="preserve"> PAGE  \* MERGEFORMAT </w:instrText>
    </w:r>
    <w:r w:rsidRPr="009650FE">
      <w:rPr>
        <w:color w:val="808080"/>
        <w:sz w:val="18"/>
      </w:rPr>
      <w:fldChar w:fldCharType="separate"/>
    </w:r>
    <w:r w:rsidRPr="009650FE">
      <w:rPr>
        <w:noProof/>
        <w:color w:val="808080"/>
        <w:sz w:val="18"/>
      </w:rPr>
      <w:t>1</w:t>
    </w:r>
    <w:r w:rsidRPr="009650FE">
      <w:rPr>
        <w:color w:val="808080"/>
        <w:sz w:val="18"/>
      </w:rPr>
      <w:fldChar w:fldCharType="end"/>
    </w:r>
    <w:r w:rsidRPr="009650FE">
      <w:rPr>
        <w:color w:val="808080"/>
        <w:sz w:val="18"/>
      </w:rPr>
      <w:t xml:space="preserve"> van </w:t>
    </w:r>
    <w:r w:rsidRPr="009650FE">
      <w:rPr>
        <w:color w:val="808080"/>
        <w:sz w:val="18"/>
      </w:rPr>
      <w:fldChar w:fldCharType="begin"/>
    </w:r>
    <w:r w:rsidRPr="009650FE">
      <w:rPr>
        <w:color w:val="808080"/>
        <w:sz w:val="18"/>
      </w:rPr>
      <w:instrText xml:space="preserve"> NUMPAGES  \* MERGEFORMAT </w:instrText>
    </w:r>
    <w:r w:rsidRPr="009650FE">
      <w:rPr>
        <w:color w:val="808080"/>
        <w:sz w:val="18"/>
      </w:rPr>
      <w:fldChar w:fldCharType="separate"/>
    </w:r>
    <w:r w:rsidRPr="009650FE">
      <w:rPr>
        <w:noProof/>
        <w:color w:val="808080"/>
        <w:sz w:val="18"/>
      </w:rPr>
      <w:t>2</w:t>
    </w:r>
    <w:r w:rsidRPr="009650FE">
      <w:rPr>
        <w:color w:val="808080"/>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475F50" w14:textId="77777777" w:rsidR="009650FE" w:rsidRDefault="009650F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C2E490" w14:textId="77777777" w:rsidR="009650FE" w:rsidRDefault="009650FE" w:rsidP="009650FE">
      <w:pPr>
        <w:spacing w:after="0"/>
      </w:pPr>
      <w:r>
        <w:separator/>
      </w:r>
    </w:p>
  </w:footnote>
  <w:footnote w:type="continuationSeparator" w:id="0">
    <w:p w14:paraId="55C2EC8E" w14:textId="77777777" w:rsidR="009650FE" w:rsidRDefault="009650FE" w:rsidP="009650F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AD8C89" w14:textId="77777777" w:rsidR="009650FE" w:rsidRDefault="009650F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1F16D5" w14:textId="0C2061EC" w:rsidR="009650FE" w:rsidRPr="009650FE" w:rsidRDefault="009650FE" w:rsidP="009650FE">
    <w:pPr>
      <w:pStyle w:val="Koptekst"/>
      <w:pBdr>
        <w:bottom w:val="single" w:sz="4" w:space="0" w:color="C0C0C0"/>
      </w:pBdr>
      <w:rPr>
        <w:color w:val="808080"/>
        <w:sz w:val="18"/>
      </w:rPr>
    </w:pPr>
    <w:r w:rsidRPr="009650FE">
      <w:rPr>
        <w:color w:val="808080"/>
        <w:sz w:val="18"/>
      </w:rPr>
      <w:t>Eric Messa - Systeem-Audit</w:t>
    </w:r>
    <w:r w:rsidRPr="009650FE">
      <w:rPr>
        <w:color w:val="808080"/>
        <w:sz w:val="18"/>
      </w:rPr>
      <w:tab/>
      <w:t>Document C — De visuele architectuur</w:t>
    </w:r>
    <w:r w:rsidRPr="009650FE">
      <w:rPr>
        <w:color w:val="808080"/>
        <w:sz w:val="18"/>
      </w:rPr>
      <w:tab/>
      <w:t>Laatst gewijzigd: 5 oktober 2026, 14:11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877DF2" w14:textId="77777777" w:rsidR="009650FE" w:rsidRDefault="009650F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9C0718"/>
    <w:multiLevelType w:val="multilevel"/>
    <w:tmpl w:val="A94C38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DBA4830"/>
    <w:multiLevelType w:val="multilevel"/>
    <w:tmpl w:val="19180D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1C0238"/>
    <w:multiLevelType w:val="multilevel"/>
    <w:tmpl w:val="7A129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4F2D33"/>
    <w:multiLevelType w:val="multilevel"/>
    <w:tmpl w:val="978093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F1B1206"/>
    <w:multiLevelType w:val="multilevel"/>
    <w:tmpl w:val="637AD1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830F31"/>
    <w:multiLevelType w:val="multilevel"/>
    <w:tmpl w:val="206074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1B25816"/>
    <w:multiLevelType w:val="multilevel"/>
    <w:tmpl w:val="111E0A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5270E22"/>
    <w:multiLevelType w:val="multilevel"/>
    <w:tmpl w:val="9B9AC7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1556E7"/>
    <w:multiLevelType w:val="multilevel"/>
    <w:tmpl w:val="6B0E8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C7B213D"/>
    <w:multiLevelType w:val="multilevel"/>
    <w:tmpl w:val="A210C7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6546E4C"/>
    <w:multiLevelType w:val="multilevel"/>
    <w:tmpl w:val="6FE40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D1517BD"/>
    <w:multiLevelType w:val="multilevel"/>
    <w:tmpl w:val="CEF29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F671BFB"/>
    <w:multiLevelType w:val="multilevel"/>
    <w:tmpl w:val="65781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2447D0B"/>
    <w:multiLevelType w:val="multilevel"/>
    <w:tmpl w:val="BB763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6060FB2"/>
    <w:multiLevelType w:val="multilevel"/>
    <w:tmpl w:val="99445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C23131A"/>
    <w:multiLevelType w:val="multilevel"/>
    <w:tmpl w:val="E4B81B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C870EF0"/>
    <w:multiLevelType w:val="multilevel"/>
    <w:tmpl w:val="77440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D91685F"/>
    <w:multiLevelType w:val="multilevel"/>
    <w:tmpl w:val="A434EF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22C2E23"/>
    <w:multiLevelType w:val="multilevel"/>
    <w:tmpl w:val="4D74EC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2BE113B"/>
    <w:multiLevelType w:val="multilevel"/>
    <w:tmpl w:val="495A5D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3B22DD2"/>
    <w:multiLevelType w:val="multilevel"/>
    <w:tmpl w:val="1054A8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EE36EEE"/>
    <w:multiLevelType w:val="multilevel"/>
    <w:tmpl w:val="DAF2EE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EF81A8B"/>
    <w:multiLevelType w:val="multilevel"/>
    <w:tmpl w:val="E5B62F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15B3C2E"/>
    <w:multiLevelType w:val="multilevel"/>
    <w:tmpl w:val="D9843C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1CD3F8C"/>
    <w:multiLevelType w:val="multilevel"/>
    <w:tmpl w:val="26C26E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9ED7559"/>
    <w:multiLevelType w:val="multilevel"/>
    <w:tmpl w:val="599C2A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BF97A6B"/>
    <w:multiLevelType w:val="multilevel"/>
    <w:tmpl w:val="4DBCA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9410191"/>
    <w:multiLevelType w:val="multilevel"/>
    <w:tmpl w:val="8A961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EEA367C"/>
    <w:multiLevelType w:val="multilevel"/>
    <w:tmpl w:val="F45053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FCE471F"/>
    <w:multiLevelType w:val="multilevel"/>
    <w:tmpl w:val="7F320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52555462">
    <w:abstractNumId w:val="26"/>
  </w:num>
  <w:num w:numId="2" w16cid:durableId="1233388632">
    <w:abstractNumId w:val="7"/>
  </w:num>
  <w:num w:numId="3" w16cid:durableId="668681840">
    <w:abstractNumId w:val="18"/>
  </w:num>
  <w:num w:numId="4" w16cid:durableId="1727026270">
    <w:abstractNumId w:val="27"/>
  </w:num>
  <w:num w:numId="5" w16cid:durableId="849762878">
    <w:abstractNumId w:val="21"/>
  </w:num>
  <w:num w:numId="6" w16cid:durableId="1281379619">
    <w:abstractNumId w:val="13"/>
  </w:num>
  <w:num w:numId="7" w16cid:durableId="1571385991">
    <w:abstractNumId w:val="14"/>
  </w:num>
  <w:num w:numId="8" w16cid:durableId="618492809">
    <w:abstractNumId w:val="10"/>
  </w:num>
  <w:num w:numId="9" w16cid:durableId="692807617">
    <w:abstractNumId w:val="4"/>
  </w:num>
  <w:num w:numId="10" w16cid:durableId="1460145932">
    <w:abstractNumId w:val="3"/>
  </w:num>
  <w:num w:numId="11" w16cid:durableId="101534124">
    <w:abstractNumId w:val="15"/>
  </w:num>
  <w:num w:numId="12" w16cid:durableId="1336962025">
    <w:abstractNumId w:val="24"/>
  </w:num>
  <w:num w:numId="13" w16cid:durableId="642975877">
    <w:abstractNumId w:val="17"/>
  </w:num>
  <w:num w:numId="14" w16cid:durableId="1307008486">
    <w:abstractNumId w:val="29"/>
  </w:num>
  <w:num w:numId="15" w16cid:durableId="1191996002">
    <w:abstractNumId w:val="19"/>
  </w:num>
  <w:num w:numId="16" w16cid:durableId="152138589">
    <w:abstractNumId w:val="12"/>
  </w:num>
  <w:num w:numId="17" w16cid:durableId="670564684">
    <w:abstractNumId w:val="9"/>
  </w:num>
  <w:num w:numId="18" w16cid:durableId="2141412306">
    <w:abstractNumId w:val="8"/>
  </w:num>
  <w:num w:numId="19" w16cid:durableId="690883618">
    <w:abstractNumId w:val="16"/>
  </w:num>
  <w:num w:numId="20" w16cid:durableId="1307397968">
    <w:abstractNumId w:val="25"/>
  </w:num>
  <w:num w:numId="21" w16cid:durableId="352263607">
    <w:abstractNumId w:val="28"/>
  </w:num>
  <w:num w:numId="22" w16cid:durableId="1626158750">
    <w:abstractNumId w:val="1"/>
  </w:num>
  <w:num w:numId="23" w16cid:durableId="1651326706">
    <w:abstractNumId w:val="0"/>
  </w:num>
  <w:num w:numId="24" w16cid:durableId="1728455030">
    <w:abstractNumId w:val="20"/>
  </w:num>
  <w:num w:numId="25" w16cid:durableId="1763447795">
    <w:abstractNumId w:val="23"/>
  </w:num>
  <w:num w:numId="26" w16cid:durableId="614140591">
    <w:abstractNumId w:val="22"/>
  </w:num>
  <w:num w:numId="27" w16cid:durableId="363559777">
    <w:abstractNumId w:val="2"/>
  </w:num>
  <w:num w:numId="28" w16cid:durableId="1061097495">
    <w:abstractNumId w:val="5"/>
  </w:num>
  <w:num w:numId="29" w16cid:durableId="1587300728">
    <w:abstractNumId w:val="6"/>
  </w:num>
  <w:num w:numId="30" w16cid:durableId="39879649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9650FE"/>
    <w:rsid w:val="009650FE"/>
    <w:rsid w:val="00F62BD1"/>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3F4CF4"/>
  <w15:chartTrackingRefBased/>
  <w15:docId w15:val="{13E3BD71-6646-44E7-8A51-E722AED0F5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BE" w:eastAsia="nl-B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after="120"/>
    </w:pPr>
    <w:rPr>
      <w:rFonts w:ascii="Aptos" w:eastAsiaTheme="minorEastAsia" w:hAnsi="Aptos"/>
      <w:sz w:val="22"/>
      <w:szCs w:val="24"/>
    </w:rPr>
  </w:style>
  <w:style w:type="paragraph" w:styleId="Kop1">
    <w:name w:val="heading 1"/>
    <w:basedOn w:val="Standaard"/>
    <w:link w:val="Kop1Char"/>
    <w:uiPriority w:val="9"/>
    <w:qFormat/>
    <w:pPr>
      <w:pBdr>
        <w:bottom w:val="single" w:sz="18" w:space="6" w:color="4A3B6B"/>
      </w:pBdr>
      <w:outlineLvl w:val="0"/>
    </w:pPr>
    <w:rPr>
      <w:rFonts w:ascii="Aptos Display" w:hAnsi="Aptos Display"/>
      <w:b/>
      <w:bCs/>
      <w:color w:val="4A3B6B"/>
      <w:kern w:val="36"/>
      <w:sz w:val="56"/>
      <w:szCs w:val="56"/>
    </w:rPr>
  </w:style>
  <w:style w:type="paragraph" w:styleId="Kop2">
    <w:name w:val="heading 2"/>
    <w:basedOn w:val="Standaard"/>
    <w:link w:val="Kop2Char"/>
    <w:uiPriority w:val="9"/>
    <w:qFormat/>
    <w:pPr>
      <w:pBdr>
        <w:bottom w:val="single" w:sz="12" w:space="4" w:color="4A3B6B"/>
      </w:pBdr>
      <w:spacing w:after="100"/>
      <w:outlineLvl w:val="1"/>
    </w:pPr>
    <w:rPr>
      <w:rFonts w:ascii="Aptos Display" w:hAnsi="Aptos Display"/>
      <w:b/>
      <w:bCs/>
      <w:color w:val="4A3B6B"/>
      <w:sz w:val="40"/>
      <w:szCs w:val="40"/>
    </w:rPr>
  </w:style>
  <w:style w:type="paragraph" w:styleId="Kop3">
    <w:name w:val="heading 3"/>
    <w:basedOn w:val="Standaard"/>
    <w:link w:val="Kop3Char"/>
    <w:uiPriority w:val="9"/>
    <w:qFormat/>
    <w:pPr>
      <w:pBdr>
        <w:bottom w:val="single" w:sz="6" w:space="3" w:color="4A3B6B"/>
      </w:pBdr>
      <w:spacing w:after="80"/>
      <w:outlineLvl w:val="2"/>
    </w:pPr>
    <w:rPr>
      <w:rFonts w:ascii="Aptos Display" w:hAnsi="Aptos Display"/>
      <w:b/>
      <w:bCs/>
      <w:color w:val="4A3B6B"/>
      <w:sz w:val="32"/>
      <w:szCs w:val="32"/>
    </w:rPr>
  </w:style>
  <w:style w:type="paragraph" w:styleId="Kop4">
    <w:name w:val="heading 4"/>
    <w:basedOn w:val="Standaard"/>
    <w:link w:val="Kop4Char"/>
    <w:uiPriority w:val="9"/>
    <w:qFormat/>
    <w:pPr>
      <w:spacing w:before="200" w:after="60"/>
      <w:outlineLvl w:val="3"/>
    </w:pPr>
    <w:rPr>
      <w:rFonts w:ascii="Aptos Display" w:hAnsi="Aptos Display"/>
      <w:b/>
      <w:bCs/>
      <w:color w:val="4A3B6B"/>
      <w:sz w:val="28"/>
      <w:szCs w:val="28"/>
    </w:rPr>
  </w:style>
  <w:style w:type="paragraph" w:styleId="Kop5">
    <w:name w:val="heading 5"/>
    <w:basedOn w:val="Standaard"/>
    <w:link w:val="Kop5Char"/>
    <w:uiPriority w:val="9"/>
    <w:qFormat/>
    <w:pPr>
      <w:spacing w:before="160" w:after="60"/>
      <w:outlineLvl w:val="4"/>
    </w:pPr>
    <w:rPr>
      <w:rFonts w:ascii="Aptos Display" w:hAnsi="Aptos Display"/>
      <w:b/>
      <w:bCs/>
      <w:color w:val="333333"/>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semiHidden/>
    <w:unhideWhenUsed/>
    <w:rPr>
      <w:color w:val="0000FF"/>
      <w:u w:val="single"/>
    </w:rPr>
  </w:style>
  <w:style w:type="character" w:styleId="GevolgdeHyperlink">
    <w:name w:val="FollowedHyperlink"/>
    <w:basedOn w:val="Standaardalinea-lettertype"/>
    <w:uiPriority w:val="99"/>
    <w:semiHidden/>
    <w:unhideWhenUsed/>
    <w:rPr>
      <w:color w:val="800080"/>
      <w:u w:val="single"/>
    </w:rPr>
  </w:style>
  <w:style w:type="character" w:customStyle="1" w:styleId="Kop1Char">
    <w:name w:val="Kop 1 Char"/>
    <w:basedOn w:val="Standaardalinea-lettertype"/>
    <w:link w:val="Kop1"/>
    <w:uiPriority w:val="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Pr>
      <w:rFonts w:asciiTheme="minorHAnsi" w:eastAsiaTheme="majorEastAsia" w:hAnsiTheme="minorHAnsi" w:cstheme="majorBidi"/>
      <w:color w:val="0F4761" w:themeColor="accent1" w:themeShade="BF"/>
      <w:sz w:val="28"/>
      <w:szCs w:val="28"/>
    </w:rPr>
  </w:style>
  <w:style w:type="character" w:customStyle="1" w:styleId="Kop4Char">
    <w:name w:val="Kop 4 Char"/>
    <w:basedOn w:val="Standaardalinea-lettertype"/>
    <w:link w:val="Kop4"/>
    <w:uiPriority w:val="9"/>
    <w:semiHidden/>
    <w:rPr>
      <w:rFonts w:asciiTheme="minorHAnsi" w:eastAsiaTheme="majorEastAsia" w:hAnsiTheme="minorHAnsi" w:cstheme="majorBidi"/>
      <w:i/>
      <w:iCs/>
      <w:color w:val="0F4761" w:themeColor="accent1" w:themeShade="BF"/>
      <w:sz w:val="24"/>
      <w:szCs w:val="24"/>
    </w:rPr>
  </w:style>
  <w:style w:type="character" w:customStyle="1" w:styleId="Kop5Char">
    <w:name w:val="Kop 5 Char"/>
    <w:basedOn w:val="Standaardalinea-lettertype"/>
    <w:link w:val="Kop5"/>
    <w:uiPriority w:val="9"/>
    <w:semiHidden/>
    <w:rPr>
      <w:rFonts w:asciiTheme="minorHAnsi" w:eastAsiaTheme="majorEastAsia" w:hAnsiTheme="minorHAnsi" w:cstheme="majorBidi"/>
      <w:color w:val="0F4761" w:themeColor="accent1" w:themeShade="BF"/>
      <w:sz w:val="24"/>
      <w:szCs w:val="24"/>
    </w:rPr>
  </w:style>
  <w:style w:type="character" w:styleId="Zwaar">
    <w:name w:val="Strong"/>
    <w:basedOn w:val="Standaardalinea-lettertype"/>
    <w:uiPriority w:val="22"/>
    <w:qFormat/>
    <w:rPr>
      <w:b/>
      <w:bCs/>
    </w:rPr>
  </w:style>
  <w:style w:type="paragraph" w:customStyle="1" w:styleId="msonormal0">
    <w:name w:val="msonormal"/>
    <w:basedOn w:val="Standaard"/>
  </w:style>
  <w:style w:type="paragraph" w:styleId="Normaalweb">
    <w:name w:val="Normal (Web)"/>
    <w:basedOn w:val="Standaard"/>
    <w:uiPriority w:val="99"/>
    <w:semiHidden/>
    <w:unhideWhenUsed/>
  </w:style>
  <w:style w:type="paragraph" w:customStyle="1" w:styleId="subtitel">
    <w:name w:val="subtitel"/>
    <w:basedOn w:val="Standaard"/>
    <w:pPr>
      <w:spacing w:after="200"/>
    </w:pPr>
    <w:rPr>
      <w:i/>
      <w:iCs/>
      <w:color w:val="555555"/>
      <w:szCs w:val="22"/>
    </w:rPr>
  </w:style>
  <w:style w:type="paragraph" w:customStyle="1" w:styleId="lead">
    <w:name w:val="lead"/>
    <w:basedOn w:val="Standaard"/>
    <w:pPr>
      <w:spacing w:after="240"/>
    </w:pPr>
    <w:rPr>
      <w:i/>
      <w:iCs/>
      <w:color w:val="444444"/>
    </w:rPr>
  </w:style>
  <w:style w:type="paragraph" w:customStyle="1" w:styleId="tijd">
    <w:name w:val="tijd"/>
    <w:basedOn w:val="Standaard"/>
    <w:pPr>
      <w:spacing w:after="80"/>
    </w:pPr>
    <w:rPr>
      <w:i/>
      <w:iCs/>
      <w:caps/>
      <w:color w:val="888888"/>
      <w:spacing w:val="20"/>
      <w:sz w:val="20"/>
      <w:szCs w:val="20"/>
    </w:rPr>
  </w:style>
  <w:style w:type="paragraph" w:customStyle="1" w:styleId="netwerkregel">
    <w:name w:val="netwerkregel"/>
    <w:basedOn w:val="Standaard"/>
    <w:pPr>
      <w:spacing w:before="100" w:beforeAutospacing="1"/>
    </w:pPr>
    <w:rPr>
      <w:i/>
      <w:iCs/>
      <w:color w:val="333333"/>
    </w:rPr>
  </w:style>
  <w:style w:type="paragraph" w:customStyle="1" w:styleId="metadata">
    <w:name w:val="metadata"/>
    <w:basedOn w:val="Standaard"/>
    <w:pPr>
      <w:spacing w:before="100" w:beforeAutospacing="1" w:after="80"/>
    </w:pPr>
    <w:rPr>
      <w:vanish/>
    </w:rPr>
  </w:style>
  <w:style w:type="paragraph" w:customStyle="1" w:styleId="timeline-entry">
    <w:name w:val="timeline-entry"/>
    <w:basedOn w:val="Standaard"/>
    <w:pPr>
      <w:spacing w:before="100" w:beforeAutospacing="1"/>
    </w:pPr>
  </w:style>
  <w:style w:type="paragraph" w:customStyle="1" w:styleId="date-title">
    <w:name w:val="date-title"/>
    <w:basedOn w:val="Standaard"/>
    <w:pPr>
      <w:spacing w:before="100" w:beforeAutospacing="1" w:after="100" w:afterAutospacing="1"/>
    </w:pPr>
    <w:rPr>
      <w:b/>
      <w:bCs/>
      <w:color w:val="000000"/>
    </w:rPr>
  </w:style>
  <w:style w:type="paragraph" w:customStyle="1" w:styleId="netwerk">
    <w:name w:val="netwerk"/>
    <w:basedOn w:val="Standaard"/>
    <w:pPr>
      <w:spacing w:before="100" w:beforeAutospacing="1" w:after="80"/>
    </w:pPr>
    <w:rPr>
      <w:i/>
      <w:iCs/>
      <w:color w:val="333333"/>
    </w:rPr>
  </w:style>
  <w:style w:type="paragraph" w:customStyle="1" w:styleId="meta">
    <w:name w:val="meta"/>
    <w:basedOn w:val="Standaard"/>
    <w:pPr>
      <w:spacing w:before="100" w:beforeAutospacing="1" w:after="80"/>
    </w:pPr>
  </w:style>
  <w:style w:type="paragraph" w:customStyle="1" w:styleId="entry">
    <w:name w:val="entry"/>
    <w:basedOn w:val="Standaard"/>
    <w:pPr>
      <w:spacing w:before="100" w:beforeAutospacing="1" w:after="80"/>
    </w:pPr>
  </w:style>
  <w:style w:type="paragraph" w:customStyle="1" w:styleId="datum">
    <w:name w:val="datum"/>
    <w:basedOn w:val="Standaard"/>
    <w:pPr>
      <w:spacing w:before="100" w:beforeAutospacing="1" w:after="100" w:afterAutospacing="1"/>
    </w:pPr>
    <w:rPr>
      <w:b/>
      <w:bCs/>
      <w:color w:val="000000"/>
    </w:rPr>
  </w:style>
  <w:style w:type="paragraph" w:customStyle="1" w:styleId="titel">
    <w:name w:val="titel"/>
    <w:basedOn w:val="Standaard"/>
    <w:pPr>
      <w:spacing w:before="100" w:beforeAutospacing="1" w:after="100" w:afterAutospacing="1"/>
    </w:pPr>
    <w:rPr>
      <w:b/>
      <w:bCs/>
      <w:caps/>
    </w:rPr>
  </w:style>
  <w:style w:type="paragraph" w:customStyle="1" w:styleId="opvolging">
    <w:name w:val="opvolging"/>
    <w:basedOn w:val="Standaard"/>
    <w:pPr>
      <w:spacing w:before="100" w:beforeAutospacing="1" w:after="100" w:afterAutospacing="1"/>
    </w:pPr>
    <w:rPr>
      <w:i/>
      <w:iCs/>
      <w:color w:val="555555"/>
    </w:rPr>
  </w:style>
  <w:style w:type="paragraph" w:customStyle="1" w:styleId="figure">
    <w:name w:val="figure"/>
    <w:basedOn w:val="Standaard"/>
    <w:pPr>
      <w:pBdr>
        <w:top w:val="single" w:sz="6" w:space="12" w:color="D8D4CB"/>
        <w:left w:val="single" w:sz="6" w:space="12" w:color="D8D4CB"/>
        <w:bottom w:val="single" w:sz="6" w:space="12" w:color="D8D4CB"/>
        <w:right w:val="single" w:sz="6" w:space="12" w:color="D8D4CB"/>
      </w:pBdr>
      <w:shd w:val="clear" w:color="auto" w:fill="FFFFFF"/>
      <w:spacing w:before="280" w:after="280"/>
    </w:pPr>
  </w:style>
  <w:style w:type="paragraph" w:customStyle="1" w:styleId="caption">
    <w:name w:val="caption"/>
    <w:basedOn w:val="Standaard"/>
    <w:pPr>
      <w:pBdr>
        <w:top w:val="single" w:sz="6" w:space="6" w:color="ECE8DF"/>
      </w:pBdr>
      <w:spacing w:before="160" w:after="100" w:afterAutospacing="1"/>
    </w:pPr>
    <w:rPr>
      <w:color w:val="4A5559"/>
      <w:sz w:val="20"/>
      <w:szCs w:val="20"/>
    </w:rPr>
  </w:style>
  <w:style w:type="paragraph" w:customStyle="1" w:styleId="status-g">
    <w:name w:val="status-g"/>
    <w:basedOn w:val="Standaard"/>
    <w:pPr>
      <w:spacing w:before="100" w:beforeAutospacing="1" w:after="100" w:afterAutospacing="1"/>
    </w:pPr>
    <w:rPr>
      <w:b/>
      <w:bCs/>
      <w:color w:val="2E7D32"/>
    </w:rPr>
  </w:style>
  <w:style w:type="paragraph" w:customStyle="1" w:styleId="status-o">
    <w:name w:val="status-o"/>
    <w:basedOn w:val="Standaard"/>
    <w:pPr>
      <w:spacing w:before="100" w:beforeAutospacing="1" w:after="100" w:afterAutospacing="1"/>
    </w:pPr>
    <w:rPr>
      <w:b/>
      <w:bCs/>
      <w:color w:val="E65100"/>
    </w:rPr>
  </w:style>
  <w:style w:type="paragraph" w:customStyle="1" w:styleId="status-r">
    <w:name w:val="status-r"/>
    <w:basedOn w:val="Standaard"/>
    <w:pPr>
      <w:spacing w:before="100" w:beforeAutospacing="1" w:after="100" w:afterAutospacing="1"/>
    </w:pPr>
    <w:rPr>
      <w:b/>
      <w:bCs/>
      <w:color w:val="C62828"/>
    </w:rPr>
  </w:style>
  <w:style w:type="paragraph" w:customStyle="1" w:styleId="actie">
    <w:name w:val="actie"/>
    <w:basedOn w:val="Standaard"/>
    <w:pPr>
      <w:pBdr>
        <w:left w:val="single" w:sz="24" w:space="14" w:color="4A3B6B"/>
      </w:pBdr>
      <w:shd w:val="clear" w:color="auto" w:fill="EDE9F5"/>
      <w:spacing w:before="280" w:after="280"/>
    </w:pPr>
    <w:rPr>
      <w:szCs w:val="22"/>
    </w:rPr>
  </w:style>
  <w:style w:type="paragraph" w:customStyle="1" w:styleId="werkversie">
    <w:name w:val="werkversie"/>
    <w:basedOn w:val="Standaard"/>
    <w:pPr>
      <w:pBdr>
        <w:left w:val="single" w:sz="24" w:space="12" w:color="E6A817"/>
      </w:pBdr>
      <w:shd w:val="clear" w:color="auto" w:fill="FFF8E1"/>
      <w:spacing w:before="100" w:beforeAutospacing="1" w:after="320"/>
    </w:pPr>
    <w:rPr>
      <w:color w:val="665500"/>
      <w:sz w:val="21"/>
      <w:szCs w:val="21"/>
    </w:rPr>
  </w:style>
  <w:style w:type="paragraph" w:customStyle="1" w:styleId="afsluiting">
    <w:name w:val="afsluiting"/>
    <w:basedOn w:val="Standaard"/>
    <w:pPr>
      <w:pBdr>
        <w:left w:val="single" w:sz="24" w:space="14" w:color="4A3B6B"/>
      </w:pBdr>
      <w:shd w:val="clear" w:color="auto" w:fill="F4F1F8"/>
      <w:spacing w:before="280" w:after="280"/>
    </w:pPr>
    <w:rPr>
      <w:szCs w:val="22"/>
    </w:rPr>
  </w:style>
  <w:style w:type="paragraph" w:customStyle="1" w:styleId="actor">
    <w:name w:val="actor"/>
    <w:basedOn w:val="Standaard"/>
    <w:pPr>
      <w:pBdr>
        <w:bottom w:val="single" w:sz="6" w:space="10" w:color="E8E4DC"/>
      </w:pBdr>
      <w:spacing w:before="100" w:beforeAutospacing="1" w:after="240"/>
    </w:pPr>
  </w:style>
  <w:style w:type="paragraph" w:customStyle="1" w:styleId="actor-naam">
    <w:name w:val="actor-naam"/>
    <w:basedOn w:val="Standaard"/>
    <w:pPr>
      <w:spacing w:before="100" w:beforeAutospacing="1" w:after="100" w:afterAutospacing="1"/>
    </w:pPr>
    <w:rPr>
      <w:b/>
      <w:bCs/>
      <w:color w:val="1F2421"/>
    </w:rPr>
  </w:style>
  <w:style w:type="paragraph" w:customStyle="1" w:styleId="actor-rol">
    <w:name w:val="actor-rol"/>
    <w:basedOn w:val="Standaard"/>
    <w:pPr>
      <w:spacing w:before="100" w:beforeAutospacing="1" w:after="100" w:afterAutospacing="1"/>
    </w:pPr>
    <w:rPr>
      <w:b/>
      <w:bCs/>
      <w:color w:val="4A3B6B"/>
    </w:rPr>
  </w:style>
  <w:style w:type="paragraph" w:customStyle="1" w:styleId="badge-be">
    <w:name w:val="badge-be"/>
    <w:basedOn w:val="Standaard"/>
    <w:pPr>
      <w:spacing w:before="100" w:beforeAutospacing="1" w:after="100" w:afterAutospacing="1"/>
    </w:pPr>
    <w:rPr>
      <w:b/>
      <w:bCs/>
      <w:color w:val="8B1E1E"/>
    </w:rPr>
  </w:style>
  <w:style w:type="paragraph" w:customStyle="1" w:styleId="badge-nl">
    <w:name w:val="badge-nl"/>
    <w:basedOn w:val="Standaard"/>
    <w:pPr>
      <w:spacing w:before="100" w:beforeAutospacing="1" w:after="100" w:afterAutospacing="1"/>
    </w:pPr>
    <w:rPr>
      <w:b/>
      <w:bCs/>
      <w:color w:val="1A3C6E"/>
    </w:rPr>
  </w:style>
  <w:style w:type="paragraph" w:customStyle="1" w:styleId="badge-mem">
    <w:name w:val="badge-mem"/>
    <w:basedOn w:val="Standaard"/>
    <w:pPr>
      <w:spacing w:before="100" w:beforeAutospacing="1" w:after="100" w:afterAutospacing="1"/>
    </w:pPr>
    <w:rPr>
      <w:b/>
      <w:bCs/>
      <w:color w:val="C1440E"/>
    </w:rPr>
  </w:style>
  <w:style w:type="paragraph" w:customStyle="1" w:styleId="badge-eu">
    <w:name w:val="badge-eu"/>
    <w:basedOn w:val="Standaard"/>
    <w:pPr>
      <w:spacing w:before="100" w:beforeAutospacing="1" w:after="100" w:afterAutospacing="1"/>
    </w:pPr>
    <w:rPr>
      <w:b/>
      <w:bCs/>
      <w:color w:val="0D7377"/>
    </w:rPr>
  </w:style>
  <w:style w:type="paragraph" w:customStyle="1" w:styleId="banner-be">
    <w:name w:val="banner-be"/>
    <w:basedOn w:val="Standaard"/>
    <w:pPr>
      <w:pBdr>
        <w:left w:val="single" w:sz="36" w:space="12" w:color="8B1E1E"/>
      </w:pBdr>
      <w:shd w:val="clear" w:color="auto" w:fill="F7EDED"/>
      <w:spacing w:before="400" w:after="200"/>
    </w:pPr>
  </w:style>
  <w:style w:type="paragraph" w:customStyle="1" w:styleId="banner-nl">
    <w:name w:val="banner-nl"/>
    <w:basedOn w:val="Standaard"/>
    <w:pPr>
      <w:pBdr>
        <w:left w:val="single" w:sz="36" w:space="12" w:color="1A3C6E"/>
      </w:pBdr>
      <w:shd w:val="clear" w:color="auto" w:fill="EDF2F8"/>
      <w:spacing w:before="400" w:after="200"/>
    </w:pPr>
  </w:style>
  <w:style w:type="paragraph" w:customStyle="1" w:styleId="banner-eu">
    <w:name w:val="banner-eu"/>
    <w:basedOn w:val="Standaard"/>
    <w:pPr>
      <w:pBdr>
        <w:left w:val="single" w:sz="36" w:space="12" w:color="0D7377"/>
      </w:pBdr>
      <w:shd w:val="clear" w:color="auto" w:fill="EAF4F4"/>
      <w:spacing w:before="400" w:after="200"/>
    </w:pPr>
  </w:style>
  <w:style w:type="paragraph" w:customStyle="1" w:styleId="legend-row">
    <w:name w:val="legend-row"/>
    <w:basedOn w:val="Standaard"/>
    <w:pPr>
      <w:spacing w:before="80" w:after="100" w:afterAutospacing="1"/>
    </w:pPr>
    <w:rPr>
      <w:sz w:val="21"/>
      <w:szCs w:val="21"/>
    </w:rPr>
  </w:style>
  <w:style w:type="paragraph" w:customStyle="1" w:styleId="legend-num">
    <w:name w:val="legend-num"/>
    <w:basedOn w:val="Standaard"/>
    <w:pPr>
      <w:spacing w:before="100" w:beforeAutospacing="1" w:after="100" w:afterAutospacing="1" w:line="330" w:lineRule="atLeast"/>
      <w:jc w:val="center"/>
    </w:pPr>
    <w:rPr>
      <w:b/>
      <w:bCs/>
      <w:color w:val="FFFFFF"/>
      <w:sz w:val="20"/>
      <w:szCs w:val="20"/>
    </w:rPr>
  </w:style>
  <w:style w:type="paragraph" w:customStyle="1" w:styleId="noot">
    <w:name w:val="noot"/>
    <w:basedOn w:val="Standaard"/>
    <w:pPr>
      <w:pBdr>
        <w:top w:val="single" w:sz="6" w:space="10" w:color="DDDDDD"/>
      </w:pBdr>
      <w:spacing w:before="400" w:after="100" w:afterAutospacing="1"/>
    </w:pPr>
    <w:rPr>
      <w:i/>
      <w:iCs/>
      <w:color w:val="666666"/>
      <w:sz w:val="19"/>
      <w:szCs w:val="19"/>
    </w:rPr>
  </w:style>
  <w:style w:type="paragraph" w:customStyle="1" w:styleId="titelblad">
    <w:name w:val="titelblad"/>
    <w:basedOn w:val="Standaard"/>
    <w:pPr>
      <w:spacing w:before="4000" w:after="100" w:afterAutospacing="1"/>
      <w:jc w:val="center"/>
    </w:pPr>
  </w:style>
  <w:style w:type="paragraph" w:customStyle="1" w:styleId="gebruikersaanwijzing">
    <w:name w:val="gebruikersaanwijzing"/>
    <w:basedOn w:val="Standaard"/>
    <w:pPr>
      <w:spacing w:after="100" w:afterAutospacing="1"/>
    </w:pPr>
  </w:style>
  <w:style w:type="paragraph" w:customStyle="1" w:styleId="contactblok">
    <w:name w:val="contactblok"/>
    <w:basedOn w:val="Standaard"/>
    <w:pPr>
      <w:pBdr>
        <w:left w:val="single" w:sz="24" w:space="15" w:color="4A3B6B"/>
      </w:pBdr>
      <w:shd w:val="clear" w:color="auto" w:fill="FFFFFF"/>
      <w:spacing w:before="600" w:after="100" w:afterAutospacing="1"/>
    </w:pPr>
  </w:style>
  <w:style w:type="paragraph" w:customStyle="1" w:styleId="ondertitel">
    <w:name w:val="ondertitel"/>
    <w:basedOn w:val="Standaard"/>
    <w:pPr>
      <w:spacing w:before="100" w:beforeAutospacing="1" w:after="100" w:afterAutospacing="1"/>
    </w:pPr>
  </w:style>
  <w:style w:type="paragraph" w:customStyle="1" w:styleId="documentaanduiding">
    <w:name w:val="documentaanduiding"/>
    <w:basedOn w:val="Standaard"/>
    <w:pPr>
      <w:spacing w:before="100" w:beforeAutospacing="1" w:after="100" w:afterAutospacing="1"/>
    </w:pPr>
  </w:style>
  <w:style w:type="paragraph" w:customStyle="1" w:styleId="auteur">
    <w:name w:val="auteur"/>
    <w:basedOn w:val="Standaard"/>
    <w:pPr>
      <w:spacing w:before="100" w:beforeAutospacing="1" w:after="100" w:afterAutospacing="1"/>
    </w:pPr>
  </w:style>
  <w:style w:type="paragraph" w:customStyle="1" w:styleId="meta-lijn">
    <w:name w:val="meta-lijn"/>
    <w:basedOn w:val="Standaard"/>
    <w:pPr>
      <w:spacing w:before="100" w:beforeAutospacing="1" w:after="100" w:afterAutospacing="1"/>
    </w:pPr>
  </w:style>
  <w:style w:type="paragraph" w:customStyle="1" w:styleId="ondertitel1">
    <w:name w:val="ondertitel1"/>
    <w:basedOn w:val="Standaard"/>
    <w:pPr>
      <w:spacing w:after="1200"/>
    </w:pPr>
    <w:rPr>
      <w:rFonts w:ascii="Aptos Display" w:hAnsi="Aptos Display"/>
      <w:color w:val="333333"/>
      <w:sz w:val="36"/>
      <w:szCs w:val="36"/>
    </w:rPr>
  </w:style>
  <w:style w:type="paragraph" w:customStyle="1" w:styleId="documentaanduiding1">
    <w:name w:val="documentaanduiding1"/>
    <w:basedOn w:val="Standaard"/>
    <w:pPr>
      <w:spacing w:after="1600"/>
    </w:pPr>
    <w:rPr>
      <w:rFonts w:ascii="Aptos Display" w:hAnsi="Aptos Display"/>
      <w:b/>
      <w:bCs/>
      <w:color w:val="4A3B6B"/>
      <w:sz w:val="44"/>
      <w:szCs w:val="44"/>
    </w:rPr>
  </w:style>
  <w:style w:type="paragraph" w:customStyle="1" w:styleId="auteur1">
    <w:name w:val="auteur1"/>
    <w:basedOn w:val="Standaard"/>
    <w:pPr>
      <w:spacing w:after="80"/>
    </w:pPr>
    <w:rPr>
      <w:color w:val="333333"/>
      <w:sz w:val="28"/>
      <w:szCs w:val="28"/>
    </w:rPr>
  </w:style>
  <w:style w:type="paragraph" w:customStyle="1" w:styleId="meta-lijn1">
    <w:name w:val="meta-lijn1"/>
    <w:basedOn w:val="Standaard"/>
    <w:pPr>
      <w:spacing w:after="80"/>
    </w:pPr>
    <w:rPr>
      <w:color w:val="555555"/>
    </w:rPr>
  </w:style>
  <w:style w:type="paragraph" w:customStyle="1" w:styleId="ondertitel2">
    <w:name w:val="ondertitel2"/>
    <w:basedOn w:val="Standaard"/>
    <w:pPr>
      <w:spacing w:after="1200"/>
    </w:pPr>
    <w:rPr>
      <w:rFonts w:ascii="Aptos Display" w:hAnsi="Aptos Display"/>
      <w:color w:val="333333"/>
      <w:sz w:val="36"/>
      <w:szCs w:val="36"/>
    </w:rPr>
  </w:style>
  <w:style w:type="paragraph" w:customStyle="1" w:styleId="documentaanduiding2">
    <w:name w:val="documentaanduiding2"/>
    <w:basedOn w:val="Standaard"/>
    <w:pPr>
      <w:spacing w:after="1600"/>
    </w:pPr>
    <w:rPr>
      <w:rFonts w:ascii="Aptos Display" w:hAnsi="Aptos Display"/>
      <w:b/>
      <w:bCs/>
      <w:color w:val="4A3B6B"/>
      <w:sz w:val="44"/>
      <w:szCs w:val="44"/>
    </w:rPr>
  </w:style>
  <w:style w:type="paragraph" w:customStyle="1" w:styleId="auteur2">
    <w:name w:val="auteur2"/>
    <w:basedOn w:val="Standaard"/>
    <w:pPr>
      <w:spacing w:after="80"/>
    </w:pPr>
    <w:rPr>
      <w:color w:val="333333"/>
      <w:sz w:val="28"/>
      <w:szCs w:val="28"/>
    </w:rPr>
  </w:style>
  <w:style w:type="paragraph" w:customStyle="1" w:styleId="meta-lijn2">
    <w:name w:val="meta-lijn2"/>
    <w:basedOn w:val="Standaard"/>
    <w:pPr>
      <w:spacing w:after="80"/>
    </w:pPr>
    <w:rPr>
      <w:color w:val="555555"/>
    </w:rPr>
  </w:style>
  <w:style w:type="paragraph" w:customStyle="1" w:styleId="marker">
    <w:name w:val="marker"/>
    <w:basedOn w:val="Standaard"/>
  </w:style>
  <w:style w:type="character" w:customStyle="1" w:styleId="badge-be1">
    <w:name w:val="badge-be1"/>
    <w:basedOn w:val="Standaardalinea-lettertype"/>
    <w:rPr>
      <w:b/>
      <w:bCs/>
      <w:color w:val="8B1E1E"/>
    </w:rPr>
  </w:style>
  <w:style w:type="character" w:customStyle="1" w:styleId="badge-nl1">
    <w:name w:val="badge-nl1"/>
    <w:basedOn w:val="Standaardalinea-lettertype"/>
    <w:rPr>
      <w:b/>
      <w:bCs/>
      <w:color w:val="1A3C6E"/>
    </w:rPr>
  </w:style>
  <w:style w:type="character" w:customStyle="1" w:styleId="badge-mem1">
    <w:name w:val="badge-mem1"/>
    <w:basedOn w:val="Standaardalinea-lettertype"/>
    <w:rPr>
      <w:b/>
      <w:bCs/>
      <w:color w:val="C1440E"/>
    </w:rPr>
  </w:style>
  <w:style w:type="character" w:customStyle="1" w:styleId="badge-eu1">
    <w:name w:val="badge-eu1"/>
    <w:basedOn w:val="Standaardalinea-lettertype"/>
    <w:rPr>
      <w:b/>
      <w:bCs/>
      <w:color w:val="0D7377"/>
    </w:rPr>
  </w:style>
  <w:style w:type="character" w:customStyle="1" w:styleId="actor-naam1">
    <w:name w:val="actor-naam1"/>
    <w:basedOn w:val="Standaardalinea-lettertype"/>
    <w:rPr>
      <w:b/>
      <w:bCs/>
      <w:color w:val="1F2421"/>
    </w:rPr>
  </w:style>
  <w:style w:type="character" w:customStyle="1" w:styleId="actor-rol1">
    <w:name w:val="actor-rol1"/>
    <w:basedOn w:val="Standaardalinea-lettertype"/>
    <w:rPr>
      <w:b/>
      <w:bCs/>
      <w:color w:val="4A3B6B"/>
    </w:rPr>
  </w:style>
  <w:style w:type="character" w:customStyle="1" w:styleId="status-r1">
    <w:name w:val="status-r1"/>
    <w:basedOn w:val="Standaardalinea-lettertype"/>
    <w:rPr>
      <w:b/>
      <w:bCs/>
      <w:color w:val="C62828"/>
    </w:rPr>
  </w:style>
  <w:style w:type="character" w:customStyle="1" w:styleId="status-g1">
    <w:name w:val="status-g1"/>
    <w:basedOn w:val="Standaardalinea-lettertype"/>
    <w:rPr>
      <w:b/>
      <w:bCs/>
      <w:color w:val="2E7D32"/>
    </w:rPr>
  </w:style>
  <w:style w:type="character" w:customStyle="1" w:styleId="status-o1">
    <w:name w:val="status-o1"/>
    <w:basedOn w:val="Standaardalinea-lettertype"/>
    <w:rPr>
      <w:b/>
      <w:bCs/>
      <w:color w:val="E65100"/>
    </w:rPr>
  </w:style>
  <w:style w:type="character" w:styleId="Nadruk">
    <w:name w:val="Emphasis"/>
    <w:basedOn w:val="Standaardalinea-lettertype"/>
    <w:uiPriority w:val="20"/>
    <w:qFormat/>
    <w:rPr>
      <w:i/>
      <w:iCs/>
    </w:rPr>
  </w:style>
  <w:style w:type="paragraph" w:styleId="Koptekst">
    <w:name w:val="header"/>
    <w:basedOn w:val="Standaard"/>
    <w:link w:val="KoptekstChar"/>
    <w:uiPriority w:val="99"/>
    <w:unhideWhenUsed/>
    <w:rsid w:val="009650FE"/>
    <w:pPr>
      <w:tabs>
        <w:tab w:val="center" w:pos="4536"/>
        <w:tab w:val="right" w:pos="9072"/>
      </w:tabs>
    </w:pPr>
  </w:style>
  <w:style w:type="character" w:customStyle="1" w:styleId="KoptekstChar">
    <w:name w:val="Koptekst Char"/>
    <w:basedOn w:val="Standaardalinea-lettertype"/>
    <w:link w:val="Koptekst"/>
    <w:uiPriority w:val="99"/>
    <w:rsid w:val="009650FE"/>
    <w:rPr>
      <w:rFonts w:eastAsiaTheme="minorEastAsia"/>
      <w:sz w:val="24"/>
      <w:szCs w:val="24"/>
    </w:rPr>
  </w:style>
  <w:style w:type="paragraph" w:styleId="Voettekst">
    <w:name w:val="footer"/>
    <w:basedOn w:val="Standaard"/>
    <w:link w:val="VoettekstChar"/>
    <w:uiPriority w:val="99"/>
    <w:unhideWhenUsed/>
    <w:rsid w:val="009650FE"/>
    <w:pPr>
      <w:tabs>
        <w:tab w:val="center" w:pos="4536"/>
        <w:tab w:val="right" w:pos="9072"/>
      </w:tabs>
    </w:pPr>
  </w:style>
  <w:style w:type="character" w:customStyle="1" w:styleId="VoettekstChar">
    <w:name w:val="Voettekst Char"/>
    <w:basedOn w:val="Standaardalinea-lettertype"/>
    <w:link w:val="Voettekst"/>
    <w:uiPriority w:val="99"/>
    <w:rsid w:val="009650FE"/>
    <w:rPr>
      <w:rFonts w:eastAsiaTheme="minorEastAsia"/>
      <w:sz w:val="24"/>
      <w:szCs w:val="24"/>
    </w:rPr>
  </w:style>
  <w:style w:type="paragraph" w:styleId="Inhopg2">
    <w:name w:val="toc 2"/>
    <w:basedOn w:val="Standaard"/>
    <w:next w:val="Standaard"/>
    <w:autoRedefine/>
    <w:uiPriority w:val="39"/>
    <w:unhideWhenUsed/>
    <w:rsid w:val="009650FE"/>
    <w:pPr>
      <w:spacing w:after="100"/>
      <w:ind w:left="220"/>
    </w:pPr>
  </w:style>
  <w:style w:type="paragraph" w:styleId="Inhopg1">
    <w:name w:val="toc 1"/>
    <w:basedOn w:val="Standaard"/>
    <w:next w:val="Standaard"/>
    <w:autoRedefine/>
    <w:uiPriority w:val="39"/>
    <w:unhideWhenUsed/>
    <w:rsid w:val="009650FE"/>
    <w:pPr>
      <w:spacing w:after="100"/>
    </w:pPr>
  </w:style>
  <w:style w:type="paragraph" w:styleId="Inhopg3">
    <w:name w:val="toc 3"/>
    <w:basedOn w:val="Standaard"/>
    <w:next w:val="Standaard"/>
    <w:autoRedefine/>
    <w:uiPriority w:val="39"/>
    <w:unhideWhenUsed/>
    <w:rsid w:val="009650FE"/>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3290302">
      <w:bodyDiv w:val="1"/>
      <w:marLeft w:val="800"/>
      <w:marRight w:val="800"/>
      <w:marTop w:val="800"/>
      <w:marBottom w:val="800"/>
      <w:divBdr>
        <w:top w:val="none" w:sz="0" w:space="0" w:color="auto"/>
        <w:left w:val="none" w:sz="0" w:space="0" w:color="auto"/>
        <w:bottom w:val="none" w:sz="0" w:space="0" w:color="auto"/>
        <w:right w:val="none" w:sz="0" w:space="0" w:color="auto"/>
      </w:divBdr>
      <w:divsChild>
        <w:div w:id="2091389549">
          <w:marLeft w:val="0"/>
          <w:marRight w:val="0"/>
          <w:marTop w:val="0"/>
          <w:marBottom w:val="0"/>
          <w:divBdr>
            <w:top w:val="none" w:sz="0" w:space="0" w:color="auto"/>
            <w:left w:val="none" w:sz="0" w:space="0" w:color="auto"/>
            <w:bottom w:val="none" w:sz="0" w:space="0" w:color="auto"/>
            <w:right w:val="none" w:sz="0" w:space="0" w:color="auto"/>
          </w:divBdr>
        </w:div>
        <w:div w:id="1815246566">
          <w:marLeft w:val="0"/>
          <w:marRight w:val="0"/>
          <w:marTop w:val="4000"/>
          <w:marBottom w:val="0"/>
          <w:divBdr>
            <w:top w:val="none" w:sz="0" w:space="0" w:color="auto"/>
            <w:left w:val="none" w:sz="0" w:space="0" w:color="auto"/>
            <w:bottom w:val="none" w:sz="0" w:space="0" w:color="auto"/>
            <w:right w:val="none" w:sz="0" w:space="0" w:color="auto"/>
          </w:divBdr>
        </w:div>
        <w:div w:id="863442105">
          <w:marLeft w:val="0"/>
          <w:marRight w:val="0"/>
          <w:marTop w:val="0"/>
          <w:marBottom w:val="0"/>
          <w:divBdr>
            <w:top w:val="none" w:sz="0" w:space="0" w:color="auto"/>
            <w:left w:val="none" w:sz="0" w:space="0" w:color="auto"/>
            <w:bottom w:val="none" w:sz="0" w:space="0" w:color="auto"/>
            <w:right w:val="none" w:sz="0" w:space="0" w:color="auto"/>
          </w:divBdr>
        </w:div>
        <w:div w:id="465633380">
          <w:marLeft w:val="0"/>
          <w:marRight w:val="0"/>
          <w:marTop w:val="0"/>
          <w:marBottom w:val="240"/>
          <w:divBdr>
            <w:top w:val="none" w:sz="0" w:space="0" w:color="auto"/>
            <w:left w:val="none" w:sz="0" w:space="0" w:color="auto"/>
            <w:bottom w:val="single" w:sz="6" w:space="10" w:color="E8E4DC"/>
            <w:right w:val="none" w:sz="0" w:space="0" w:color="auto"/>
          </w:divBdr>
        </w:div>
        <w:div w:id="1947345948">
          <w:marLeft w:val="0"/>
          <w:marRight w:val="0"/>
          <w:marTop w:val="0"/>
          <w:marBottom w:val="240"/>
          <w:divBdr>
            <w:top w:val="none" w:sz="0" w:space="0" w:color="auto"/>
            <w:left w:val="none" w:sz="0" w:space="0" w:color="auto"/>
            <w:bottom w:val="single" w:sz="6" w:space="10" w:color="E8E4DC"/>
            <w:right w:val="none" w:sz="0" w:space="0" w:color="auto"/>
          </w:divBdr>
        </w:div>
        <w:div w:id="1542016430">
          <w:marLeft w:val="0"/>
          <w:marRight w:val="0"/>
          <w:marTop w:val="0"/>
          <w:marBottom w:val="240"/>
          <w:divBdr>
            <w:top w:val="none" w:sz="0" w:space="0" w:color="auto"/>
            <w:left w:val="none" w:sz="0" w:space="0" w:color="auto"/>
            <w:bottom w:val="single" w:sz="6" w:space="10" w:color="E8E4DC"/>
            <w:right w:val="none" w:sz="0" w:space="0" w:color="auto"/>
          </w:divBdr>
        </w:div>
        <w:div w:id="917861516">
          <w:marLeft w:val="0"/>
          <w:marRight w:val="0"/>
          <w:marTop w:val="0"/>
          <w:marBottom w:val="240"/>
          <w:divBdr>
            <w:top w:val="none" w:sz="0" w:space="0" w:color="auto"/>
            <w:left w:val="none" w:sz="0" w:space="0" w:color="auto"/>
            <w:bottom w:val="single" w:sz="6" w:space="10" w:color="E8E4DC"/>
            <w:right w:val="none" w:sz="0" w:space="0" w:color="auto"/>
          </w:divBdr>
        </w:div>
        <w:div w:id="1312099023">
          <w:marLeft w:val="0"/>
          <w:marRight w:val="0"/>
          <w:marTop w:val="0"/>
          <w:marBottom w:val="240"/>
          <w:divBdr>
            <w:top w:val="none" w:sz="0" w:space="0" w:color="auto"/>
            <w:left w:val="none" w:sz="0" w:space="0" w:color="auto"/>
            <w:bottom w:val="single" w:sz="6" w:space="10" w:color="E8E4DC"/>
            <w:right w:val="none" w:sz="0" w:space="0" w:color="auto"/>
          </w:divBdr>
        </w:div>
        <w:div w:id="1123841220">
          <w:marLeft w:val="0"/>
          <w:marRight w:val="0"/>
          <w:marTop w:val="0"/>
          <w:marBottom w:val="240"/>
          <w:divBdr>
            <w:top w:val="none" w:sz="0" w:space="0" w:color="auto"/>
            <w:left w:val="none" w:sz="0" w:space="0" w:color="auto"/>
            <w:bottom w:val="single" w:sz="6" w:space="10" w:color="E8E4DC"/>
            <w:right w:val="none" w:sz="0" w:space="0" w:color="auto"/>
          </w:divBdr>
        </w:div>
        <w:div w:id="818621337">
          <w:marLeft w:val="0"/>
          <w:marRight w:val="0"/>
          <w:marTop w:val="0"/>
          <w:marBottom w:val="240"/>
          <w:divBdr>
            <w:top w:val="none" w:sz="0" w:space="0" w:color="auto"/>
            <w:left w:val="none" w:sz="0" w:space="0" w:color="auto"/>
            <w:bottom w:val="single" w:sz="6" w:space="10" w:color="E8E4DC"/>
            <w:right w:val="none" w:sz="0" w:space="0" w:color="auto"/>
          </w:divBdr>
        </w:div>
        <w:div w:id="689721260">
          <w:marLeft w:val="0"/>
          <w:marRight w:val="0"/>
          <w:marTop w:val="0"/>
          <w:marBottom w:val="240"/>
          <w:divBdr>
            <w:top w:val="none" w:sz="0" w:space="0" w:color="auto"/>
            <w:left w:val="none" w:sz="0" w:space="0" w:color="auto"/>
            <w:bottom w:val="single" w:sz="6" w:space="10" w:color="E8E4DC"/>
            <w:right w:val="none" w:sz="0" w:space="0" w:color="auto"/>
          </w:divBdr>
        </w:div>
        <w:div w:id="335961221">
          <w:marLeft w:val="0"/>
          <w:marRight w:val="0"/>
          <w:marTop w:val="0"/>
          <w:marBottom w:val="240"/>
          <w:divBdr>
            <w:top w:val="none" w:sz="0" w:space="0" w:color="auto"/>
            <w:left w:val="none" w:sz="0" w:space="0" w:color="auto"/>
            <w:bottom w:val="single" w:sz="6" w:space="10" w:color="E8E4DC"/>
            <w:right w:val="none" w:sz="0" w:space="0" w:color="auto"/>
          </w:divBdr>
        </w:div>
        <w:div w:id="172646134">
          <w:marLeft w:val="0"/>
          <w:marRight w:val="0"/>
          <w:marTop w:val="0"/>
          <w:marBottom w:val="240"/>
          <w:divBdr>
            <w:top w:val="none" w:sz="0" w:space="0" w:color="auto"/>
            <w:left w:val="none" w:sz="0" w:space="0" w:color="auto"/>
            <w:bottom w:val="single" w:sz="6" w:space="10" w:color="E8E4DC"/>
            <w:right w:val="none" w:sz="0" w:space="0" w:color="auto"/>
          </w:divBdr>
        </w:div>
        <w:div w:id="710374339">
          <w:marLeft w:val="0"/>
          <w:marRight w:val="0"/>
          <w:marTop w:val="0"/>
          <w:marBottom w:val="240"/>
          <w:divBdr>
            <w:top w:val="none" w:sz="0" w:space="0" w:color="auto"/>
            <w:left w:val="none" w:sz="0" w:space="0" w:color="auto"/>
            <w:bottom w:val="single" w:sz="6" w:space="10" w:color="E8E4DC"/>
            <w:right w:val="none" w:sz="0" w:space="0" w:color="auto"/>
          </w:divBdr>
        </w:div>
        <w:div w:id="876165644">
          <w:marLeft w:val="0"/>
          <w:marRight w:val="0"/>
          <w:marTop w:val="0"/>
          <w:marBottom w:val="240"/>
          <w:divBdr>
            <w:top w:val="none" w:sz="0" w:space="0" w:color="auto"/>
            <w:left w:val="none" w:sz="0" w:space="0" w:color="auto"/>
            <w:bottom w:val="single" w:sz="6" w:space="10" w:color="E8E4DC"/>
            <w:right w:val="none" w:sz="0" w:space="0" w:color="auto"/>
          </w:divBdr>
        </w:div>
        <w:div w:id="1706254856">
          <w:marLeft w:val="0"/>
          <w:marRight w:val="0"/>
          <w:marTop w:val="0"/>
          <w:marBottom w:val="240"/>
          <w:divBdr>
            <w:top w:val="none" w:sz="0" w:space="0" w:color="auto"/>
            <w:left w:val="none" w:sz="0" w:space="0" w:color="auto"/>
            <w:bottom w:val="single" w:sz="6" w:space="10" w:color="E8E4DC"/>
            <w:right w:val="none" w:sz="0" w:space="0" w:color="auto"/>
          </w:divBdr>
        </w:div>
        <w:div w:id="2128816504">
          <w:marLeft w:val="0"/>
          <w:marRight w:val="0"/>
          <w:marTop w:val="0"/>
          <w:marBottom w:val="240"/>
          <w:divBdr>
            <w:top w:val="none" w:sz="0" w:space="0" w:color="auto"/>
            <w:left w:val="none" w:sz="0" w:space="0" w:color="auto"/>
            <w:bottom w:val="single" w:sz="6" w:space="10" w:color="E8E4DC"/>
            <w:right w:val="none" w:sz="0" w:space="0" w:color="auto"/>
          </w:divBdr>
        </w:div>
        <w:div w:id="1648431852">
          <w:marLeft w:val="0"/>
          <w:marRight w:val="0"/>
          <w:marTop w:val="0"/>
          <w:marBottom w:val="240"/>
          <w:divBdr>
            <w:top w:val="none" w:sz="0" w:space="0" w:color="auto"/>
            <w:left w:val="none" w:sz="0" w:space="0" w:color="auto"/>
            <w:bottom w:val="single" w:sz="6" w:space="10" w:color="E8E4DC"/>
            <w:right w:val="none" w:sz="0" w:space="0" w:color="auto"/>
          </w:divBdr>
        </w:div>
        <w:div w:id="131100182">
          <w:marLeft w:val="0"/>
          <w:marRight w:val="0"/>
          <w:marTop w:val="0"/>
          <w:marBottom w:val="240"/>
          <w:divBdr>
            <w:top w:val="none" w:sz="0" w:space="0" w:color="auto"/>
            <w:left w:val="none" w:sz="0" w:space="0" w:color="auto"/>
            <w:bottom w:val="single" w:sz="6" w:space="10" w:color="E8E4DC"/>
            <w:right w:val="none" w:sz="0" w:space="0" w:color="auto"/>
          </w:divBdr>
        </w:div>
        <w:div w:id="2028090829">
          <w:marLeft w:val="0"/>
          <w:marRight w:val="0"/>
          <w:marTop w:val="0"/>
          <w:marBottom w:val="240"/>
          <w:divBdr>
            <w:top w:val="none" w:sz="0" w:space="0" w:color="auto"/>
            <w:left w:val="none" w:sz="0" w:space="0" w:color="auto"/>
            <w:bottom w:val="single" w:sz="6" w:space="10" w:color="E8E4DC"/>
            <w:right w:val="none" w:sz="0" w:space="0" w:color="auto"/>
          </w:divBdr>
        </w:div>
        <w:div w:id="534584216">
          <w:marLeft w:val="0"/>
          <w:marRight w:val="0"/>
          <w:marTop w:val="0"/>
          <w:marBottom w:val="240"/>
          <w:divBdr>
            <w:top w:val="none" w:sz="0" w:space="0" w:color="auto"/>
            <w:left w:val="none" w:sz="0" w:space="0" w:color="auto"/>
            <w:bottom w:val="single" w:sz="6" w:space="10" w:color="E8E4DC"/>
            <w:right w:val="none" w:sz="0" w:space="0" w:color="auto"/>
          </w:divBdr>
        </w:div>
        <w:div w:id="918058304">
          <w:marLeft w:val="0"/>
          <w:marRight w:val="0"/>
          <w:marTop w:val="0"/>
          <w:marBottom w:val="240"/>
          <w:divBdr>
            <w:top w:val="none" w:sz="0" w:space="0" w:color="auto"/>
            <w:left w:val="none" w:sz="0" w:space="0" w:color="auto"/>
            <w:bottom w:val="single" w:sz="6" w:space="10" w:color="E8E4DC"/>
            <w:right w:val="none" w:sz="0" w:space="0" w:color="auto"/>
          </w:divBdr>
        </w:div>
        <w:div w:id="1014305924">
          <w:marLeft w:val="0"/>
          <w:marRight w:val="0"/>
          <w:marTop w:val="0"/>
          <w:marBottom w:val="240"/>
          <w:divBdr>
            <w:top w:val="none" w:sz="0" w:space="0" w:color="auto"/>
            <w:left w:val="none" w:sz="0" w:space="0" w:color="auto"/>
            <w:bottom w:val="single" w:sz="6" w:space="10" w:color="E8E4DC"/>
            <w:right w:val="none" w:sz="0" w:space="0" w:color="auto"/>
          </w:divBdr>
        </w:div>
        <w:div w:id="150676459">
          <w:marLeft w:val="0"/>
          <w:marRight w:val="0"/>
          <w:marTop w:val="0"/>
          <w:marBottom w:val="240"/>
          <w:divBdr>
            <w:top w:val="none" w:sz="0" w:space="0" w:color="auto"/>
            <w:left w:val="none" w:sz="0" w:space="0" w:color="auto"/>
            <w:bottom w:val="single" w:sz="6" w:space="10" w:color="E8E4DC"/>
            <w:right w:val="none" w:sz="0" w:space="0" w:color="auto"/>
          </w:divBdr>
        </w:div>
        <w:div w:id="2030174891">
          <w:marLeft w:val="0"/>
          <w:marRight w:val="0"/>
          <w:marTop w:val="0"/>
          <w:marBottom w:val="240"/>
          <w:divBdr>
            <w:top w:val="none" w:sz="0" w:space="0" w:color="auto"/>
            <w:left w:val="none" w:sz="0" w:space="0" w:color="auto"/>
            <w:bottom w:val="single" w:sz="6" w:space="10" w:color="E8E4DC"/>
            <w:right w:val="none" w:sz="0" w:space="0" w:color="auto"/>
          </w:divBdr>
        </w:div>
        <w:div w:id="1589582011">
          <w:marLeft w:val="0"/>
          <w:marRight w:val="0"/>
          <w:marTop w:val="0"/>
          <w:marBottom w:val="240"/>
          <w:divBdr>
            <w:top w:val="none" w:sz="0" w:space="0" w:color="auto"/>
            <w:left w:val="none" w:sz="0" w:space="0" w:color="auto"/>
            <w:bottom w:val="single" w:sz="6" w:space="10" w:color="E8E4DC"/>
            <w:right w:val="none" w:sz="0" w:space="0" w:color="auto"/>
          </w:divBdr>
        </w:div>
        <w:div w:id="283582472">
          <w:marLeft w:val="0"/>
          <w:marRight w:val="0"/>
          <w:marTop w:val="0"/>
          <w:marBottom w:val="240"/>
          <w:divBdr>
            <w:top w:val="none" w:sz="0" w:space="0" w:color="auto"/>
            <w:left w:val="none" w:sz="0" w:space="0" w:color="auto"/>
            <w:bottom w:val="single" w:sz="6" w:space="10" w:color="E8E4DC"/>
            <w:right w:val="none" w:sz="0" w:space="0" w:color="auto"/>
          </w:divBdr>
        </w:div>
        <w:div w:id="1789929347">
          <w:marLeft w:val="0"/>
          <w:marRight w:val="0"/>
          <w:marTop w:val="0"/>
          <w:marBottom w:val="240"/>
          <w:divBdr>
            <w:top w:val="none" w:sz="0" w:space="0" w:color="auto"/>
            <w:left w:val="none" w:sz="0" w:space="0" w:color="auto"/>
            <w:bottom w:val="single" w:sz="6" w:space="10" w:color="E8E4DC"/>
            <w:right w:val="none" w:sz="0" w:space="0" w:color="auto"/>
          </w:divBdr>
        </w:div>
        <w:div w:id="1808088485">
          <w:marLeft w:val="0"/>
          <w:marRight w:val="0"/>
          <w:marTop w:val="0"/>
          <w:marBottom w:val="240"/>
          <w:divBdr>
            <w:top w:val="none" w:sz="0" w:space="0" w:color="auto"/>
            <w:left w:val="none" w:sz="0" w:space="0" w:color="auto"/>
            <w:bottom w:val="single" w:sz="6" w:space="10" w:color="E8E4DC"/>
            <w:right w:val="none" w:sz="0" w:space="0" w:color="auto"/>
          </w:divBdr>
        </w:div>
        <w:div w:id="2078436203">
          <w:marLeft w:val="0"/>
          <w:marRight w:val="0"/>
          <w:marTop w:val="0"/>
          <w:marBottom w:val="240"/>
          <w:divBdr>
            <w:top w:val="none" w:sz="0" w:space="0" w:color="auto"/>
            <w:left w:val="none" w:sz="0" w:space="0" w:color="auto"/>
            <w:bottom w:val="single" w:sz="6" w:space="10" w:color="E8E4DC"/>
            <w:right w:val="none" w:sz="0" w:space="0" w:color="auto"/>
          </w:divBdr>
        </w:div>
        <w:div w:id="450589349">
          <w:marLeft w:val="0"/>
          <w:marRight w:val="0"/>
          <w:marTop w:val="0"/>
          <w:marBottom w:val="240"/>
          <w:divBdr>
            <w:top w:val="none" w:sz="0" w:space="0" w:color="auto"/>
            <w:left w:val="none" w:sz="0" w:space="0" w:color="auto"/>
            <w:bottom w:val="single" w:sz="6" w:space="10" w:color="E8E4DC"/>
            <w:right w:val="none" w:sz="0" w:space="0" w:color="auto"/>
          </w:divBdr>
        </w:div>
        <w:div w:id="1081561969">
          <w:marLeft w:val="0"/>
          <w:marRight w:val="0"/>
          <w:marTop w:val="0"/>
          <w:marBottom w:val="240"/>
          <w:divBdr>
            <w:top w:val="none" w:sz="0" w:space="0" w:color="auto"/>
            <w:left w:val="none" w:sz="0" w:space="0" w:color="auto"/>
            <w:bottom w:val="single" w:sz="6" w:space="10" w:color="E8E4DC"/>
            <w:right w:val="none" w:sz="0" w:space="0" w:color="auto"/>
          </w:divBdr>
        </w:div>
        <w:div w:id="795678464">
          <w:marLeft w:val="0"/>
          <w:marRight w:val="0"/>
          <w:marTop w:val="0"/>
          <w:marBottom w:val="240"/>
          <w:divBdr>
            <w:top w:val="none" w:sz="0" w:space="0" w:color="auto"/>
            <w:left w:val="none" w:sz="0" w:space="0" w:color="auto"/>
            <w:bottom w:val="single" w:sz="6" w:space="10" w:color="E8E4DC"/>
            <w:right w:val="none" w:sz="0" w:space="0" w:color="auto"/>
          </w:divBdr>
        </w:div>
        <w:div w:id="1542402756">
          <w:marLeft w:val="0"/>
          <w:marRight w:val="0"/>
          <w:marTop w:val="0"/>
          <w:marBottom w:val="240"/>
          <w:divBdr>
            <w:top w:val="none" w:sz="0" w:space="0" w:color="auto"/>
            <w:left w:val="none" w:sz="0" w:space="0" w:color="auto"/>
            <w:bottom w:val="single" w:sz="6" w:space="10" w:color="E8E4DC"/>
            <w:right w:val="none" w:sz="0" w:space="0" w:color="auto"/>
          </w:divBdr>
        </w:div>
        <w:div w:id="594023017">
          <w:marLeft w:val="0"/>
          <w:marRight w:val="0"/>
          <w:marTop w:val="0"/>
          <w:marBottom w:val="240"/>
          <w:divBdr>
            <w:top w:val="none" w:sz="0" w:space="0" w:color="auto"/>
            <w:left w:val="none" w:sz="0" w:space="0" w:color="auto"/>
            <w:bottom w:val="single" w:sz="6" w:space="10" w:color="E8E4DC"/>
            <w:right w:val="none" w:sz="0" w:space="0" w:color="auto"/>
          </w:divBdr>
        </w:div>
        <w:div w:id="1542594027">
          <w:marLeft w:val="0"/>
          <w:marRight w:val="0"/>
          <w:marTop w:val="0"/>
          <w:marBottom w:val="240"/>
          <w:divBdr>
            <w:top w:val="none" w:sz="0" w:space="0" w:color="auto"/>
            <w:left w:val="none" w:sz="0" w:space="0" w:color="auto"/>
            <w:bottom w:val="single" w:sz="6" w:space="10" w:color="E8E4DC"/>
            <w:right w:val="none" w:sz="0" w:space="0" w:color="auto"/>
          </w:divBdr>
        </w:div>
        <w:div w:id="1255826255">
          <w:marLeft w:val="0"/>
          <w:marRight w:val="0"/>
          <w:marTop w:val="0"/>
          <w:marBottom w:val="240"/>
          <w:divBdr>
            <w:top w:val="none" w:sz="0" w:space="0" w:color="auto"/>
            <w:left w:val="none" w:sz="0" w:space="0" w:color="auto"/>
            <w:bottom w:val="single" w:sz="6" w:space="10" w:color="E8E4DC"/>
            <w:right w:val="none" w:sz="0" w:space="0" w:color="auto"/>
          </w:divBdr>
        </w:div>
        <w:div w:id="94327695">
          <w:marLeft w:val="0"/>
          <w:marRight w:val="0"/>
          <w:marTop w:val="0"/>
          <w:marBottom w:val="240"/>
          <w:divBdr>
            <w:top w:val="none" w:sz="0" w:space="0" w:color="auto"/>
            <w:left w:val="none" w:sz="0" w:space="0" w:color="auto"/>
            <w:bottom w:val="single" w:sz="6" w:space="10" w:color="E8E4DC"/>
            <w:right w:val="none" w:sz="0" w:space="0" w:color="auto"/>
          </w:divBdr>
        </w:div>
        <w:div w:id="656037364">
          <w:marLeft w:val="0"/>
          <w:marRight w:val="0"/>
          <w:marTop w:val="0"/>
          <w:marBottom w:val="240"/>
          <w:divBdr>
            <w:top w:val="none" w:sz="0" w:space="0" w:color="auto"/>
            <w:left w:val="none" w:sz="0" w:space="0" w:color="auto"/>
            <w:bottom w:val="single" w:sz="6" w:space="10" w:color="E8E4DC"/>
            <w:right w:val="none" w:sz="0" w:space="0" w:color="auto"/>
          </w:divBdr>
        </w:div>
        <w:div w:id="306277632">
          <w:marLeft w:val="0"/>
          <w:marRight w:val="0"/>
          <w:marTop w:val="0"/>
          <w:marBottom w:val="240"/>
          <w:divBdr>
            <w:top w:val="none" w:sz="0" w:space="0" w:color="auto"/>
            <w:left w:val="none" w:sz="0" w:space="0" w:color="auto"/>
            <w:bottom w:val="single" w:sz="6" w:space="10" w:color="E8E4DC"/>
            <w:right w:val="none" w:sz="0" w:space="0" w:color="auto"/>
          </w:divBdr>
        </w:div>
        <w:div w:id="1327244083">
          <w:marLeft w:val="0"/>
          <w:marRight w:val="0"/>
          <w:marTop w:val="0"/>
          <w:marBottom w:val="240"/>
          <w:divBdr>
            <w:top w:val="none" w:sz="0" w:space="0" w:color="auto"/>
            <w:left w:val="none" w:sz="0" w:space="0" w:color="auto"/>
            <w:bottom w:val="single" w:sz="6" w:space="10" w:color="E8E4DC"/>
            <w:right w:val="none" w:sz="0" w:space="0" w:color="auto"/>
          </w:divBdr>
        </w:div>
        <w:div w:id="2114979997">
          <w:marLeft w:val="0"/>
          <w:marRight w:val="0"/>
          <w:marTop w:val="0"/>
          <w:marBottom w:val="240"/>
          <w:divBdr>
            <w:top w:val="none" w:sz="0" w:space="0" w:color="auto"/>
            <w:left w:val="none" w:sz="0" w:space="0" w:color="auto"/>
            <w:bottom w:val="single" w:sz="6" w:space="10" w:color="E8E4DC"/>
            <w:right w:val="none" w:sz="0" w:space="0" w:color="auto"/>
          </w:divBdr>
        </w:div>
        <w:div w:id="1848597505">
          <w:marLeft w:val="0"/>
          <w:marRight w:val="0"/>
          <w:marTop w:val="0"/>
          <w:marBottom w:val="240"/>
          <w:divBdr>
            <w:top w:val="none" w:sz="0" w:space="0" w:color="auto"/>
            <w:left w:val="none" w:sz="0" w:space="0" w:color="auto"/>
            <w:bottom w:val="single" w:sz="6" w:space="10" w:color="E8E4DC"/>
            <w:right w:val="none" w:sz="0" w:space="0" w:color="auto"/>
          </w:divBdr>
        </w:div>
        <w:div w:id="616104511">
          <w:marLeft w:val="0"/>
          <w:marRight w:val="0"/>
          <w:marTop w:val="0"/>
          <w:marBottom w:val="240"/>
          <w:divBdr>
            <w:top w:val="none" w:sz="0" w:space="0" w:color="auto"/>
            <w:left w:val="none" w:sz="0" w:space="0" w:color="auto"/>
            <w:bottom w:val="single" w:sz="6" w:space="10" w:color="E8E4DC"/>
            <w:right w:val="none" w:sz="0" w:space="0" w:color="auto"/>
          </w:divBdr>
        </w:div>
        <w:div w:id="1033842046">
          <w:marLeft w:val="0"/>
          <w:marRight w:val="0"/>
          <w:marTop w:val="0"/>
          <w:marBottom w:val="240"/>
          <w:divBdr>
            <w:top w:val="none" w:sz="0" w:space="0" w:color="auto"/>
            <w:left w:val="none" w:sz="0" w:space="0" w:color="auto"/>
            <w:bottom w:val="single" w:sz="6" w:space="10" w:color="E8E4DC"/>
            <w:right w:val="none" w:sz="0" w:space="0" w:color="auto"/>
          </w:divBdr>
        </w:div>
        <w:div w:id="95709629">
          <w:marLeft w:val="0"/>
          <w:marRight w:val="0"/>
          <w:marTop w:val="0"/>
          <w:marBottom w:val="240"/>
          <w:divBdr>
            <w:top w:val="none" w:sz="0" w:space="0" w:color="auto"/>
            <w:left w:val="none" w:sz="0" w:space="0" w:color="auto"/>
            <w:bottom w:val="single" w:sz="6" w:space="10" w:color="E8E4DC"/>
            <w:right w:val="none" w:sz="0" w:space="0" w:color="auto"/>
          </w:divBdr>
        </w:div>
        <w:div w:id="358972509">
          <w:marLeft w:val="0"/>
          <w:marRight w:val="0"/>
          <w:marTop w:val="0"/>
          <w:marBottom w:val="240"/>
          <w:divBdr>
            <w:top w:val="none" w:sz="0" w:space="0" w:color="auto"/>
            <w:left w:val="none" w:sz="0" w:space="0" w:color="auto"/>
            <w:bottom w:val="single" w:sz="6" w:space="10" w:color="E8E4DC"/>
            <w:right w:val="none" w:sz="0" w:space="0" w:color="auto"/>
          </w:divBdr>
        </w:div>
        <w:div w:id="718631738">
          <w:marLeft w:val="0"/>
          <w:marRight w:val="0"/>
          <w:marTop w:val="0"/>
          <w:marBottom w:val="240"/>
          <w:divBdr>
            <w:top w:val="none" w:sz="0" w:space="0" w:color="auto"/>
            <w:left w:val="none" w:sz="0" w:space="0" w:color="auto"/>
            <w:bottom w:val="single" w:sz="6" w:space="10" w:color="E8E4DC"/>
            <w:right w:val="none" w:sz="0" w:space="0" w:color="auto"/>
          </w:divBdr>
        </w:div>
        <w:div w:id="364332281">
          <w:marLeft w:val="0"/>
          <w:marRight w:val="0"/>
          <w:marTop w:val="0"/>
          <w:marBottom w:val="240"/>
          <w:divBdr>
            <w:top w:val="none" w:sz="0" w:space="0" w:color="auto"/>
            <w:left w:val="none" w:sz="0" w:space="0" w:color="auto"/>
            <w:bottom w:val="single" w:sz="6" w:space="10" w:color="E8E4DC"/>
            <w:right w:val="none" w:sz="0" w:space="0" w:color="auto"/>
          </w:divBdr>
        </w:div>
        <w:div w:id="623460295">
          <w:marLeft w:val="0"/>
          <w:marRight w:val="0"/>
          <w:marTop w:val="0"/>
          <w:marBottom w:val="240"/>
          <w:divBdr>
            <w:top w:val="none" w:sz="0" w:space="0" w:color="auto"/>
            <w:left w:val="none" w:sz="0" w:space="0" w:color="auto"/>
            <w:bottom w:val="single" w:sz="6" w:space="10" w:color="E8E4DC"/>
            <w:right w:val="none" w:sz="0" w:space="0" w:color="auto"/>
          </w:divBdr>
        </w:div>
        <w:div w:id="1383551928">
          <w:marLeft w:val="0"/>
          <w:marRight w:val="0"/>
          <w:marTop w:val="0"/>
          <w:marBottom w:val="240"/>
          <w:divBdr>
            <w:top w:val="none" w:sz="0" w:space="0" w:color="auto"/>
            <w:left w:val="none" w:sz="0" w:space="0" w:color="auto"/>
            <w:bottom w:val="single" w:sz="6" w:space="10" w:color="E8E4DC"/>
            <w:right w:val="none" w:sz="0" w:space="0" w:color="auto"/>
          </w:divBdr>
        </w:div>
        <w:div w:id="1828323731">
          <w:marLeft w:val="0"/>
          <w:marRight w:val="0"/>
          <w:marTop w:val="0"/>
          <w:marBottom w:val="240"/>
          <w:divBdr>
            <w:top w:val="none" w:sz="0" w:space="0" w:color="auto"/>
            <w:left w:val="none" w:sz="0" w:space="0" w:color="auto"/>
            <w:bottom w:val="single" w:sz="6" w:space="10" w:color="E8E4DC"/>
            <w:right w:val="none" w:sz="0" w:space="0" w:color="auto"/>
          </w:divBdr>
        </w:div>
        <w:div w:id="1913421604">
          <w:marLeft w:val="0"/>
          <w:marRight w:val="0"/>
          <w:marTop w:val="0"/>
          <w:marBottom w:val="240"/>
          <w:divBdr>
            <w:top w:val="none" w:sz="0" w:space="0" w:color="auto"/>
            <w:left w:val="none" w:sz="0" w:space="0" w:color="auto"/>
            <w:bottom w:val="single" w:sz="6" w:space="10" w:color="E8E4DC"/>
            <w:right w:val="none" w:sz="0" w:space="0" w:color="auto"/>
          </w:divBdr>
        </w:div>
        <w:div w:id="1182207213">
          <w:marLeft w:val="0"/>
          <w:marRight w:val="0"/>
          <w:marTop w:val="0"/>
          <w:marBottom w:val="240"/>
          <w:divBdr>
            <w:top w:val="none" w:sz="0" w:space="0" w:color="auto"/>
            <w:left w:val="none" w:sz="0" w:space="0" w:color="auto"/>
            <w:bottom w:val="single" w:sz="6" w:space="10" w:color="E8E4DC"/>
            <w:right w:val="none" w:sz="0" w:space="0" w:color="auto"/>
          </w:divBdr>
        </w:div>
        <w:div w:id="1686978808">
          <w:marLeft w:val="0"/>
          <w:marRight w:val="0"/>
          <w:marTop w:val="0"/>
          <w:marBottom w:val="240"/>
          <w:divBdr>
            <w:top w:val="none" w:sz="0" w:space="0" w:color="auto"/>
            <w:left w:val="none" w:sz="0" w:space="0" w:color="auto"/>
            <w:bottom w:val="single" w:sz="6" w:space="10" w:color="E8E4DC"/>
            <w:right w:val="none" w:sz="0" w:space="0" w:color="auto"/>
          </w:divBdr>
        </w:div>
        <w:div w:id="2027751254">
          <w:marLeft w:val="0"/>
          <w:marRight w:val="0"/>
          <w:marTop w:val="0"/>
          <w:marBottom w:val="240"/>
          <w:divBdr>
            <w:top w:val="none" w:sz="0" w:space="0" w:color="auto"/>
            <w:left w:val="none" w:sz="0" w:space="0" w:color="auto"/>
            <w:bottom w:val="single" w:sz="6" w:space="10" w:color="E8E4DC"/>
            <w:right w:val="none" w:sz="0" w:space="0" w:color="auto"/>
          </w:divBdr>
        </w:div>
        <w:div w:id="51395998">
          <w:marLeft w:val="0"/>
          <w:marRight w:val="0"/>
          <w:marTop w:val="0"/>
          <w:marBottom w:val="240"/>
          <w:divBdr>
            <w:top w:val="none" w:sz="0" w:space="0" w:color="auto"/>
            <w:left w:val="none" w:sz="0" w:space="0" w:color="auto"/>
            <w:bottom w:val="single" w:sz="6" w:space="10" w:color="E8E4DC"/>
            <w:right w:val="none" w:sz="0" w:space="0" w:color="auto"/>
          </w:divBdr>
        </w:div>
        <w:div w:id="1663192175">
          <w:marLeft w:val="0"/>
          <w:marRight w:val="0"/>
          <w:marTop w:val="0"/>
          <w:marBottom w:val="240"/>
          <w:divBdr>
            <w:top w:val="none" w:sz="0" w:space="0" w:color="auto"/>
            <w:left w:val="none" w:sz="0" w:space="0" w:color="auto"/>
            <w:bottom w:val="single" w:sz="6" w:space="10" w:color="E8E4DC"/>
            <w:right w:val="none" w:sz="0" w:space="0" w:color="auto"/>
          </w:divBdr>
        </w:div>
        <w:div w:id="1785423893">
          <w:marLeft w:val="0"/>
          <w:marRight w:val="0"/>
          <w:marTop w:val="0"/>
          <w:marBottom w:val="240"/>
          <w:divBdr>
            <w:top w:val="none" w:sz="0" w:space="0" w:color="auto"/>
            <w:left w:val="none" w:sz="0" w:space="0" w:color="auto"/>
            <w:bottom w:val="single" w:sz="6" w:space="10" w:color="E8E4DC"/>
            <w:right w:val="none" w:sz="0" w:space="0" w:color="auto"/>
          </w:divBdr>
        </w:div>
      </w:divsChild>
    </w:div>
  </w:divs>
  <w:encoding w:val="unicode"/>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5.png"/><Relationship Id="rId21" Type="http://schemas.openxmlformats.org/officeDocument/2006/relationships/image" Target="media/image10.png"/><Relationship Id="rId42" Type="http://schemas.openxmlformats.org/officeDocument/2006/relationships/image" Target="media/image31.png"/><Relationship Id="rId47" Type="http://schemas.openxmlformats.org/officeDocument/2006/relationships/image" Target="media/image36.png"/><Relationship Id="rId63" Type="http://schemas.openxmlformats.org/officeDocument/2006/relationships/image" Target="media/image52.png"/><Relationship Id="rId68" Type="http://schemas.openxmlformats.org/officeDocument/2006/relationships/image" Target="media/image57.png"/><Relationship Id="rId84" Type="http://schemas.openxmlformats.org/officeDocument/2006/relationships/image" Target="media/image73.png"/><Relationship Id="rId89" Type="http://schemas.openxmlformats.org/officeDocument/2006/relationships/image" Target="media/image78.png"/><Relationship Id="rId16" Type="http://schemas.openxmlformats.org/officeDocument/2006/relationships/image" Target="media/image5.png"/><Relationship Id="rId107" Type="http://schemas.openxmlformats.org/officeDocument/2006/relationships/footer" Target="footer3.xml"/><Relationship Id="rId11" Type="http://schemas.openxmlformats.org/officeDocument/2006/relationships/hyperlink" Target="file:///C:\Users\iam\AppData\Local\Temp\buildc_word_jbhjcbu7\pdf\SysteemAudit_DocumentC_VisueleArchitectuur.pdf" TargetMode="External"/><Relationship Id="rId32" Type="http://schemas.openxmlformats.org/officeDocument/2006/relationships/image" Target="media/image21.png"/><Relationship Id="rId37" Type="http://schemas.openxmlformats.org/officeDocument/2006/relationships/image" Target="media/image26.png"/><Relationship Id="rId53" Type="http://schemas.openxmlformats.org/officeDocument/2006/relationships/image" Target="media/image42.png"/><Relationship Id="rId58" Type="http://schemas.openxmlformats.org/officeDocument/2006/relationships/image" Target="media/image47.png"/><Relationship Id="rId74" Type="http://schemas.openxmlformats.org/officeDocument/2006/relationships/image" Target="media/image63.png"/><Relationship Id="rId79" Type="http://schemas.openxmlformats.org/officeDocument/2006/relationships/image" Target="media/image68.png"/><Relationship Id="rId102" Type="http://schemas.openxmlformats.org/officeDocument/2006/relationships/header" Target="header1.xml"/><Relationship Id="rId5" Type="http://schemas.openxmlformats.org/officeDocument/2006/relationships/footnotes" Target="footnotes.xml"/><Relationship Id="rId90" Type="http://schemas.openxmlformats.org/officeDocument/2006/relationships/image" Target="media/image79.png"/><Relationship Id="rId95" Type="http://schemas.openxmlformats.org/officeDocument/2006/relationships/image" Target="media/image84.png"/><Relationship Id="rId22" Type="http://schemas.openxmlformats.org/officeDocument/2006/relationships/image" Target="media/image11.png"/><Relationship Id="rId27" Type="http://schemas.openxmlformats.org/officeDocument/2006/relationships/image" Target="media/image16.png"/><Relationship Id="rId43" Type="http://schemas.openxmlformats.org/officeDocument/2006/relationships/image" Target="media/image32.png"/><Relationship Id="rId48" Type="http://schemas.openxmlformats.org/officeDocument/2006/relationships/image" Target="media/image37.png"/><Relationship Id="rId64" Type="http://schemas.openxmlformats.org/officeDocument/2006/relationships/image" Target="media/image53.png"/><Relationship Id="rId69" Type="http://schemas.openxmlformats.org/officeDocument/2006/relationships/image" Target="media/image58.png"/><Relationship Id="rId80" Type="http://schemas.openxmlformats.org/officeDocument/2006/relationships/image" Target="media/image69.png"/><Relationship Id="rId85" Type="http://schemas.openxmlformats.org/officeDocument/2006/relationships/image" Target="media/image74.png"/><Relationship Id="rId12" Type="http://schemas.openxmlformats.org/officeDocument/2006/relationships/image" Target="media/image1.png"/><Relationship Id="rId17" Type="http://schemas.openxmlformats.org/officeDocument/2006/relationships/image" Target="media/image6.png"/><Relationship Id="rId33" Type="http://schemas.openxmlformats.org/officeDocument/2006/relationships/image" Target="media/image22.png"/><Relationship Id="rId38" Type="http://schemas.openxmlformats.org/officeDocument/2006/relationships/image" Target="media/image27.png"/><Relationship Id="rId59" Type="http://schemas.openxmlformats.org/officeDocument/2006/relationships/image" Target="media/image48.png"/><Relationship Id="rId103" Type="http://schemas.openxmlformats.org/officeDocument/2006/relationships/header" Target="header2.xml"/><Relationship Id="rId108" Type="http://schemas.openxmlformats.org/officeDocument/2006/relationships/fontTable" Target="fontTable.xml"/><Relationship Id="rId54" Type="http://schemas.openxmlformats.org/officeDocument/2006/relationships/image" Target="media/image43.png"/><Relationship Id="rId70" Type="http://schemas.openxmlformats.org/officeDocument/2006/relationships/image" Target="media/image59.png"/><Relationship Id="rId75" Type="http://schemas.openxmlformats.org/officeDocument/2006/relationships/image" Target="media/image64.png"/><Relationship Id="rId91" Type="http://schemas.openxmlformats.org/officeDocument/2006/relationships/image" Target="media/image80.png"/><Relationship Id="rId96" Type="http://schemas.openxmlformats.org/officeDocument/2006/relationships/image" Target="media/image85.pn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image" Target="media/image25.png"/><Relationship Id="rId49" Type="http://schemas.openxmlformats.org/officeDocument/2006/relationships/image" Target="media/image38.png"/><Relationship Id="rId57" Type="http://schemas.openxmlformats.org/officeDocument/2006/relationships/image" Target="media/image46.png"/><Relationship Id="rId106" Type="http://schemas.openxmlformats.org/officeDocument/2006/relationships/header" Target="header3.xml"/><Relationship Id="rId10" Type="http://schemas.openxmlformats.org/officeDocument/2006/relationships/hyperlink" Target="file:///C:\Users\iam\AppData\Local\Temp\buildc_word_jbhjcbu7\SysteemAudit_DocumentC_VisueleArchitectuur.html" TargetMode="External"/><Relationship Id="rId31" Type="http://schemas.openxmlformats.org/officeDocument/2006/relationships/image" Target="media/image20.png"/><Relationship Id="rId44" Type="http://schemas.openxmlformats.org/officeDocument/2006/relationships/image" Target="media/image33.png"/><Relationship Id="rId52" Type="http://schemas.openxmlformats.org/officeDocument/2006/relationships/image" Target="media/image41.png"/><Relationship Id="rId60" Type="http://schemas.openxmlformats.org/officeDocument/2006/relationships/image" Target="media/image49.png"/><Relationship Id="rId65" Type="http://schemas.openxmlformats.org/officeDocument/2006/relationships/image" Target="media/image54.png"/><Relationship Id="rId73" Type="http://schemas.openxmlformats.org/officeDocument/2006/relationships/image" Target="media/image62.png"/><Relationship Id="rId78" Type="http://schemas.openxmlformats.org/officeDocument/2006/relationships/image" Target="media/image67.png"/><Relationship Id="rId81" Type="http://schemas.openxmlformats.org/officeDocument/2006/relationships/image" Target="media/image70.png"/><Relationship Id="rId86" Type="http://schemas.openxmlformats.org/officeDocument/2006/relationships/image" Target="media/image75.png"/><Relationship Id="rId94" Type="http://schemas.openxmlformats.org/officeDocument/2006/relationships/image" Target="media/image83.png"/><Relationship Id="rId99" Type="http://schemas.openxmlformats.org/officeDocument/2006/relationships/image" Target="media/image88.png"/><Relationship Id="rId101" Type="http://schemas.openxmlformats.org/officeDocument/2006/relationships/image" Target="media/image90.png"/><Relationship Id="rId4" Type="http://schemas.openxmlformats.org/officeDocument/2006/relationships/webSettings" Target="webSettings.xml"/><Relationship Id="rId9" Type="http://schemas.openxmlformats.org/officeDocument/2006/relationships/hyperlink" Target="file:///C:\Users\iam\AppData\Local\Temp\buildc_word_jbhjcbu7\SysteemAudit_DocumentC_VisueleArchitectuur.html" TargetMode="External"/><Relationship Id="rId13" Type="http://schemas.openxmlformats.org/officeDocument/2006/relationships/image" Target="media/image2.png"/><Relationship Id="rId18" Type="http://schemas.openxmlformats.org/officeDocument/2006/relationships/image" Target="media/image7.png"/><Relationship Id="rId39" Type="http://schemas.openxmlformats.org/officeDocument/2006/relationships/image" Target="media/image28.png"/><Relationship Id="rId109" Type="http://schemas.openxmlformats.org/officeDocument/2006/relationships/theme" Target="theme/theme1.xml"/><Relationship Id="rId34" Type="http://schemas.openxmlformats.org/officeDocument/2006/relationships/image" Target="media/image23.png"/><Relationship Id="rId50" Type="http://schemas.openxmlformats.org/officeDocument/2006/relationships/image" Target="media/image39.png"/><Relationship Id="rId55" Type="http://schemas.openxmlformats.org/officeDocument/2006/relationships/image" Target="media/image44.png"/><Relationship Id="rId76" Type="http://schemas.openxmlformats.org/officeDocument/2006/relationships/image" Target="media/image65.png"/><Relationship Id="rId97" Type="http://schemas.openxmlformats.org/officeDocument/2006/relationships/image" Target="media/image86.png"/><Relationship Id="rId104" Type="http://schemas.openxmlformats.org/officeDocument/2006/relationships/footer" Target="footer1.xml"/><Relationship Id="rId7" Type="http://schemas.openxmlformats.org/officeDocument/2006/relationships/hyperlink" Target="file:///C:\Users\iam\AppData\Local\Temp\buildc_word_jbhjcbu7\SysteemAudit_DocumentC_VisueleArchitectuur.html" TargetMode="External"/><Relationship Id="rId71" Type="http://schemas.openxmlformats.org/officeDocument/2006/relationships/image" Target="media/image60.png"/><Relationship Id="rId92" Type="http://schemas.openxmlformats.org/officeDocument/2006/relationships/image" Target="media/image81.png"/><Relationship Id="rId2" Type="http://schemas.openxmlformats.org/officeDocument/2006/relationships/styles" Target="styles.xml"/><Relationship Id="rId29" Type="http://schemas.openxmlformats.org/officeDocument/2006/relationships/image" Target="media/image18.png"/><Relationship Id="rId24" Type="http://schemas.openxmlformats.org/officeDocument/2006/relationships/image" Target="media/image13.png"/><Relationship Id="rId40" Type="http://schemas.openxmlformats.org/officeDocument/2006/relationships/image" Target="media/image29.png"/><Relationship Id="rId45" Type="http://schemas.openxmlformats.org/officeDocument/2006/relationships/image" Target="media/image34.png"/><Relationship Id="rId66" Type="http://schemas.openxmlformats.org/officeDocument/2006/relationships/image" Target="media/image55.png"/><Relationship Id="rId87" Type="http://schemas.openxmlformats.org/officeDocument/2006/relationships/image" Target="media/image76.png"/><Relationship Id="rId61" Type="http://schemas.openxmlformats.org/officeDocument/2006/relationships/image" Target="media/image50.png"/><Relationship Id="rId82" Type="http://schemas.openxmlformats.org/officeDocument/2006/relationships/image" Target="media/image71.png"/><Relationship Id="rId19" Type="http://schemas.openxmlformats.org/officeDocument/2006/relationships/image" Target="media/image8.png"/><Relationship Id="rId14" Type="http://schemas.openxmlformats.org/officeDocument/2006/relationships/image" Target="media/image3.png"/><Relationship Id="rId30" Type="http://schemas.openxmlformats.org/officeDocument/2006/relationships/image" Target="media/image19.png"/><Relationship Id="rId35" Type="http://schemas.openxmlformats.org/officeDocument/2006/relationships/image" Target="media/image24.png"/><Relationship Id="rId56" Type="http://schemas.openxmlformats.org/officeDocument/2006/relationships/image" Target="media/image45.png"/><Relationship Id="rId77" Type="http://schemas.openxmlformats.org/officeDocument/2006/relationships/image" Target="media/image66.png"/><Relationship Id="rId100" Type="http://schemas.openxmlformats.org/officeDocument/2006/relationships/image" Target="media/image89.png"/><Relationship Id="rId105" Type="http://schemas.openxmlformats.org/officeDocument/2006/relationships/footer" Target="footer2.xml"/><Relationship Id="rId8" Type="http://schemas.openxmlformats.org/officeDocument/2006/relationships/hyperlink" Target="file:///C:\Users\iam\AppData\Local\Temp\buildc_word_jbhjcbu7\SysteemAudit_DocumentC_VisueleArchitectuur.html" TargetMode="External"/><Relationship Id="rId51" Type="http://schemas.openxmlformats.org/officeDocument/2006/relationships/image" Target="media/image40.png"/><Relationship Id="rId72" Type="http://schemas.openxmlformats.org/officeDocument/2006/relationships/image" Target="media/image61.png"/><Relationship Id="rId93" Type="http://schemas.openxmlformats.org/officeDocument/2006/relationships/image" Target="media/image82.png"/><Relationship Id="rId98" Type="http://schemas.openxmlformats.org/officeDocument/2006/relationships/image" Target="media/image87.png"/><Relationship Id="rId3" Type="http://schemas.openxmlformats.org/officeDocument/2006/relationships/settings" Target="settings.xml"/><Relationship Id="rId25" Type="http://schemas.openxmlformats.org/officeDocument/2006/relationships/image" Target="media/image14.png"/><Relationship Id="rId46" Type="http://schemas.openxmlformats.org/officeDocument/2006/relationships/image" Target="media/image35.png"/><Relationship Id="rId67" Type="http://schemas.openxmlformats.org/officeDocument/2006/relationships/image" Target="media/image56.png"/><Relationship Id="rId20" Type="http://schemas.openxmlformats.org/officeDocument/2006/relationships/image" Target="media/image9.png"/><Relationship Id="rId41" Type="http://schemas.openxmlformats.org/officeDocument/2006/relationships/image" Target="media/image30.png"/><Relationship Id="rId62" Type="http://schemas.openxmlformats.org/officeDocument/2006/relationships/image" Target="media/image51.png"/><Relationship Id="rId83" Type="http://schemas.openxmlformats.org/officeDocument/2006/relationships/image" Target="media/image72.png"/><Relationship Id="rId88" Type="http://schemas.openxmlformats.org/officeDocument/2006/relationships/image" Target="media/image77.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116</Pages>
  <Words>27515</Words>
  <Characters>151334</Characters>
  <Application>Microsoft Office Word</Application>
  <DocSecurity>0</DocSecurity>
  <Lines>1261</Lines>
  <Paragraphs>356</Paragraphs>
  <ScaleCrop>false</ScaleCrop>
  <Company/>
  <LinksUpToDate>false</LinksUpToDate>
  <CharactersWithSpaces>178493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System Audit — Document C — The visual architecture</dc:title>
  <dc:subject/>
  <dc:creator>Eric Messa</dc:creator>
  <cp:keywords/>
  <dc:description/>
  <cp:lastModifiedBy>Eric Messa</cp:lastModifiedBy>
  <cp:revision>2</cp:revision>
  <dcterms:created xsi:type="dcterms:W3CDTF">2026-10-05T12:14:00Z</dcterms:created>
  <dcterms:modified xsi:type="dcterms:W3CDTF">2026-10-05T12:14:00Z</dcterms:modified>
</cp:coreProperties>
</file>