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7250F" w14:textId="25E4687F" w:rsidR="00FA4EDF" w:rsidRDefault="00FA4EDF">
      <w:pPr>
        <w:divId w:val="2007826864"/>
        <w:rPr>
          <w:rFonts w:eastAsia="Times New Roman"/>
          <w:sz w:val="24"/>
          <w:lang w:val="de-DE"/>
        </w:rPr>
      </w:pPr>
      <w:r>
        <w:rPr>
          <w:rFonts w:eastAsia="Times New Roman"/>
          <w:lang w:val="de-DE"/>
        </w:rPr>
        <w:t xml:space="preserve">Sprache: </w:t>
      </w:r>
      <w:hyperlink r:id="rId7" w:history="1">
        <w:r>
          <w:rPr>
            <w:rStyle w:val="Hyperlink"/>
            <w:rFonts w:eastAsia="Times New Roman"/>
            <w:lang w:val="de-DE"/>
          </w:rPr>
          <w:t>NL</w:t>
        </w:r>
      </w:hyperlink>
      <w:r>
        <w:rPr>
          <w:rFonts w:eastAsia="Times New Roman"/>
          <w:lang w:val="de-DE"/>
        </w:rPr>
        <w:t xml:space="preserve"> </w:t>
      </w:r>
      <w:hyperlink r:id="rId8" w:history="1">
        <w:r>
          <w:rPr>
            <w:rStyle w:val="Hyperlink"/>
            <w:rFonts w:eastAsia="Times New Roman"/>
            <w:lang w:val="de-DE"/>
          </w:rPr>
          <w:t>DE</w:t>
        </w:r>
      </w:hyperlink>
      <w:r>
        <w:rPr>
          <w:rFonts w:eastAsia="Times New Roman"/>
          <w:lang w:val="de-DE"/>
        </w:rPr>
        <w:t xml:space="preserve"> </w:t>
      </w:r>
      <w:hyperlink r:id="rId9" w:history="1">
        <w:r>
          <w:rPr>
            <w:rStyle w:val="Hyperlink"/>
            <w:rFonts w:eastAsia="Times New Roman"/>
            <w:lang w:val="de-DE"/>
          </w:rPr>
          <w:t>EN</w:t>
        </w:r>
      </w:hyperlink>
      <w:r>
        <w:rPr>
          <w:rFonts w:eastAsia="Times New Roman"/>
          <w:lang w:val="de-DE"/>
        </w:rPr>
        <w:t xml:space="preserve"> </w:t>
      </w:r>
      <w:hyperlink r:id="rId10" w:history="1">
        <w:r>
          <w:rPr>
            <w:rStyle w:val="Hyperlink"/>
            <w:rFonts w:eastAsia="Times New Roman"/>
            <w:lang w:val="de-DE"/>
          </w:rPr>
          <w:t>FR</w:t>
        </w:r>
      </w:hyperlink>
      <w:r>
        <w:rPr>
          <w:rFonts w:eastAsia="Times New Roman"/>
          <w:lang w:val="de-DE"/>
        </w:rPr>
        <w:t xml:space="preserve"> </w:t>
      </w:r>
      <w:hyperlink r:id="rId11" w:history="1">
        <w:r>
          <w:rPr>
            <w:rStyle w:val="Hyperlink"/>
            <w:rFonts w:ascii="Cambria Math" w:eastAsia="Times New Roman" w:hAnsi="Cambria Math" w:cs="Cambria Math"/>
            <w:lang w:val="de-DE"/>
          </w:rPr>
          <w:t>⬇</w:t>
        </w:r>
        <w:r>
          <w:rPr>
            <w:rStyle w:val="Hyperlink"/>
            <w:rFonts w:eastAsia="Times New Roman"/>
            <w:lang w:val="de-DE"/>
          </w:rPr>
          <w:t xml:space="preserve"> PDF</w:t>
        </w:r>
      </w:hyperlink>
    </w:p>
    <w:p w14:paraId="5425827F" w14:textId="77777777" w:rsidR="00FA4EDF" w:rsidRDefault="00FA4EDF">
      <w:pPr>
        <w:spacing w:after="480"/>
        <w:jc w:val="center"/>
        <w:outlineLvl w:val="1"/>
        <w:divId w:val="1172572141"/>
        <w:rPr>
          <w:rFonts w:ascii="Aptos Display" w:eastAsia="Times New Roman" w:hAnsi="Aptos Display"/>
          <w:b/>
          <w:bCs/>
          <w:color w:val="4A3B6B"/>
          <w:kern w:val="36"/>
          <w:sz w:val="72"/>
          <w:szCs w:val="72"/>
          <w:lang w:val="de-DE"/>
        </w:rPr>
      </w:pPr>
      <w:r>
        <w:rPr>
          <w:rFonts w:ascii="Aptos Display" w:eastAsia="Times New Roman" w:hAnsi="Aptos Display"/>
          <w:b/>
          <w:bCs/>
          <w:color w:val="4A3B6B"/>
          <w:kern w:val="36"/>
          <w:sz w:val="72"/>
          <w:szCs w:val="72"/>
          <w:lang w:val="de-DE"/>
        </w:rPr>
        <w:t>System-Audit</w:t>
      </w:r>
    </w:p>
    <w:p w14:paraId="3E0C1801" w14:textId="77777777" w:rsidR="00FA4EDF" w:rsidRDefault="00FA4EDF">
      <w:pPr>
        <w:pStyle w:val="ondertitel2"/>
        <w:divId w:val="1172572141"/>
        <w:rPr>
          <w:lang w:val="de-DE"/>
        </w:rPr>
      </w:pPr>
      <w:r>
        <w:rPr>
          <w:lang w:val="de-DE"/>
        </w:rPr>
        <w:t>Grenzüberschreitendes Zuständigkeitsvakuum in der sozialen Sicherheit</w:t>
      </w:r>
    </w:p>
    <w:p w14:paraId="7101BE58" w14:textId="77777777" w:rsidR="00FA4EDF" w:rsidRDefault="00FA4EDF">
      <w:pPr>
        <w:pStyle w:val="documentaanduiding2"/>
        <w:divId w:val="1172572141"/>
        <w:rPr>
          <w:lang w:val="de-DE"/>
        </w:rPr>
      </w:pPr>
      <w:r>
        <w:rPr>
          <w:lang w:val="de-DE"/>
        </w:rPr>
        <w:t>Dokument C – Die visuelle Architektur</w:t>
      </w:r>
    </w:p>
    <w:p w14:paraId="6AF029F5" w14:textId="77777777" w:rsidR="00FA4EDF" w:rsidRDefault="00FA4EDF">
      <w:pPr>
        <w:pStyle w:val="auteur2"/>
        <w:divId w:val="1172572141"/>
        <w:rPr>
          <w:lang w:val="de-DE"/>
        </w:rPr>
      </w:pPr>
      <w:r>
        <w:rPr>
          <w:lang w:val="de-DE"/>
        </w:rPr>
        <w:t>Autor: Eric Messa</w:t>
      </w:r>
    </w:p>
    <w:p w14:paraId="1A867CBD" w14:textId="77777777" w:rsidR="00FA4EDF" w:rsidRDefault="00FA4EDF">
      <w:pPr>
        <w:pStyle w:val="meta-lijn2"/>
        <w:divId w:val="1172572141"/>
        <w:rPr>
          <w:lang w:val="de-DE"/>
        </w:rPr>
      </w:pPr>
      <w:r>
        <w:rPr>
          <w:lang w:val="de-DE"/>
        </w:rPr>
        <w:t>Aktualisiert am: 1. Oktober 2026, 13:02 Uhr</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3E07948" w14:textId="77777777">
        <w:trPr>
          <w:divId w:val="982394320"/>
        </w:trPr>
        <w:tc>
          <w:tcPr>
            <w:tcW w:w="0" w:type="auto"/>
            <w:tcBorders>
              <w:top w:val="single" w:sz="6" w:space="0" w:color="D5D0C5"/>
              <w:left w:val="single" w:sz="36" w:space="0" w:color="E6A817"/>
              <w:bottom w:val="single" w:sz="6" w:space="0" w:color="D5D0C5"/>
              <w:right w:val="single" w:sz="6" w:space="0" w:color="D5D0C5"/>
            </w:tcBorders>
            <w:shd w:val="clear" w:color="auto" w:fill="FFF8E1"/>
            <w:tcMar>
              <w:top w:w="160" w:type="dxa"/>
              <w:left w:w="240" w:type="dxa"/>
              <w:bottom w:w="160" w:type="dxa"/>
              <w:right w:w="240" w:type="dxa"/>
            </w:tcMar>
            <w:hideMark/>
          </w:tcPr>
          <w:p w14:paraId="346C2552" w14:textId="77777777" w:rsidR="00FA4EDF" w:rsidRDefault="00FA4EDF">
            <w:pPr>
              <w:spacing w:before="240" w:after="240"/>
              <w:rPr>
                <w:rFonts w:eastAsia="Times New Roman"/>
                <w:color w:val="665500"/>
                <w:sz w:val="21"/>
                <w:szCs w:val="21"/>
              </w:rPr>
            </w:pPr>
            <w:r>
              <w:rPr>
                <w:rStyle w:val="Zwaar"/>
                <w:rFonts w:eastAsia="Times New Roman"/>
                <w:color w:val="665500"/>
                <w:sz w:val="21"/>
                <w:szCs w:val="21"/>
              </w:rPr>
              <w:t>Hinweis zur Übersetzung:</w:t>
            </w:r>
            <w:r>
              <w:rPr>
                <w:rFonts w:eastAsia="Times New Roman"/>
                <w:color w:val="665500"/>
                <w:sz w:val="21"/>
                <w:szCs w:val="21"/>
              </w:rPr>
              <w:t xml:space="preserve"> </w:t>
            </w:r>
            <w:r>
              <w:rPr>
                <w:rFonts w:eastAsia="Times New Roman"/>
                <w:color w:val="665500"/>
                <w:sz w:val="21"/>
                <w:szCs w:val="21"/>
              </w:rPr>
              <w:t>Dieses Dokument ist eine Übersetzung der niederländischen Originalversion. Daher kann es vorkommen, dass der Text kleine Übersetzungsfehler oder sprachliche Unregelmäßigkeiten enthält. Im Zweifelsfall ist der niederländische Text maßgeblich.</w:t>
            </w:r>
          </w:p>
        </w:tc>
      </w:tr>
    </w:tbl>
    <w:p w14:paraId="3B8387AC" w14:textId="77777777" w:rsidR="00FA4EDF" w:rsidRDefault="00FA4EDF">
      <w:pPr>
        <w:pStyle w:val="marker"/>
        <w:ind w:left="800" w:right="800"/>
        <w:divId w:val="982394320"/>
        <w:rPr>
          <w:lang w:val="de-DE"/>
        </w:rPr>
      </w:pPr>
      <w:r>
        <w:br w:type="page"/>
      </w:r>
    </w:p>
    <w:p w14:paraId="2D9E2232" w14:textId="77777777" w:rsidR="00FA4EDF" w:rsidRDefault="00FA4EDF">
      <w:pPr>
        <w:pStyle w:val="Kop2"/>
        <w:divId w:val="57559685"/>
        <w:rPr>
          <w:rFonts w:eastAsia="Times New Roman"/>
          <w:lang w:val="de-DE"/>
        </w:rPr>
      </w:pPr>
      <w:bookmarkStart w:id="0" w:name="_Toc242103036"/>
      <w:r>
        <w:rPr>
          <w:rFonts w:eastAsia="Times New Roman"/>
          <w:lang w:val="de-DE"/>
        </w:rPr>
        <w:t>Inhaltsverzeichnis</w:t>
      </w:r>
      <w:bookmarkEnd w:id="0"/>
    </w:p>
    <w:p w14:paraId="4B1181BF" w14:textId="2975C8D6"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Pr>
          <w:lang w:val="de-DE"/>
        </w:rPr>
        <w:fldChar w:fldCharType="begin"/>
      </w:r>
      <w:r>
        <w:rPr>
          <w:lang w:val="de-DE"/>
        </w:rPr>
        <w:instrText xml:space="preserve"> TOC \o "1-3" </w:instrText>
      </w:r>
      <w:r>
        <w:rPr>
          <w:lang w:val="de-DE"/>
        </w:rPr>
        <w:fldChar w:fldCharType="separate"/>
      </w:r>
      <w:r w:rsidRPr="009D46F2">
        <w:rPr>
          <w:rFonts w:eastAsia="Times New Roman"/>
          <w:noProof/>
          <w:lang w:val="de-DE"/>
        </w:rPr>
        <w:t>Inhaltsverzeichnis</w:t>
      </w:r>
      <w:r>
        <w:rPr>
          <w:noProof/>
        </w:rPr>
        <w:tab/>
      </w:r>
      <w:r>
        <w:rPr>
          <w:noProof/>
        </w:rPr>
        <w:fldChar w:fldCharType="begin"/>
      </w:r>
      <w:r>
        <w:rPr>
          <w:noProof/>
        </w:rPr>
        <w:instrText xml:space="preserve"> PAGEREF _Toc242103036 \h </w:instrText>
      </w:r>
      <w:r>
        <w:rPr>
          <w:noProof/>
        </w:rPr>
      </w:r>
      <w:r>
        <w:rPr>
          <w:noProof/>
        </w:rPr>
        <w:fldChar w:fldCharType="separate"/>
      </w:r>
      <w:r>
        <w:rPr>
          <w:noProof/>
        </w:rPr>
        <w:t>2</w:t>
      </w:r>
      <w:r>
        <w:rPr>
          <w:noProof/>
        </w:rPr>
        <w:fldChar w:fldCharType="end"/>
      </w:r>
    </w:p>
    <w:p w14:paraId="79AB697B" w14:textId="17EBBD19"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Einleitung und Lesehinweise</w:t>
      </w:r>
      <w:r>
        <w:rPr>
          <w:noProof/>
        </w:rPr>
        <w:tab/>
      </w:r>
      <w:r>
        <w:rPr>
          <w:noProof/>
        </w:rPr>
        <w:fldChar w:fldCharType="begin"/>
      </w:r>
      <w:r>
        <w:rPr>
          <w:noProof/>
        </w:rPr>
        <w:instrText xml:space="preserve"> PAGEREF _Toc242103037 \h </w:instrText>
      </w:r>
      <w:r>
        <w:rPr>
          <w:noProof/>
        </w:rPr>
      </w:r>
      <w:r>
        <w:rPr>
          <w:noProof/>
        </w:rPr>
        <w:fldChar w:fldCharType="separate"/>
      </w:r>
      <w:r>
        <w:rPr>
          <w:noProof/>
        </w:rPr>
        <w:t>7</w:t>
      </w:r>
      <w:r>
        <w:rPr>
          <w:noProof/>
        </w:rPr>
        <w:fldChar w:fldCharType="end"/>
      </w:r>
    </w:p>
    <w:p w14:paraId="3FFA7F81" w14:textId="71A91A5C"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dieses Dokument ist</w:t>
      </w:r>
      <w:r>
        <w:rPr>
          <w:noProof/>
        </w:rPr>
        <w:tab/>
      </w:r>
      <w:r>
        <w:rPr>
          <w:noProof/>
        </w:rPr>
        <w:fldChar w:fldCharType="begin"/>
      </w:r>
      <w:r>
        <w:rPr>
          <w:noProof/>
        </w:rPr>
        <w:instrText xml:space="preserve"> PAGEREF _Toc242103038 \h </w:instrText>
      </w:r>
      <w:r>
        <w:rPr>
          <w:noProof/>
        </w:rPr>
      </w:r>
      <w:r>
        <w:rPr>
          <w:noProof/>
        </w:rPr>
        <w:fldChar w:fldCharType="separate"/>
      </w:r>
      <w:r>
        <w:rPr>
          <w:noProof/>
        </w:rPr>
        <w:t>7</w:t>
      </w:r>
      <w:r>
        <w:rPr>
          <w:noProof/>
        </w:rPr>
        <w:fldChar w:fldCharType="end"/>
      </w:r>
    </w:p>
    <w:p w14:paraId="07FA6064" w14:textId="065F646B"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Unterschied zu den anderen Dokumenten</w:t>
      </w:r>
      <w:r>
        <w:rPr>
          <w:noProof/>
        </w:rPr>
        <w:tab/>
      </w:r>
      <w:r>
        <w:rPr>
          <w:noProof/>
        </w:rPr>
        <w:fldChar w:fldCharType="begin"/>
      </w:r>
      <w:r>
        <w:rPr>
          <w:noProof/>
        </w:rPr>
        <w:instrText xml:space="preserve"> PAGEREF _Toc242103039 \h </w:instrText>
      </w:r>
      <w:r>
        <w:rPr>
          <w:noProof/>
        </w:rPr>
      </w:r>
      <w:r>
        <w:rPr>
          <w:noProof/>
        </w:rPr>
        <w:fldChar w:fldCharType="separate"/>
      </w:r>
      <w:r>
        <w:rPr>
          <w:noProof/>
        </w:rPr>
        <w:t>7</w:t>
      </w:r>
      <w:r>
        <w:rPr>
          <w:noProof/>
        </w:rPr>
        <w:fldChar w:fldCharType="end"/>
      </w:r>
    </w:p>
    <w:p w14:paraId="2B509EB7" w14:textId="58EAD565"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feste Grammatik</w:t>
      </w:r>
      <w:r>
        <w:rPr>
          <w:noProof/>
        </w:rPr>
        <w:tab/>
      </w:r>
      <w:r>
        <w:rPr>
          <w:noProof/>
        </w:rPr>
        <w:fldChar w:fldCharType="begin"/>
      </w:r>
      <w:r>
        <w:rPr>
          <w:noProof/>
        </w:rPr>
        <w:instrText xml:space="preserve"> PAGEREF _Toc242103040 \h </w:instrText>
      </w:r>
      <w:r>
        <w:rPr>
          <w:noProof/>
        </w:rPr>
      </w:r>
      <w:r>
        <w:rPr>
          <w:noProof/>
        </w:rPr>
        <w:fldChar w:fldCharType="separate"/>
      </w:r>
      <w:r>
        <w:rPr>
          <w:noProof/>
        </w:rPr>
        <w:t>7</w:t>
      </w:r>
      <w:r>
        <w:rPr>
          <w:noProof/>
        </w:rPr>
        <w:fldChar w:fldCharType="end"/>
      </w:r>
    </w:p>
    <w:p w14:paraId="4EE5A9C5" w14:textId="3879FBD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beiden Welten</w:t>
      </w:r>
      <w:r>
        <w:rPr>
          <w:noProof/>
        </w:rPr>
        <w:tab/>
      </w:r>
      <w:r>
        <w:rPr>
          <w:noProof/>
        </w:rPr>
        <w:fldChar w:fldCharType="begin"/>
      </w:r>
      <w:r>
        <w:rPr>
          <w:noProof/>
        </w:rPr>
        <w:instrText xml:space="preserve"> PAGEREF _Toc242103041 \h </w:instrText>
      </w:r>
      <w:r>
        <w:rPr>
          <w:noProof/>
        </w:rPr>
      </w:r>
      <w:r>
        <w:rPr>
          <w:noProof/>
        </w:rPr>
        <w:fldChar w:fldCharType="separate"/>
      </w:r>
      <w:r>
        <w:rPr>
          <w:noProof/>
        </w:rPr>
        <w:t>8</w:t>
      </w:r>
      <w:r>
        <w:rPr>
          <w:noProof/>
        </w:rPr>
        <w:fldChar w:fldCharType="end"/>
      </w:r>
    </w:p>
    <w:p w14:paraId="5BAEDBDB" w14:textId="48EE938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Membran</w:t>
      </w:r>
      <w:r>
        <w:rPr>
          <w:noProof/>
        </w:rPr>
        <w:tab/>
      </w:r>
      <w:r>
        <w:rPr>
          <w:noProof/>
        </w:rPr>
        <w:fldChar w:fldCharType="begin"/>
      </w:r>
      <w:r>
        <w:rPr>
          <w:noProof/>
        </w:rPr>
        <w:instrText xml:space="preserve"> PAGEREF _Toc242103042 \h </w:instrText>
      </w:r>
      <w:r>
        <w:rPr>
          <w:noProof/>
        </w:rPr>
      </w:r>
      <w:r>
        <w:rPr>
          <w:noProof/>
        </w:rPr>
        <w:fldChar w:fldCharType="separate"/>
      </w:r>
      <w:r>
        <w:rPr>
          <w:noProof/>
        </w:rPr>
        <w:t>8</w:t>
      </w:r>
      <w:r>
        <w:rPr>
          <w:noProof/>
        </w:rPr>
        <w:fldChar w:fldCharType="end"/>
      </w:r>
    </w:p>
    <w:p w14:paraId="5E3552F9" w14:textId="1FE9601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drei Kanäle</w:t>
      </w:r>
      <w:r>
        <w:rPr>
          <w:noProof/>
        </w:rPr>
        <w:tab/>
      </w:r>
      <w:r>
        <w:rPr>
          <w:noProof/>
        </w:rPr>
        <w:fldChar w:fldCharType="begin"/>
      </w:r>
      <w:r>
        <w:rPr>
          <w:noProof/>
        </w:rPr>
        <w:instrText xml:space="preserve"> PAGEREF _Toc242103043 \h </w:instrText>
      </w:r>
      <w:r>
        <w:rPr>
          <w:noProof/>
        </w:rPr>
      </w:r>
      <w:r>
        <w:rPr>
          <w:noProof/>
        </w:rPr>
        <w:fldChar w:fldCharType="separate"/>
      </w:r>
      <w:r>
        <w:rPr>
          <w:noProof/>
        </w:rPr>
        <w:t>8</w:t>
      </w:r>
      <w:r>
        <w:rPr>
          <w:noProof/>
        </w:rPr>
        <w:fldChar w:fldCharType="end"/>
      </w:r>
    </w:p>
    <w:p w14:paraId="3EBD024F" w14:textId="6458AC1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Farben</w:t>
      </w:r>
      <w:r>
        <w:rPr>
          <w:noProof/>
        </w:rPr>
        <w:tab/>
      </w:r>
      <w:r>
        <w:rPr>
          <w:noProof/>
        </w:rPr>
        <w:fldChar w:fldCharType="begin"/>
      </w:r>
      <w:r>
        <w:rPr>
          <w:noProof/>
        </w:rPr>
        <w:instrText xml:space="preserve"> PAGEREF _Toc242103044 \h </w:instrText>
      </w:r>
      <w:r>
        <w:rPr>
          <w:noProof/>
        </w:rPr>
      </w:r>
      <w:r>
        <w:rPr>
          <w:noProof/>
        </w:rPr>
        <w:fldChar w:fldCharType="separate"/>
      </w:r>
      <w:r>
        <w:rPr>
          <w:noProof/>
        </w:rPr>
        <w:t>8</w:t>
      </w:r>
      <w:r>
        <w:rPr>
          <w:noProof/>
        </w:rPr>
        <w:fldChar w:fldCharType="end"/>
      </w:r>
    </w:p>
    <w:p w14:paraId="740E6118" w14:textId="1D524B77"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Aufbau dieses Dokuments</w:t>
      </w:r>
      <w:r>
        <w:rPr>
          <w:noProof/>
        </w:rPr>
        <w:tab/>
      </w:r>
      <w:r>
        <w:rPr>
          <w:noProof/>
        </w:rPr>
        <w:fldChar w:fldCharType="begin"/>
      </w:r>
      <w:r>
        <w:rPr>
          <w:noProof/>
        </w:rPr>
        <w:instrText xml:space="preserve"> PAGEREF _Toc242103045 \h </w:instrText>
      </w:r>
      <w:r>
        <w:rPr>
          <w:noProof/>
        </w:rPr>
      </w:r>
      <w:r>
        <w:rPr>
          <w:noProof/>
        </w:rPr>
        <w:fldChar w:fldCharType="separate"/>
      </w:r>
      <w:r>
        <w:rPr>
          <w:noProof/>
        </w:rPr>
        <w:t>8</w:t>
      </w:r>
      <w:r>
        <w:rPr>
          <w:noProof/>
        </w:rPr>
        <w:fldChar w:fldCharType="end"/>
      </w:r>
    </w:p>
    <w:p w14:paraId="66AFD219" w14:textId="1B13A2B4"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Wie man es liest</w:t>
      </w:r>
      <w:r>
        <w:rPr>
          <w:noProof/>
        </w:rPr>
        <w:tab/>
      </w:r>
      <w:r>
        <w:rPr>
          <w:noProof/>
        </w:rPr>
        <w:fldChar w:fldCharType="begin"/>
      </w:r>
      <w:r>
        <w:rPr>
          <w:noProof/>
        </w:rPr>
        <w:instrText xml:space="preserve"> PAGEREF _Toc242103046 \h </w:instrText>
      </w:r>
      <w:r>
        <w:rPr>
          <w:noProof/>
        </w:rPr>
      </w:r>
      <w:r>
        <w:rPr>
          <w:noProof/>
        </w:rPr>
        <w:fldChar w:fldCharType="separate"/>
      </w:r>
      <w:r>
        <w:rPr>
          <w:noProof/>
        </w:rPr>
        <w:t>9</w:t>
      </w:r>
      <w:r>
        <w:rPr>
          <w:noProof/>
        </w:rPr>
        <w:fldChar w:fldCharType="end"/>
      </w:r>
    </w:p>
    <w:p w14:paraId="021BF702" w14:textId="1E366F9B"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den Leser erwartet</w:t>
      </w:r>
      <w:r>
        <w:rPr>
          <w:noProof/>
        </w:rPr>
        <w:tab/>
      </w:r>
      <w:r>
        <w:rPr>
          <w:noProof/>
        </w:rPr>
        <w:fldChar w:fldCharType="begin"/>
      </w:r>
      <w:r>
        <w:rPr>
          <w:noProof/>
        </w:rPr>
        <w:instrText xml:space="preserve"> PAGEREF _Toc242103047 \h </w:instrText>
      </w:r>
      <w:r>
        <w:rPr>
          <w:noProof/>
        </w:rPr>
      </w:r>
      <w:r>
        <w:rPr>
          <w:noProof/>
        </w:rPr>
        <w:fldChar w:fldCharType="separate"/>
      </w:r>
      <w:r>
        <w:rPr>
          <w:noProof/>
        </w:rPr>
        <w:t>9</w:t>
      </w:r>
      <w:r>
        <w:rPr>
          <w:noProof/>
        </w:rPr>
        <w:fldChar w:fldCharType="end"/>
      </w:r>
    </w:p>
    <w:p w14:paraId="05DFA6C0" w14:textId="2FD82CC2"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Stellung von Dokument C im Gesamtzusammenhang</w:t>
      </w:r>
      <w:r>
        <w:rPr>
          <w:noProof/>
        </w:rPr>
        <w:tab/>
      </w:r>
      <w:r>
        <w:rPr>
          <w:noProof/>
        </w:rPr>
        <w:fldChar w:fldCharType="begin"/>
      </w:r>
      <w:r>
        <w:rPr>
          <w:noProof/>
        </w:rPr>
        <w:instrText xml:space="preserve"> PAGEREF _Toc242103048 \h </w:instrText>
      </w:r>
      <w:r>
        <w:rPr>
          <w:noProof/>
        </w:rPr>
      </w:r>
      <w:r>
        <w:rPr>
          <w:noProof/>
        </w:rPr>
        <w:fldChar w:fldCharType="separate"/>
      </w:r>
      <w:r>
        <w:rPr>
          <w:noProof/>
        </w:rPr>
        <w:t>10</w:t>
      </w:r>
      <w:r>
        <w:rPr>
          <w:noProof/>
        </w:rPr>
        <w:fldChar w:fldCharType="end"/>
      </w:r>
    </w:p>
    <w:p w14:paraId="700CCEDE" w14:textId="284FADBC"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I. Der Mensch</w:t>
      </w:r>
      <w:r>
        <w:rPr>
          <w:noProof/>
        </w:rPr>
        <w:tab/>
      </w:r>
      <w:r>
        <w:rPr>
          <w:noProof/>
        </w:rPr>
        <w:fldChar w:fldCharType="begin"/>
      </w:r>
      <w:r>
        <w:rPr>
          <w:noProof/>
        </w:rPr>
        <w:instrText xml:space="preserve"> PAGEREF _Toc242103049 \h </w:instrText>
      </w:r>
      <w:r>
        <w:rPr>
          <w:noProof/>
        </w:rPr>
      </w:r>
      <w:r>
        <w:rPr>
          <w:noProof/>
        </w:rPr>
        <w:fldChar w:fldCharType="separate"/>
      </w:r>
      <w:r>
        <w:rPr>
          <w:noProof/>
        </w:rPr>
        <w:t>11</w:t>
      </w:r>
      <w:r>
        <w:rPr>
          <w:noProof/>
        </w:rPr>
        <w:fldChar w:fldCharType="end"/>
      </w:r>
    </w:p>
    <w:p w14:paraId="3669178C" w14:textId="6DEBDE9D"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Präsentation</w:t>
      </w:r>
      <w:r>
        <w:rPr>
          <w:noProof/>
        </w:rPr>
        <w:tab/>
      </w:r>
      <w:r>
        <w:rPr>
          <w:noProof/>
        </w:rPr>
        <w:fldChar w:fldCharType="begin"/>
      </w:r>
      <w:r>
        <w:rPr>
          <w:noProof/>
        </w:rPr>
        <w:instrText xml:space="preserve"> PAGEREF _Toc242103050 \h </w:instrText>
      </w:r>
      <w:r>
        <w:rPr>
          <w:noProof/>
        </w:rPr>
      </w:r>
      <w:r>
        <w:rPr>
          <w:noProof/>
        </w:rPr>
        <w:fldChar w:fldCharType="separate"/>
      </w:r>
      <w:r>
        <w:rPr>
          <w:noProof/>
        </w:rPr>
        <w:t>11</w:t>
      </w:r>
      <w:r>
        <w:rPr>
          <w:noProof/>
        </w:rPr>
        <w:fldChar w:fldCharType="end"/>
      </w:r>
    </w:p>
    <w:p w14:paraId="78B9189E" w14:textId="100F0ED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I-A – Der Aufbau</w:t>
      </w:r>
      <w:r>
        <w:rPr>
          <w:noProof/>
        </w:rPr>
        <w:tab/>
      </w:r>
      <w:r>
        <w:rPr>
          <w:noProof/>
        </w:rPr>
        <w:fldChar w:fldCharType="begin"/>
      </w:r>
      <w:r>
        <w:rPr>
          <w:noProof/>
        </w:rPr>
        <w:instrText xml:space="preserve"> PAGEREF _Toc242103051 \h </w:instrText>
      </w:r>
      <w:r>
        <w:rPr>
          <w:noProof/>
        </w:rPr>
      </w:r>
      <w:r>
        <w:rPr>
          <w:noProof/>
        </w:rPr>
        <w:fldChar w:fldCharType="separate"/>
      </w:r>
      <w:r>
        <w:rPr>
          <w:noProof/>
        </w:rPr>
        <w:t>11</w:t>
      </w:r>
      <w:r>
        <w:rPr>
          <w:noProof/>
        </w:rPr>
        <w:fldChar w:fldCharType="end"/>
      </w:r>
    </w:p>
    <w:p w14:paraId="6FF25F87" w14:textId="1829109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I-B – Die Akteure</w:t>
      </w:r>
      <w:r>
        <w:rPr>
          <w:noProof/>
        </w:rPr>
        <w:tab/>
      </w:r>
      <w:r>
        <w:rPr>
          <w:noProof/>
        </w:rPr>
        <w:fldChar w:fldCharType="begin"/>
      </w:r>
      <w:r>
        <w:rPr>
          <w:noProof/>
        </w:rPr>
        <w:instrText xml:space="preserve"> PAGEREF _Toc242103052 \h </w:instrText>
      </w:r>
      <w:r>
        <w:rPr>
          <w:noProof/>
        </w:rPr>
      </w:r>
      <w:r>
        <w:rPr>
          <w:noProof/>
        </w:rPr>
        <w:fldChar w:fldCharType="separate"/>
      </w:r>
      <w:r>
        <w:rPr>
          <w:noProof/>
        </w:rPr>
        <w:t>14</w:t>
      </w:r>
      <w:r>
        <w:rPr>
          <w:noProof/>
        </w:rPr>
        <w:fldChar w:fldCharType="end"/>
      </w:r>
    </w:p>
    <w:p w14:paraId="4047C13E" w14:textId="131F7ED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I-C – Die Verhältnisse</w:t>
      </w:r>
      <w:r>
        <w:rPr>
          <w:noProof/>
        </w:rPr>
        <w:tab/>
      </w:r>
      <w:r>
        <w:rPr>
          <w:noProof/>
        </w:rPr>
        <w:fldChar w:fldCharType="begin"/>
      </w:r>
      <w:r>
        <w:rPr>
          <w:noProof/>
        </w:rPr>
        <w:instrText xml:space="preserve"> PAGEREF _Toc242103053 \h </w:instrText>
      </w:r>
      <w:r>
        <w:rPr>
          <w:noProof/>
        </w:rPr>
      </w:r>
      <w:r>
        <w:rPr>
          <w:noProof/>
        </w:rPr>
        <w:fldChar w:fldCharType="separate"/>
      </w:r>
      <w:r>
        <w:rPr>
          <w:noProof/>
        </w:rPr>
        <w:t>23</w:t>
      </w:r>
      <w:r>
        <w:rPr>
          <w:noProof/>
        </w:rPr>
        <w:fldChar w:fldCharType="end"/>
      </w:r>
    </w:p>
    <w:p w14:paraId="1BCD4377" w14:textId="4B38661D"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Kaskade</w:t>
      </w:r>
      <w:r>
        <w:rPr>
          <w:noProof/>
        </w:rPr>
        <w:tab/>
      </w:r>
      <w:r>
        <w:rPr>
          <w:noProof/>
        </w:rPr>
        <w:fldChar w:fldCharType="begin"/>
      </w:r>
      <w:r>
        <w:rPr>
          <w:noProof/>
        </w:rPr>
        <w:instrText xml:space="preserve"> PAGEREF _Toc242103054 \h </w:instrText>
      </w:r>
      <w:r>
        <w:rPr>
          <w:noProof/>
        </w:rPr>
      </w:r>
      <w:r>
        <w:rPr>
          <w:noProof/>
        </w:rPr>
        <w:fldChar w:fldCharType="separate"/>
      </w:r>
      <w:r>
        <w:rPr>
          <w:noProof/>
        </w:rPr>
        <w:t>27</w:t>
      </w:r>
      <w:r>
        <w:rPr>
          <w:noProof/>
        </w:rPr>
        <w:fldChar w:fldCharType="end"/>
      </w:r>
    </w:p>
    <w:p w14:paraId="2CA1DAD6" w14:textId="3CB3EDD2"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Bild 1 — Der Auslöser</w:t>
      </w:r>
      <w:r>
        <w:rPr>
          <w:noProof/>
        </w:rPr>
        <w:tab/>
      </w:r>
      <w:r>
        <w:rPr>
          <w:noProof/>
        </w:rPr>
        <w:fldChar w:fldCharType="begin"/>
      </w:r>
      <w:r>
        <w:rPr>
          <w:noProof/>
        </w:rPr>
        <w:instrText xml:space="preserve"> PAGEREF _Toc242103055 \h </w:instrText>
      </w:r>
      <w:r>
        <w:rPr>
          <w:noProof/>
        </w:rPr>
      </w:r>
      <w:r>
        <w:rPr>
          <w:noProof/>
        </w:rPr>
        <w:fldChar w:fldCharType="separate"/>
      </w:r>
      <w:r>
        <w:rPr>
          <w:noProof/>
        </w:rPr>
        <w:t>27</w:t>
      </w:r>
      <w:r>
        <w:rPr>
          <w:noProof/>
        </w:rPr>
        <w:fldChar w:fldCharType="end"/>
      </w:r>
    </w:p>
    <w:p w14:paraId="58551CD5" w14:textId="346745A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Bild 2 — Was weiterfließt</w:t>
      </w:r>
      <w:r>
        <w:rPr>
          <w:noProof/>
        </w:rPr>
        <w:tab/>
      </w:r>
      <w:r>
        <w:rPr>
          <w:noProof/>
        </w:rPr>
        <w:fldChar w:fldCharType="begin"/>
      </w:r>
      <w:r>
        <w:rPr>
          <w:noProof/>
        </w:rPr>
        <w:instrText xml:space="preserve"> PAGEREF _Toc242103056 \h </w:instrText>
      </w:r>
      <w:r>
        <w:rPr>
          <w:noProof/>
        </w:rPr>
      </w:r>
      <w:r>
        <w:rPr>
          <w:noProof/>
        </w:rPr>
        <w:fldChar w:fldCharType="separate"/>
      </w:r>
      <w:r>
        <w:rPr>
          <w:noProof/>
        </w:rPr>
        <w:t>27</w:t>
      </w:r>
      <w:r>
        <w:rPr>
          <w:noProof/>
        </w:rPr>
        <w:fldChar w:fldCharType="end"/>
      </w:r>
    </w:p>
    <w:p w14:paraId="543FF018" w14:textId="29E1931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Bild 3 – Was ausläuft</w:t>
      </w:r>
      <w:r>
        <w:rPr>
          <w:noProof/>
        </w:rPr>
        <w:tab/>
      </w:r>
      <w:r>
        <w:rPr>
          <w:noProof/>
        </w:rPr>
        <w:fldChar w:fldCharType="begin"/>
      </w:r>
      <w:r>
        <w:rPr>
          <w:noProof/>
        </w:rPr>
        <w:instrText xml:space="preserve"> PAGEREF _Toc242103057 \h </w:instrText>
      </w:r>
      <w:r>
        <w:rPr>
          <w:noProof/>
        </w:rPr>
      </w:r>
      <w:r>
        <w:rPr>
          <w:noProof/>
        </w:rPr>
        <w:fldChar w:fldCharType="separate"/>
      </w:r>
      <w:r>
        <w:rPr>
          <w:noProof/>
        </w:rPr>
        <w:t>27</w:t>
      </w:r>
      <w:r>
        <w:rPr>
          <w:noProof/>
        </w:rPr>
        <w:fldChar w:fldCharType="end"/>
      </w:r>
    </w:p>
    <w:p w14:paraId="33EAA4F5" w14:textId="681EF5A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Bild 4 – Was nicht hereinkommt</w:t>
      </w:r>
      <w:r>
        <w:rPr>
          <w:noProof/>
        </w:rPr>
        <w:tab/>
      </w:r>
      <w:r>
        <w:rPr>
          <w:noProof/>
        </w:rPr>
        <w:fldChar w:fldCharType="begin"/>
      </w:r>
      <w:r>
        <w:rPr>
          <w:noProof/>
        </w:rPr>
        <w:instrText xml:space="preserve"> PAGEREF _Toc242103058 \h </w:instrText>
      </w:r>
      <w:r>
        <w:rPr>
          <w:noProof/>
        </w:rPr>
      </w:r>
      <w:r>
        <w:rPr>
          <w:noProof/>
        </w:rPr>
        <w:fldChar w:fldCharType="separate"/>
      </w:r>
      <w:r>
        <w:rPr>
          <w:noProof/>
        </w:rPr>
        <w:t>28</w:t>
      </w:r>
      <w:r>
        <w:rPr>
          <w:noProof/>
        </w:rPr>
        <w:fldChar w:fldCharType="end"/>
      </w:r>
    </w:p>
    <w:p w14:paraId="4BC7157B" w14:textId="60C4B00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Bild 5 – Das Ergebnis</w:t>
      </w:r>
      <w:r>
        <w:rPr>
          <w:noProof/>
        </w:rPr>
        <w:tab/>
      </w:r>
      <w:r>
        <w:rPr>
          <w:noProof/>
        </w:rPr>
        <w:fldChar w:fldCharType="begin"/>
      </w:r>
      <w:r>
        <w:rPr>
          <w:noProof/>
        </w:rPr>
        <w:instrText xml:space="preserve"> PAGEREF _Toc242103059 \h </w:instrText>
      </w:r>
      <w:r>
        <w:rPr>
          <w:noProof/>
        </w:rPr>
      </w:r>
      <w:r>
        <w:rPr>
          <w:noProof/>
        </w:rPr>
        <w:fldChar w:fldCharType="separate"/>
      </w:r>
      <w:r>
        <w:rPr>
          <w:noProof/>
        </w:rPr>
        <w:t>28</w:t>
      </w:r>
      <w:r>
        <w:rPr>
          <w:noProof/>
        </w:rPr>
        <w:fldChar w:fldCharType="end"/>
      </w:r>
    </w:p>
    <w:p w14:paraId="2F8FFEA7" w14:textId="479A779F"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II. Belgien</w:t>
      </w:r>
      <w:r>
        <w:rPr>
          <w:noProof/>
        </w:rPr>
        <w:tab/>
      </w:r>
      <w:r>
        <w:rPr>
          <w:noProof/>
        </w:rPr>
        <w:fldChar w:fldCharType="begin"/>
      </w:r>
      <w:r>
        <w:rPr>
          <w:noProof/>
        </w:rPr>
        <w:instrText xml:space="preserve"> PAGEREF _Toc242103060 \h </w:instrText>
      </w:r>
      <w:r>
        <w:rPr>
          <w:noProof/>
        </w:rPr>
      </w:r>
      <w:r>
        <w:rPr>
          <w:noProof/>
        </w:rPr>
        <w:fldChar w:fldCharType="separate"/>
      </w:r>
      <w:r>
        <w:rPr>
          <w:noProof/>
        </w:rPr>
        <w:t>30</w:t>
      </w:r>
      <w:r>
        <w:rPr>
          <w:noProof/>
        </w:rPr>
        <w:fldChar w:fldCharType="end"/>
      </w:r>
    </w:p>
    <w:p w14:paraId="422926E2" w14:textId="5C1F6920"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Töpfe und der Kopplungsverkauf</w:t>
      </w:r>
      <w:r>
        <w:rPr>
          <w:noProof/>
        </w:rPr>
        <w:tab/>
      </w:r>
      <w:r>
        <w:rPr>
          <w:noProof/>
        </w:rPr>
        <w:fldChar w:fldCharType="begin"/>
      </w:r>
      <w:r>
        <w:rPr>
          <w:noProof/>
        </w:rPr>
        <w:instrText xml:space="preserve"> PAGEREF _Toc242103061 \h </w:instrText>
      </w:r>
      <w:r>
        <w:rPr>
          <w:noProof/>
        </w:rPr>
      </w:r>
      <w:r>
        <w:rPr>
          <w:noProof/>
        </w:rPr>
        <w:fldChar w:fldCharType="separate"/>
      </w:r>
      <w:r>
        <w:rPr>
          <w:noProof/>
        </w:rPr>
        <w:t>30</w:t>
      </w:r>
      <w:r>
        <w:rPr>
          <w:noProof/>
        </w:rPr>
        <w:fldChar w:fldCharType="end"/>
      </w:r>
    </w:p>
    <w:p w14:paraId="3FC57A41" w14:textId="45C9EAE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II-A – Die Töpfe</w:t>
      </w:r>
      <w:r>
        <w:rPr>
          <w:noProof/>
        </w:rPr>
        <w:tab/>
      </w:r>
      <w:r>
        <w:rPr>
          <w:noProof/>
        </w:rPr>
        <w:fldChar w:fldCharType="begin"/>
      </w:r>
      <w:r>
        <w:rPr>
          <w:noProof/>
        </w:rPr>
        <w:instrText xml:space="preserve"> PAGEREF _Toc242103062 \h </w:instrText>
      </w:r>
      <w:r>
        <w:rPr>
          <w:noProof/>
        </w:rPr>
      </w:r>
      <w:r>
        <w:rPr>
          <w:noProof/>
        </w:rPr>
        <w:fldChar w:fldCharType="separate"/>
      </w:r>
      <w:r>
        <w:rPr>
          <w:noProof/>
        </w:rPr>
        <w:t>30</w:t>
      </w:r>
      <w:r>
        <w:rPr>
          <w:noProof/>
        </w:rPr>
        <w:fldChar w:fldCharType="end"/>
      </w:r>
    </w:p>
    <w:p w14:paraId="15EFD466" w14:textId="179B26B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II-B – Die Kopplungsverkäufe</w:t>
      </w:r>
      <w:r>
        <w:rPr>
          <w:noProof/>
        </w:rPr>
        <w:tab/>
      </w:r>
      <w:r>
        <w:rPr>
          <w:noProof/>
        </w:rPr>
        <w:fldChar w:fldCharType="begin"/>
      </w:r>
      <w:r>
        <w:rPr>
          <w:noProof/>
        </w:rPr>
        <w:instrText xml:space="preserve"> PAGEREF _Toc242103063 \h </w:instrText>
      </w:r>
      <w:r>
        <w:rPr>
          <w:noProof/>
        </w:rPr>
      </w:r>
      <w:r>
        <w:rPr>
          <w:noProof/>
        </w:rPr>
        <w:fldChar w:fldCharType="separate"/>
      </w:r>
      <w:r>
        <w:rPr>
          <w:noProof/>
        </w:rPr>
        <w:t>34</w:t>
      </w:r>
      <w:r>
        <w:rPr>
          <w:noProof/>
        </w:rPr>
        <w:fldChar w:fldCharType="end"/>
      </w:r>
    </w:p>
    <w:p w14:paraId="2CB41D28" w14:textId="328D279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II-C – Die vier Catch-22-Situationen</w:t>
      </w:r>
      <w:r>
        <w:rPr>
          <w:noProof/>
        </w:rPr>
        <w:tab/>
      </w:r>
      <w:r>
        <w:rPr>
          <w:noProof/>
        </w:rPr>
        <w:fldChar w:fldCharType="begin"/>
      </w:r>
      <w:r>
        <w:rPr>
          <w:noProof/>
        </w:rPr>
        <w:instrText xml:space="preserve"> PAGEREF _Toc242103064 \h </w:instrText>
      </w:r>
      <w:r>
        <w:rPr>
          <w:noProof/>
        </w:rPr>
      </w:r>
      <w:r>
        <w:rPr>
          <w:noProof/>
        </w:rPr>
        <w:fldChar w:fldCharType="separate"/>
      </w:r>
      <w:r>
        <w:rPr>
          <w:noProof/>
        </w:rPr>
        <w:t>35</w:t>
      </w:r>
      <w:r>
        <w:rPr>
          <w:noProof/>
        </w:rPr>
        <w:fldChar w:fldCharType="end"/>
      </w:r>
    </w:p>
    <w:p w14:paraId="14CF41AE" w14:textId="7DDC703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in diesem Kapitel dargelegt wird</w:t>
      </w:r>
      <w:r>
        <w:rPr>
          <w:noProof/>
        </w:rPr>
        <w:tab/>
      </w:r>
      <w:r>
        <w:rPr>
          <w:noProof/>
        </w:rPr>
        <w:fldChar w:fldCharType="begin"/>
      </w:r>
      <w:r>
        <w:rPr>
          <w:noProof/>
        </w:rPr>
        <w:instrText xml:space="preserve"> PAGEREF _Toc242103065 \h </w:instrText>
      </w:r>
      <w:r>
        <w:rPr>
          <w:noProof/>
        </w:rPr>
      </w:r>
      <w:r>
        <w:rPr>
          <w:noProof/>
        </w:rPr>
        <w:fldChar w:fldCharType="separate"/>
      </w:r>
      <w:r>
        <w:rPr>
          <w:noProof/>
        </w:rPr>
        <w:t>37</w:t>
      </w:r>
      <w:r>
        <w:rPr>
          <w:noProof/>
        </w:rPr>
        <w:fldChar w:fldCharType="end"/>
      </w:r>
    </w:p>
    <w:p w14:paraId="6E1761E3" w14:textId="09CCBAF0"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Feststellung und Beschluss</w:t>
      </w:r>
      <w:r>
        <w:rPr>
          <w:noProof/>
        </w:rPr>
        <w:tab/>
      </w:r>
      <w:r>
        <w:rPr>
          <w:noProof/>
        </w:rPr>
        <w:fldChar w:fldCharType="begin"/>
      </w:r>
      <w:r>
        <w:rPr>
          <w:noProof/>
        </w:rPr>
        <w:instrText xml:space="preserve"> PAGEREF _Toc242103066 \h </w:instrText>
      </w:r>
      <w:r>
        <w:rPr>
          <w:noProof/>
        </w:rPr>
      </w:r>
      <w:r>
        <w:rPr>
          <w:noProof/>
        </w:rPr>
        <w:fldChar w:fldCharType="separate"/>
      </w:r>
      <w:r>
        <w:rPr>
          <w:noProof/>
        </w:rPr>
        <w:t>38</w:t>
      </w:r>
      <w:r>
        <w:rPr>
          <w:noProof/>
        </w:rPr>
        <w:fldChar w:fldCharType="end"/>
      </w:r>
    </w:p>
    <w:p w14:paraId="12132BB7" w14:textId="50074C50"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fünf Stimmen</w:t>
      </w:r>
      <w:r>
        <w:rPr>
          <w:noProof/>
        </w:rPr>
        <w:tab/>
      </w:r>
      <w:r>
        <w:rPr>
          <w:noProof/>
        </w:rPr>
        <w:fldChar w:fldCharType="begin"/>
      </w:r>
      <w:r>
        <w:rPr>
          <w:noProof/>
        </w:rPr>
        <w:instrText xml:space="preserve"> PAGEREF _Toc242103067 \h </w:instrText>
      </w:r>
      <w:r>
        <w:rPr>
          <w:noProof/>
        </w:rPr>
      </w:r>
      <w:r>
        <w:rPr>
          <w:noProof/>
        </w:rPr>
        <w:fldChar w:fldCharType="separate"/>
      </w:r>
      <w:r>
        <w:rPr>
          <w:noProof/>
        </w:rPr>
        <w:t>38</w:t>
      </w:r>
      <w:r>
        <w:rPr>
          <w:noProof/>
        </w:rPr>
        <w:fldChar w:fldCharType="end"/>
      </w:r>
    </w:p>
    <w:p w14:paraId="0480D4D7" w14:textId="1416CE0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Zwei Entscheidungsträger, ein Mechanismus</w:t>
      </w:r>
      <w:r>
        <w:rPr>
          <w:noProof/>
        </w:rPr>
        <w:tab/>
      </w:r>
      <w:r>
        <w:rPr>
          <w:noProof/>
        </w:rPr>
        <w:fldChar w:fldCharType="begin"/>
      </w:r>
      <w:r>
        <w:rPr>
          <w:noProof/>
        </w:rPr>
        <w:instrText xml:space="preserve"> PAGEREF _Toc242103068 \h </w:instrText>
      </w:r>
      <w:r>
        <w:rPr>
          <w:noProof/>
        </w:rPr>
      </w:r>
      <w:r>
        <w:rPr>
          <w:noProof/>
        </w:rPr>
        <w:fldChar w:fldCharType="separate"/>
      </w:r>
      <w:r>
        <w:rPr>
          <w:noProof/>
        </w:rPr>
        <w:t>38</w:t>
      </w:r>
      <w:r>
        <w:rPr>
          <w:noProof/>
        </w:rPr>
        <w:fldChar w:fldCharType="end"/>
      </w:r>
    </w:p>
    <w:p w14:paraId="5D71E8E9" w14:textId="732B4CDA"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gemeinsame Muster</w:t>
      </w:r>
      <w:r>
        <w:rPr>
          <w:noProof/>
        </w:rPr>
        <w:tab/>
      </w:r>
      <w:r>
        <w:rPr>
          <w:noProof/>
        </w:rPr>
        <w:fldChar w:fldCharType="begin"/>
      </w:r>
      <w:r>
        <w:rPr>
          <w:noProof/>
        </w:rPr>
        <w:instrText xml:space="preserve"> PAGEREF _Toc242103069 \h </w:instrText>
      </w:r>
      <w:r>
        <w:rPr>
          <w:noProof/>
        </w:rPr>
      </w:r>
      <w:r>
        <w:rPr>
          <w:noProof/>
        </w:rPr>
        <w:fldChar w:fldCharType="separate"/>
      </w:r>
      <w:r>
        <w:rPr>
          <w:noProof/>
        </w:rPr>
        <w:t>39</w:t>
      </w:r>
      <w:r>
        <w:rPr>
          <w:noProof/>
        </w:rPr>
        <w:fldChar w:fldCharType="end"/>
      </w:r>
    </w:p>
    <w:p w14:paraId="7601244F" w14:textId="046CB59B"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Parentia-Treppe</w:t>
      </w:r>
      <w:r>
        <w:rPr>
          <w:noProof/>
        </w:rPr>
        <w:tab/>
      </w:r>
      <w:r>
        <w:rPr>
          <w:noProof/>
        </w:rPr>
        <w:fldChar w:fldCharType="begin"/>
      </w:r>
      <w:r>
        <w:rPr>
          <w:noProof/>
        </w:rPr>
        <w:instrText xml:space="preserve"> PAGEREF _Toc242103070 \h </w:instrText>
      </w:r>
      <w:r>
        <w:rPr>
          <w:noProof/>
        </w:rPr>
      </w:r>
      <w:r>
        <w:rPr>
          <w:noProof/>
        </w:rPr>
        <w:fldChar w:fldCharType="separate"/>
      </w:r>
      <w:r>
        <w:rPr>
          <w:noProof/>
        </w:rPr>
        <w:t>40</w:t>
      </w:r>
      <w:r>
        <w:rPr>
          <w:noProof/>
        </w:rPr>
        <w:fldChar w:fldCharType="end"/>
      </w:r>
    </w:p>
    <w:p w14:paraId="24DAD998" w14:textId="20D30AD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Stufe 1 – Die KSZ-Blockade</w:t>
      </w:r>
      <w:r>
        <w:rPr>
          <w:noProof/>
        </w:rPr>
        <w:tab/>
      </w:r>
      <w:r>
        <w:rPr>
          <w:noProof/>
        </w:rPr>
        <w:fldChar w:fldCharType="begin"/>
      </w:r>
      <w:r>
        <w:rPr>
          <w:noProof/>
        </w:rPr>
        <w:instrText xml:space="preserve"> PAGEREF _Toc242103071 \h </w:instrText>
      </w:r>
      <w:r>
        <w:rPr>
          <w:noProof/>
        </w:rPr>
      </w:r>
      <w:r>
        <w:rPr>
          <w:noProof/>
        </w:rPr>
        <w:fldChar w:fldCharType="separate"/>
      </w:r>
      <w:r>
        <w:rPr>
          <w:noProof/>
        </w:rPr>
        <w:t>40</w:t>
      </w:r>
      <w:r>
        <w:rPr>
          <w:noProof/>
        </w:rPr>
        <w:fldChar w:fldCharType="end"/>
      </w:r>
    </w:p>
    <w:p w14:paraId="7ADA6F76" w14:textId="46AA449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Stufe 2 – Der Bypass wird akzeptiert</w:t>
      </w:r>
      <w:r>
        <w:rPr>
          <w:noProof/>
        </w:rPr>
        <w:tab/>
      </w:r>
      <w:r>
        <w:rPr>
          <w:noProof/>
        </w:rPr>
        <w:fldChar w:fldCharType="begin"/>
      </w:r>
      <w:r>
        <w:rPr>
          <w:noProof/>
        </w:rPr>
        <w:instrText xml:space="preserve"> PAGEREF _Toc242103072 \h </w:instrText>
      </w:r>
      <w:r>
        <w:rPr>
          <w:noProof/>
        </w:rPr>
      </w:r>
      <w:r>
        <w:rPr>
          <w:noProof/>
        </w:rPr>
        <w:fldChar w:fldCharType="separate"/>
      </w:r>
      <w:r>
        <w:rPr>
          <w:noProof/>
        </w:rPr>
        <w:t>40</w:t>
      </w:r>
      <w:r>
        <w:rPr>
          <w:noProof/>
        </w:rPr>
        <w:fldChar w:fldCharType="end"/>
      </w:r>
    </w:p>
    <w:p w14:paraId="28F2FA81" w14:textId="2A3BD35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Stufe 3 – Die Einkommensverweigerung</w:t>
      </w:r>
      <w:r>
        <w:rPr>
          <w:noProof/>
        </w:rPr>
        <w:tab/>
      </w:r>
      <w:r>
        <w:rPr>
          <w:noProof/>
        </w:rPr>
        <w:fldChar w:fldCharType="begin"/>
      </w:r>
      <w:r>
        <w:rPr>
          <w:noProof/>
        </w:rPr>
        <w:instrText xml:space="preserve"> PAGEREF _Toc242103073 \h </w:instrText>
      </w:r>
      <w:r>
        <w:rPr>
          <w:noProof/>
        </w:rPr>
      </w:r>
      <w:r>
        <w:rPr>
          <w:noProof/>
        </w:rPr>
        <w:fldChar w:fldCharType="separate"/>
      </w:r>
      <w:r>
        <w:rPr>
          <w:noProof/>
        </w:rPr>
        <w:t>40</w:t>
      </w:r>
      <w:r>
        <w:rPr>
          <w:noProof/>
        </w:rPr>
        <w:fldChar w:fldCharType="end"/>
      </w:r>
    </w:p>
    <w:p w14:paraId="0C80EB6D" w14:textId="1CACE26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Muster wiederholt sich</w:t>
      </w:r>
      <w:r>
        <w:rPr>
          <w:noProof/>
        </w:rPr>
        <w:tab/>
      </w:r>
      <w:r>
        <w:rPr>
          <w:noProof/>
        </w:rPr>
        <w:fldChar w:fldCharType="begin"/>
      </w:r>
      <w:r>
        <w:rPr>
          <w:noProof/>
        </w:rPr>
        <w:instrText xml:space="preserve"> PAGEREF _Toc242103074 \h </w:instrText>
      </w:r>
      <w:r>
        <w:rPr>
          <w:noProof/>
        </w:rPr>
      </w:r>
      <w:r>
        <w:rPr>
          <w:noProof/>
        </w:rPr>
        <w:fldChar w:fldCharType="separate"/>
      </w:r>
      <w:r>
        <w:rPr>
          <w:noProof/>
        </w:rPr>
        <w:t>41</w:t>
      </w:r>
      <w:r>
        <w:rPr>
          <w:noProof/>
        </w:rPr>
        <w:fldChar w:fldCharType="end"/>
      </w:r>
    </w:p>
    <w:p w14:paraId="48D46FCA" w14:textId="4C31A179"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belgische Steuerweg</w:t>
      </w:r>
      <w:r>
        <w:rPr>
          <w:noProof/>
        </w:rPr>
        <w:tab/>
      </w:r>
      <w:r>
        <w:rPr>
          <w:noProof/>
        </w:rPr>
        <w:fldChar w:fldCharType="begin"/>
      </w:r>
      <w:r>
        <w:rPr>
          <w:noProof/>
        </w:rPr>
        <w:instrText xml:space="preserve"> PAGEREF _Toc242103075 \h </w:instrText>
      </w:r>
      <w:r>
        <w:rPr>
          <w:noProof/>
        </w:rPr>
      </w:r>
      <w:r>
        <w:rPr>
          <w:noProof/>
        </w:rPr>
        <w:fldChar w:fldCharType="separate"/>
      </w:r>
      <w:r>
        <w:rPr>
          <w:noProof/>
        </w:rPr>
        <w:t>42</w:t>
      </w:r>
      <w:r>
        <w:rPr>
          <w:noProof/>
        </w:rPr>
        <w:fldChar w:fldCharType="end"/>
      </w:r>
    </w:p>
    <w:p w14:paraId="18D18542" w14:textId="34A6D98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Was funktioniert</w:t>
      </w:r>
      <w:r>
        <w:rPr>
          <w:noProof/>
        </w:rPr>
        <w:tab/>
      </w:r>
      <w:r>
        <w:rPr>
          <w:noProof/>
        </w:rPr>
        <w:fldChar w:fldCharType="begin"/>
      </w:r>
      <w:r>
        <w:rPr>
          <w:noProof/>
        </w:rPr>
        <w:instrText xml:space="preserve"> PAGEREF _Toc242103076 \h </w:instrText>
      </w:r>
      <w:r>
        <w:rPr>
          <w:noProof/>
        </w:rPr>
      </w:r>
      <w:r>
        <w:rPr>
          <w:noProof/>
        </w:rPr>
        <w:fldChar w:fldCharType="separate"/>
      </w:r>
      <w:r>
        <w:rPr>
          <w:noProof/>
        </w:rPr>
        <w:t>42</w:t>
      </w:r>
      <w:r>
        <w:rPr>
          <w:noProof/>
        </w:rPr>
        <w:fldChar w:fldCharType="end"/>
      </w:r>
    </w:p>
    <w:p w14:paraId="38F1E588" w14:textId="55BBCE9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Ausnahmeregelung für den erhöhten Steuerfreibetrag</w:t>
      </w:r>
      <w:r>
        <w:rPr>
          <w:noProof/>
        </w:rPr>
        <w:tab/>
      </w:r>
      <w:r>
        <w:rPr>
          <w:noProof/>
        </w:rPr>
        <w:fldChar w:fldCharType="begin"/>
      </w:r>
      <w:r>
        <w:rPr>
          <w:noProof/>
        </w:rPr>
        <w:instrText xml:space="preserve"> PAGEREF _Toc242103077 \h </w:instrText>
      </w:r>
      <w:r>
        <w:rPr>
          <w:noProof/>
        </w:rPr>
      </w:r>
      <w:r>
        <w:rPr>
          <w:noProof/>
        </w:rPr>
        <w:fldChar w:fldCharType="separate"/>
      </w:r>
      <w:r>
        <w:rPr>
          <w:noProof/>
        </w:rPr>
        <w:t>43</w:t>
      </w:r>
      <w:r>
        <w:rPr>
          <w:noProof/>
        </w:rPr>
        <w:fldChar w:fldCharType="end"/>
      </w:r>
    </w:p>
    <w:p w14:paraId="32FF60DB" w14:textId="5FA8D7F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doppelte Bestätigung</w:t>
      </w:r>
      <w:r>
        <w:rPr>
          <w:noProof/>
        </w:rPr>
        <w:tab/>
      </w:r>
      <w:r>
        <w:rPr>
          <w:noProof/>
        </w:rPr>
        <w:fldChar w:fldCharType="begin"/>
      </w:r>
      <w:r>
        <w:rPr>
          <w:noProof/>
        </w:rPr>
        <w:instrText xml:space="preserve"> PAGEREF _Toc242103078 \h </w:instrText>
      </w:r>
      <w:r>
        <w:rPr>
          <w:noProof/>
        </w:rPr>
      </w:r>
      <w:r>
        <w:rPr>
          <w:noProof/>
        </w:rPr>
        <w:fldChar w:fldCharType="separate"/>
      </w:r>
      <w:r>
        <w:rPr>
          <w:noProof/>
        </w:rPr>
        <w:t>44</w:t>
      </w:r>
      <w:r>
        <w:rPr>
          <w:noProof/>
        </w:rPr>
        <w:fldChar w:fldCharType="end"/>
      </w:r>
    </w:p>
    <w:p w14:paraId="0A339238" w14:textId="0C818AC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AGODI: Das bewegliche Ziel und der endgültige Abschluss</w:t>
      </w:r>
      <w:r>
        <w:rPr>
          <w:noProof/>
        </w:rPr>
        <w:tab/>
      </w:r>
      <w:r>
        <w:rPr>
          <w:noProof/>
        </w:rPr>
        <w:fldChar w:fldCharType="begin"/>
      </w:r>
      <w:r>
        <w:rPr>
          <w:noProof/>
        </w:rPr>
        <w:instrText xml:space="preserve"> PAGEREF _Toc242103079 \h </w:instrText>
      </w:r>
      <w:r>
        <w:rPr>
          <w:noProof/>
        </w:rPr>
      </w:r>
      <w:r>
        <w:rPr>
          <w:noProof/>
        </w:rPr>
        <w:fldChar w:fldCharType="separate"/>
      </w:r>
      <w:r>
        <w:rPr>
          <w:noProof/>
        </w:rPr>
        <w:t>45</w:t>
      </w:r>
      <w:r>
        <w:rPr>
          <w:noProof/>
        </w:rPr>
        <w:fldChar w:fldCharType="end"/>
      </w:r>
    </w:p>
    <w:p w14:paraId="777D2DF4" w14:textId="0EF9C75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Was in diesem Kapitel festgelegt wird</w:t>
      </w:r>
      <w:r>
        <w:rPr>
          <w:noProof/>
        </w:rPr>
        <w:tab/>
      </w:r>
      <w:r>
        <w:rPr>
          <w:noProof/>
        </w:rPr>
        <w:fldChar w:fldCharType="begin"/>
      </w:r>
      <w:r>
        <w:rPr>
          <w:noProof/>
        </w:rPr>
        <w:instrText xml:space="preserve"> PAGEREF _Toc242103080 \h </w:instrText>
      </w:r>
      <w:r>
        <w:rPr>
          <w:noProof/>
        </w:rPr>
      </w:r>
      <w:r>
        <w:rPr>
          <w:noProof/>
        </w:rPr>
        <w:fldChar w:fldCharType="separate"/>
      </w:r>
      <w:r>
        <w:rPr>
          <w:noProof/>
        </w:rPr>
        <w:t>46</w:t>
      </w:r>
      <w:r>
        <w:rPr>
          <w:noProof/>
        </w:rPr>
        <w:fldChar w:fldCharType="end"/>
      </w:r>
    </w:p>
    <w:p w14:paraId="1858F203" w14:textId="5459F111"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Wiedereröffnung</w:t>
      </w:r>
      <w:r>
        <w:rPr>
          <w:noProof/>
        </w:rPr>
        <w:tab/>
      </w:r>
      <w:r>
        <w:rPr>
          <w:noProof/>
        </w:rPr>
        <w:fldChar w:fldCharType="begin"/>
      </w:r>
      <w:r>
        <w:rPr>
          <w:noProof/>
        </w:rPr>
        <w:instrText xml:space="preserve"> PAGEREF _Toc242103081 \h </w:instrText>
      </w:r>
      <w:r>
        <w:rPr>
          <w:noProof/>
        </w:rPr>
      </w:r>
      <w:r>
        <w:rPr>
          <w:noProof/>
        </w:rPr>
        <w:fldChar w:fldCharType="separate"/>
      </w:r>
      <w:r>
        <w:rPr>
          <w:noProof/>
        </w:rPr>
        <w:t>48</w:t>
      </w:r>
      <w:r>
        <w:rPr>
          <w:noProof/>
        </w:rPr>
        <w:fldChar w:fldCharType="end"/>
      </w:r>
    </w:p>
    <w:p w14:paraId="2749270C" w14:textId="0559C6C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in dem Brief steht</w:t>
      </w:r>
      <w:r>
        <w:rPr>
          <w:noProof/>
        </w:rPr>
        <w:tab/>
      </w:r>
      <w:r>
        <w:rPr>
          <w:noProof/>
        </w:rPr>
        <w:fldChar w:fldCharType="begin"/>
      </w:r>
      <w:r>
        <w:rPr>
          <w:noProof/>
        </w:rPr>
        <w:instrText xml:space="preserve"> PAGEREF _Toc242103082 \h </w:instrText>
      </w:r>
      <w:r>
        <w:rPr>
          <w:noProof/>
        </w:rPr>
      </w:r>
      <w:r>
        <w:rPr>
          <w:noProof/>
        </w:rPr>
        <w:fldChar w:fldCharType="separate"/>
      </w:r>
      <w:r>
        <w:rPr>
          <w:noProof/>
        </w:rPr>
        <w:t>48</w:t>
      </w:r>
      <w:r>
        <w:rPr>
          <w:noProof/>
        </w:rPr>
        <w:fldChar w:fldCharType="end"/>
      </w:r>
    </w:p>
    <w:p w14:paraId="3C6BB58D" w14:textId="1EE0AD6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auf der Website steht</w:t>
      </w:r>
      <w:r>
        <w:rPr>
          <w:noProof/>
        </w:rPr>
        <w:tab/>
      </w:r>
      <w:r>
        <w:rPr>
          <w:noProof/>
        </w:rPr>
        <w:fldChar w:fldCharType="begin"/>
      </w:r>
      <w:r>
        <w:rPr>
          <w:noProof/>
        </w:rPr>
        <w:instrText xml:space="preserve"> PAGEREF _Toc242103083 \h </w:instrText>
      </w:r>
      <w:r>
        <w:rPr>
          <w:noProof/>
        </w:rPr>
      </w:r>
      <w:r>
        <w:rPr>
          <w:noProof/>
        </w:rPr>
        <w:fldChar w:fldCharType="separate"/>
      </w:r>
      <w:r>
        <w:rPr>
          <w:noProof/>
        </w:rPr>
        <w:t>48</w:t>
      </w:r>
      <w:r>
        <w:rPr>
          <w:noProof/>
        </w:rPr>
        <w:fldChar w:fldCharType="end"/>
      </w:r>
    </w:p>
    <w:p w14:paraId="0B20B2ED" w14:textId="5FC8F0A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das bringt</w:t>
      </w:r>
      <w:r>
        <w:rPr>
          <w:noProof/>
        </w:rPr>
        <w:tab/>
      </w:r>
      <w:r>
        <w:rPr>
          <w:noProof/>
        </w:rPr>
        <w:fldChar w:fldCharType="begin"/>
      </w:r>
      <w:r>
        <w:rPr>
          <w:noProof/>
        </w:rPr>
        <w:instrText xml:space="preserve"> PAGEREF _Toc242103084 \h </w:instrText>
      </w:r>
      <w:r>
        <w:rPr>
          <w:noProof/>
        </w:rPr>
      </w:r>
      <w:r>
        <w:rPr>
          <w:noProof/>
        </w:rPr>
        <w:fldChar w:fldCharType="separate"/>
      </w:r>
      <w:r>
        <w:rPr>
          <w:noProof/>
        </w:rPr>
        <w:t>48</w:t>
      </w:r>
      <w:r>
        <w:rPr>
          <w:noProof/>
        </w:rPr>
        <w:fldChar w:fldCharType="end"/>
      </w:r>
    </w:p>
    <w:p w14:paraId="007CD344" w14:textId="50CAAB3C"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CM und die Geldströme</w:t>
      </w:r>
      <w:r>
        <w:rPr>
          <w:noProof/>
        </w:rPr>
        <w:tab/>
      </w:r>
      <w:r>
        <w:rPr>
          <w:noProof/>
        </w:rPr>
        <w:fldChar w:fldCharType="begin"/>
      </w:r>
      <w:r>
        <w:rPr>
          <w:noProof/>
        </w:rPr>
        <w:instrText xml:space="preserve"> PAGEREF _Toc242103085 \h </w:instrText>
      </w:r>
      <w:r>
        <w:rPr>
          <w:noProof/>
        </w:rPr>
      </w:r>
      <w:r>
        <w:rPr>
          <w:noProof/>
        </w:rPr>
        <w:fldChar w:fldCharType="separate"/>
      </w:r>
      <w:r>
        <w:rPr>
          <w:noProof/>
        </w:rPr>
        <w:t>50</w:t>
      </w:r>
      <w:r>
        <w:rPr>
          <w:noProof/>
        </w:rPr>
        <w:fldChar w:fldCharType="end"/>
      </w:r>
    </w:p>
    <w:p w14:paraId="4FC18EC6" w14:textId="57B7840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drei Geldströme</w:t>
      </w:r>
      <w:r>
        <w:rPr>
          <w:noProof/>
        </w:rPr>
        <w:tab/>
      </w:r>
      <w:r>
        <w:rPr>
          <w:noProof/>
        </w:rPr>
        <w:fldChar w:fldCharType="begin"/>
      </w:r>
      <w:r>
        <w:rPr>
          <w:noProof/>
        </w:rPr>
        <w:instrText xml:space="preserve"> PAGEREF _Toc242103086 \h </w:instrText>
      </w:r>
      <w:r>
        <w:rPr>
          <w:noProof/>
        </w:rPr>
      </w:r>
      <w:r>
        <w:rPr>
          <w:noProof/>
        </w:rPr>
        <w:fldChar w:fldCharType="separate"/>
      </w:r>
      <w:r>
        <w:rPr>
          <w:noProof/>
        </w:rPr>
        <w:t>50</w:t>
      </w:r>
      <w:r>
        <w:rPr>
          <w:noProof/>
        </w:rPr>
        <w:fldChar w:fldCharType="end"/>
      </w:r>
    </w:p>
    <w:p w14:paraId="4F8F2F2D" w14:textId="1E7F63E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Der Sozialversicherungsbeitrag und seine Verwendung</w:t>
      </w:r>
      <w:r>
        <w:rPr>
          <w:noProof/>
        </w:rPr>
        <w:tab/>
      </w:r>
      <w:r>
        <w:rPr>
          <w:noProof/>
        </w:rPr>
        <w:fldChar w:fldCharType="begin"/>
      </w:r>
      <w:r>
        <w:rPr>
          <w:noProof/>
        </w:rPr>
        <w:instrText xml:space="preserve"> PAGEREF _Toc242103087 \h </w:instrText>
      </w:r>
      <w:r>
        <w:rPr>
          <w:noProof/>
        </w:rPr>
      </w:r>
      <w:r>
        <w:rPr>
          <w:noProof/>
        </w:rPr>
        <w:fldChar w:fldCharType="separate"/>
      </w:r>
      <w:r>
        <w:rPr>
          <w:noProof/>
        </w:rPr>
        <w:t>50</w:t>
      </w:r>
      <w:r>
        <w:rPr>
          <w:noProof/>
        </w:rPr>
        <w:fldChar w:fldCharType="end"/>
      </w:r>
    </w:p>
    <w:p w14:paraId="4311B035" w14:textId="45F07FF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Warum Hilfsmittel ja, aber Sozialleistungen nein</w:t>
      </w:r>
      <w:r>
        <w:rPr>
          <w:noProof/>
        </w:rPr>
        <w:tab/>
      </w:r>
      <w:r>
        <w:rPr>
          <w:noProof/>
        </w:rPr>
        <w:fldChar w:fldCharType="begin"/>
      </w:r>
      <w:r>
        <w:rPr>
          <w:noProof/>
        </w:rPr>
        <w:instrText xml:space="preserve"> PAGEREF _Toc242103088 \h </w:instrText>
      </w:r>
      <w:r>
        <w:rPr>
          <w:noProof/>
        </w:rPr>
      </w:r>
      <w:r>
        <w:rPr>
          <w:noProof/>
        </w:rPr>
        <w:fldChar w:fldCharType="separate"/>
      </w:r>
      <w:r>
        <w:rPr>
          <w:noProof/>
        </w:rPr>
        <w:t>51</w:t>
      </w:r>
      <w:r>
        <w:rPr>
          <w:noProof/>
        </w:rPr>
        <w:fldChar w:fldCharType="end"/>
      </w:r>
    </w:p>
    <w:p w14:paraId="18A1B972" w14:textId="431A8A5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Die CDZ als Aufsichtsbehörde</w:t>
      </w:r>
      <w:r>
        <w:rPr>
          <w:noProof/>
        </w:rPr>
        <w:tab/>
      </w:r>
      <w:r>
        <w:rPr>
          <w:noProof/>
        </w:rPr>
        <w:fldChar w:fldCharType="begin"/>
      </w:r>
      <w:r>
        <w:rPr>
          <w:noProof/>
        </w:rPr>
        <w:instrText xml:space="preserve"> PAGEREF _Toc242103089 \h </w:instrText>
      </w:r>
      <w:r>
        <w:rPr>
          <w:noProof/>
        </w:rPr>
      </w:r>
      <w:r>
        <w:rPr>
          <w:noProof/>
        </w:rPr>
        <w:fldChar w:fldCharType="separate"/>
      </w:r>
      <w:r>
        <w:rPr>
          <w:noProof/>
        </w:rPr>
        <w:t>51</w:t>
      </w:r>
      <w:r>
        <w:rPr>
          <w:noProof/>
        </w:rPr>
        <w:fldChar w:fldCharType="end"/>
      </w:r>
    </w:p>
    <w:p w14:paraId="0F541C3D" w14:textId="517AEF0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Die Arbeitsaufsichtsbehörde: Wer kontrolliert den Kontrolleur?</w:t>
      </w:r>
      <w:r>
        <w:rPr>
          <w:noProof/>
        </w:rPr>
        <w:tab/>
      </w:r>
      <w:r>
        <w:rPr>
          <w:noProof/>
        </w:rPr>
        <w:fldChar w:fldCharType="begin"/>
      </w:r>
      <w:r>
        <w:rPr>
          <w:noProof/>
        </w:rPr>
        <w:instrText xml:space="preserve"> PAGEREF _Toc242103090 \h </w:instrText>
      </w:r>
      <w:r>
        <w:rPr>
          <w:noProof/>
        </w:rPr>
      </w:r>
      <w:r>
        <w:rPr>
          <w:noProof/>
        </w:rPr>
        <w:fldChar w:fldCharType="separate"/>
      </w:r>
      <w:r>
        <w:rPr>
          <w:noProof/>
        </w:rPr>
        <w:t>52</w:t>
      </w:r>
      <w:r>
        <w:rPr>
          <w:noProof/>
        </w:rPr>
        <w:fldChar w:fldCharType="end"/>
      </w:r>
    </w:p>
    <w:p w14:paraId="28CC1120" w14:textId="2C3D184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F – Die Ärztekammer: Disziplinarverfahren gegen den beratenden Arzt</w:t>
      </w:r>
      <w:r>
        <w:rPr>
          <w:noProof/>
        </w:rPr>
        <w:tab/>
      </w:r>
      <w:r>
        <w:rPr>
          <w:noProof/>
        </w:rPr>
        <w:fldChar w:fldCharType="begin"/>
      </w:r>
      <w:r>
        <w:rPr>
          <w:noProof/>
        </w:rPr>
        <w:instrText xml:space="preserve"> PAGEREF _Toc242103091 \h </w:instrText>
      </w:r>
      <w:r>
        <w:rPr>
          <w:noProof/>
        </w:rPr>
      </w:r>
      <w:r>
        <w:rPr>
          <w:noProof/>
        </w:rPr>
        <w:fldChar w:fldCharType="separate"/>
      </w:r>
      <w:r>
        <w:rPr>
          <w:noProof/>
        </w:rPr>
        <w:t>52</w:t>
      </w:r>
      <w:r>
        <w:rPr>
          <w:noProof/>
        </w:rPr>
        <w:fldChar w:fldCharType="end"/>
      </w:r>
    </w:p>
    <w:p w14:paraId="37B9BE9C" w14:textId="776F9E6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G – Was in diesem Kapitel festgelegt wird</w:t>
      </w:r>
      <w:r>
        <w:rPr>
          <w:noProof/>
        </w:rPr>
        <w:tab/>
      </w:r>
      <w:r>
        <w:rPr>
          <w:noProof/>
        </w:rPr>
        <w:fldChar w:fldCharType="begin"/>
      </w:r>
      <w:r>
        <w:rPr>
          <w:noProof/>
        </w:rPr>
        <w:instrText xml:space="preserve"> PAGEREF _Toc242103092 \h </w:instrText>
      </w:r>
      <w:r>
        <w:rPr>
          <w:noProof/>
        </w:rPr>
      </w:r>
      <w:r>
        <w:rPr>
          <w:noProof/>
        </w:rPr>
        <w:fldChar w:fldCharType="separate"/>
      </w:r>
      <w:r>
        <w:rPr>
          <w:noProof/>
        </w:rPr>
        <w:t>53</w:t>
      </w:r>
      <w:r>
        <w:rPr>
          <w:noProof/>
        </w:rPr>
        <w:fldChar w:fldCharType="end"/>
      </w:r>
    </w:p>
    <w:p w14:paraId="6BD2332C" w14:textId="504B24F4"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III. Niederlande</w:t>
      </w:r>
      <w:r>
        <w:rPr>
          <w:noProof/>
        </w:rPr>
        <w:tab/>
      </w:r>
      <w:r>
        <w:rPr>
          <w:noProof/>
        </w:rPr>
        <w:fldChar w:fldCharType="begin"/>
      </w:r>
      <w:r>
        <w:rPr>
          <w:noProof/>
        </w:rPr>
        <w:instrText xml:space="preserve"> PAGEREF _Toc242103093 \h </w:instrText>
      </w:r>
      <w:r>
        <w:rPr>
          <w:noProof/>
        </w:rPr>
      </w:r>
      <w:r>
        <w:rPr>
          <w:noProof/>
        </w:rPr>
        <w:fldChar w:fldCharType="separate"/>
      </w:r>
      <w:r>
        <w:rPr>
          <w:noProof/>
        </w:rPr>
        <w:t>55</w:t>
      </w:r>
      <w:r>
        <w:rPr>
          <w:noProof/>
        </w:rPr>
        <w:fldChar w:fldCharType="end"/>
      </w:r>
    </w:p>
    <w:p w14:paraId="7A020A47" w14:textId="28FFA5F8"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UWV und die Mühle der Einsprüche</w:t>
      </w:r>
      <w:r>
        <w:rPr>
          <w:noProof/>
        </w:rPr>
        <w:tab/>
      </w:r>
      <w:r>
        <w:rPr>
          <w:noProof/>
        </w:rPr>
        <w:fldChar w:fldCharType="begin"/>
      </w:r>
      <w:r>
        <w:rPr>
          <w:noProof/>
        </w:rPr>
        <w:instrText xml:space="preserve"> PAGEREF _Toc242103094 \h </w:instrText>
      </w:r>
      <w:r>
        <w:rPr>
          <w:noProof/>
        </w:rPr>
      </w:r>
      <w:r>
        <w:rPr>
          <w:noProof/>
        </w:rPr>
        <w:fldChar w:fldCharType="separate"/>
      </w:r>
      <w:r>
        <w:rPr>
          <w:noProof/>
        </w:rPr>
        <w:t>55</w:t>
      </w:r>
      <w:r>
        <w:rPr>
          <w:noProof/>
        </w:rPr>
        <w:fldChar w:fldCharType="end"/>
      </w:r>
    </w:p>
    <w:p w14:paraId="3B514A31" w14:textId="248BD31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Sechs Runden beim UWV</w:t>
      </w:r>
      <w:r>
        <w:rPr>
          <w:noProof/>
        </w:rPr>
        <w:tab/>
      </w:r>
      <w:r>
        <w:rPr>
          <w:noProof/>
        </w:rPr>
        <w:fldChar w:fldCharType="begin"/>
      </w:r>
      <w:r>
        <w:rPr>
          <w:noProof/>
        </w:rPr>
        <w:instrText xml:space="preserve"> PAGEREF _Toc242103095 \h </w:instrText>
      </w:r>
      <w:r>
        <w:rPr>
          <w:noProof/>
        </w:rPr>
      </w:r>
      <w:r>
        <w:rPr>
          <w:noProof/>
        </w:rPr>
        <w:fldChar w:fldCharType="separate"/>
      </w:r>
      <w:r>
        <w:rPr>
          <w:noProof/>
        </w:rPr>
        <w:t>55</w:t>
      </w:r>
      <w:r>
        <w:rPr>
          <w:noProof/>
        </w:rPr>
        <w:fldChar w:fldCharType="end"/>
      </w:r>
    </w:p>
    <w:p w14:paraId="38981224" w14:textId="03C8F73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LfA und das C4-Formular</w:t>
      </w:r>
      <w:r>
        <w:rPr>
          <w:noProof/>
        </w:rPr>
        <w:tab/>
      </w:r>
      <w:r>
        <w:rPr>
          <w:noProof/>
        </w:rPr>
        <w:fldChar w:fldCharType="begin"/>
      </w:r>
      <w:r>
        <w:rPr>
          <w:noProof/>
        </w:rPr>
        <w:instrText xml:space="preserve"> PAGEREF _Toc242103096 \h </w:instrText>
      </w:r>
      <w:r>
        <w:rPr>
          <w:noProof/>
        </w:rPr>
      </w:r>
      <w:r>
        <w:rPr>
          <w:noProof/>
        </w:rPr>
        <w:fldChar w:fldCharType="separate"/>
      </w:r>
      <w:r>
        <w:rPr>
          <w:noProof/>
        </w:rPr>
        <w:t>55</w:t>
      </w:r>
      <w:r>
        <w:rPr>
          <w:noProof/>
        </w:rPr>
        <w:fldChar w:fldCharType="end"/>
      </w:r>
    </w:p>
    <w:p w14:paraId="3CFCCED6" w14:textId="24871F2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Weigerung, ausländische Daten zu synchronisieren</w:t>
      </w:r>
      <w:r>
        <w:rPr>
          <w:noProof/>
        </w:rPr>
        <w:tab/>
      </w:r>
      <w:r>
        <w:rPr>
          <w:noProof/>
        </w:rPr>
        <w:fldChar w:fldCharType="begin"/>
      </w:r>
      <w:r>
        <w:rPr>
          <w:noProof/>
        </w:rPr>
        <w:instrText xml:space="preserve"> PAGEREF _Toc242103097 \h </w:instrText>
      </w:r>
      <w:r>
        <w:rPr>
          <w:noProof/>
        </w:rPr>
      </w:r>
      <w:r>
        <w:rPr>
          <w:noProof/>
        </w:rPr>
        <w:fldChar w:fldCharType="separate"/>
      </w:r>
      <w:r>
        <w:rPr>
          <w:noProof/>
        </w:rPr>
        <w:t>56</w:t>
      </w:r>
      <w:r>
        <w:rPr>
          <w:noProof/>
        </w:rPr>
        <w:fldChar w:fldCharType="end"/>
      </w:r>
    </w:p>
    <w:p w14:paraId="4997C6D3" w14:textId="5751C79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Das Muster: Ablehnung aus verfahrensrechtlichen Gründen</w:t>
      </w:r>
      <w:r>
        <w:rPr>
          <w:noProof/>
        </w:rPr>
        <w:tab/>
      </w:r>
      <w:r>
        <w:rPr>
          <w:noProof/>
        </w:rPr>
        <w:fldChar w:fldCharType="begin"/>
      </w:r>
      <w:r>
        <w:rPr>
          <w:noProof/>
        </w:rPr>
        <w:instrText xml:space="preserve"> PAGEREF _Toc242103098 \h </w:instrText>
      </w:r>
      <w:r>
        <w:rPr>
          <w:noProof/>
        </w:rPr>
      </w:r>
      <w:r>
        <w:rPr>
          <w:noProof/>
        </w:rPr>
        <w:fldChar w:fldCharType="separate"/>
      </w:r>
      <w:r>
        <w:rPr>
          <w:noProof/>
        </w:rPr>
        <w:t>57</w:t>
      </w:r>
      <w:r>
        <w:rPr>
          <w:noProof/>
        </w:rPr>
        <w:fldChar w:fldCharType="end"/>
      </w:r>
    </w:p>
    <w:p w14:paraId="5EB379BF" w14:textId="05EF34C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Die Ablehnungsgründe im Überblick</w:t>
      </w:r>
      <w:r>
        <w:rPr>
          <w:noProof/>
        </w:rPr>
        <w:tab/>
      </w:r>
      <w:r>
        <w:rPr>
          <w:noProof/>
        </w:rPr>
        <w:fldChar w:fldCharType="begin"/>
      </w:r>
      <w:r>
        <w:rPr>
          <w:noProof/>
        </w:rPr>
        <w:instrText xml:space="preserve"> PAGEREF _Toc242103099 \h </w:instrText>
      </w:r>
      <w:r>
        <w:rPr>
          <w:noProof/>
        </w:rPr>
      </w:r>
      <w:r>
        <w:rPr>
          <w:noProof/>
        </w:rPr>
        <w:fldChar w:fldCharType="separate"/>
      </w:r>
      <w:r>
        <w:rPr>
          <w:noProof/>
        </w:rPr>
        <w:t>57</w:t>
      </w:r>
      <w:r>
        <w:rPr>
          <w:noProof/>
        </w:rPr>
        <w:fldChar w:fldCharType="end"/>
      </w:r>
    </w:p>
    <w:p w14:paraId="26528036" w14:textId="458E94D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F – Die beiden Einwände im Einzelnen</w:t>
      </w:r>
      <w:r>
        <w:rPr>
          <w:noProof/>
        </w:rPr>
        <w:tab/>
      </w:r>
      <w:r>
        <w:rPr>
          <w:noProof/>
        </w:rPr>
        <w:fldChar w:fldCharType="begin"/>
      </w:r>
      <w:r>
        <w:rPr>
          <w:noProof/>
        </w:rPr>
        <w:instrText xml:space="preserve"> PAGEREF _Toc242103100 \h </w:instrText>
      </w:r>
      <w:r>
        <w:rPr>
          <w:noProof/>
        </w:rPr>
      </w:r>
      <w:r>
        <w:rPr>
          <w:noProof/>
        </w:rPr>
        <w:fldChar w:fldCharType="separate"/>
      </w:r>
      <w:r>
        <w:rPr>
          <w:noProof/>
        </w:rPr>
        <w:t>58</w:t>
      </w:r>
      <w:r>
        <w:rPr>
          <w:noProof/>
        </w:rPr>
        <w:fldChar w:fldCharType="end"/>
      </w:r>
    </w:p>
    <w:p w14:paraId="460D59B4" w14:textId="5ED21DA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G – Was in diesem Kapitel festgelegt wird</w:t>
      </w:r>
      <w:r>
        <w:rPr>
          <w:noProof/>
        </w:rPr>
        <w:tab/>
      </w:r>
      <w:r>
        <w:rPr>
          <w:noProof/>
        </w:rPr>
        <w:fldChar w:fldCharType="begin"/>
      </w:r>
      <w:r>
        <w:rPr>
          <w:noProof/>
        </w:rPr>
        <w:instrText xml:space="preserve"> PAGEREF _Toc242103101 \h </w:instrText>
      </w:r>
      <w:r>
        <w:rPr>
          <w:noProof/>
        </w:rPr>
      </w:r>
      <w:r>
        <w:rPr>
          <w:noProof/>
        </w:rPr>
        <w:fldChar w:fldCharType="separate"/>
      </w:r>
      <w:r>
        <w:rPr>
          <w:noProof/>
        </w:rPr>
        <w:t>58</w:t>
      </w:r>
      <w:r>
        <w:rPr>
          <w:noProof/>
        </w:rPr>
        <w:fldChar w:fldCharType="end"/>
      </w:r>
    </w:p>
    <w:p w14:paraId="0937302D" w14:textId="6D583488"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CZ – Die zwei Gesichter des Torwächters</w:t>
      </w:r>
      <w:r>
        <w:rPr>
          <w:noProof/>
        </w:rPr>
        <w:tab/>
      </w:r>
      <w:r>
        <w:rPr>
          <w:noProof/>
        </w:rPr>
        <w:fldChar w:fldCharType="begin"/>
      </w:r>
      <w:r>
        <w:rPr>
          <w:noProof/>
        </w:rPr>
        <w:instrText xml:space="preserve"> PAGEREF _Toc242103102 \h </w:instrText>
      </w:r>
      <w:r>
        <w:rPr>
          <w:noProof/>
        </w:rPr>
      </w:r>
      <w:r>
        <w:rPr>
          <w:noProof/>
        </w:rPr>
        <w:fldChar w:fldCharType="separate"/>
      </w:r>
      <w:r>
        <w:rPr>
          <w:noProof/>
        </w:rPr>
        <w:t>60</w:t>
      </w:r>
      <w:r>
        <w:rPr>
          <w:noProof/>
        </w:rPr>
        <w:fldChar w:fldCharType="end"/>
      </w:r>
    </w:p>
    <w:p w14:paraId="253FE366" w14:textId="423F3BA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Geschichte 1 – Die Vertragspolice und der Gesundheitszuschlag</w:t>
      </w:r>
      <w:r>
        <w:rPr>
          <w:noProof/>
        </w:rPr>
        <w:tab/>
      </w:r>
      <w:r>
        <w:rPr>
          <w:noProof/>
        </w:rPr>
        <w:fldChar w:fldCharType="begin"/>
      </w:r>
      <w:r>
        <w:rPr>
          <w:noProof/>
        </w:rPr>
        <w:instrText xml:space="preserve"> PAGEREF _Toc242103103 \h </w:instrText>
      </w:r>
      <w:r>
        <w:rPr>
          <w:noProof/>
        </w:rPr>
      </w:r>
      <w:r>
        <w:rPr>
          <w:noProof/>
        </w:rPr>
        <w:fldChar w:fldCharType="separate"/>
      </w:r>
      <w:r>
        <w:rPr>
          <w:noProof/>
        </w:rPr>
        <w:t>60</w:t>
      </w:r>
      <w:r>
        <w:rPr>
          <w:noProof/>
        </w:rPr>
        <w:fldChar w:fldCharType="end"/>
      </w:r>
    </w:p>
    <w:p w14:paraId="1F038A9C" w14:textId="6F38EFBA"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Geschichte 1bis – Die Kette der Blockade: CZ, CAK, ZIN</w:t>
      </w:r>
      <w:r>
        <w:rPr>
          <w:noProof/>
        </w:rPr>
        <w:tab/>
      </w:r>
      <w:r>
        <w:rPr>
          <w:noProof/>
        </w:rPr>
        <w:fldChar w:fldCharType="begin"/>
      </w:r>
      <w:r>
        <w:rPr>
          <w:noProof/>
        </w:rPr>
        <w:instrText xml:space="preserve"> PAGEREF _Toc242103104 \h </w:instrText>
      </w:r>
      <w:r>
        <w:rPr>
          <w:noProof/>
        </w:rPr>
      </w:r>
      <w:r>
        <w:rPr>
          <w:noProof/>
        </w:rPr>
        <w:fldChar w:fldCharType="separate"/>
      </w:r>
      <w:r>
        <w:rPr>
          <w:noProof/>
        </w:rPr>
        <w:t>61</w:t>
      </w:r>
      <w:r>
        <w:rPr>
          <w:noProof/>
        </w:rPr>
        <w:fldChar w:fldCharType="end"/>
      </w:r>
    </w:p>
    <w:p w14:paraId="65E9523E" w14:textId="5AFC1D9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Geschichte 2 – Der Krankentransport</w:t>
      </w:r>
      <w:r>
        <w:rPr>
          <w:noProof/>
        </w:rPr>
        <w:tab/>
      </w:r>
      <w:r>
        <w:rPr>
          <w:noProof/>
        </w:rPr>
        <w:fldChar w:fldCharType="begin"/>
      </w:r>
      <w:r>
        <w:rPr>
          <w:noProof/>
        </w:rPr>
        <w:instrText xml:space="preserve"> PAGEREF _Toc242103105 \h </w:instrText>
      </w:r>
      <w:r>
        <w:rPr>
          <w:noProof/>
        </w:rPr>
      </w:r>
      <w:r>
        <w:rPr>
          <w:noProof/>
        </w:rPr>
        <w:fldChar w:fldCharType="separate"/>
      </w:r>
      <w:r>
        <w:rPr>
          <w:noProof/>
        </w:rPr>
        <w:t>62</w:t>
      </w:r>
      <w:r>
        <w:rPr>
          <w:noProof/>
        </w:rPr>
        <w:fldChar w:fldCharType="end"/>
      </w:r>
    </w:p>
    <w:p w14:paraId="430510FB" w14:textId="6DBAFAF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Parallele: CZ und CM</w:t>
      </w:r>
      <w:r>
        <w:rPr>
          <w:noProof/>
        </w:rPr>
        <w:tab/>
      </w:r>
      <w:r>
        <w:rPr>
          <w:noProof/>
        </w:rPr>
        <w:fldChar w:fldCharType="begin"/>
      </w:r>
      <w:r>
        <w:rPr>
          <w:noProof/>
        </w:rPr>
        <w:instrText xml:space="preserve"> PAGEREF _Toc242103106 \h </w:instrText>
      </w:r>
      <w:r>
        <w:rPr>
          <w:noProof/>
        </w:rPr>
      </w:r>
      <w:r>
        <w:rPr>
          <w:noProof/>
        </w:rPr>
        <w:fldChar w:fldCharType="separate"/>
      </w:r>
      <w:r>
        <w:rPr>
          <w:noProof/>
        </w:rPr>
        <w:t>63</w:t>
      </w:r>
      <w:r>
        <w:rPr>
          <w:noProof/>
        </w:rPr>
        <w:fldChar w:fldCharType="end"/>
      </w:r>
    </w:p>
    <w:p w14:paraId="34693BB6" w14:textId="2BFFFE1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Was das bringt</w:t>
      </w:r>
      <w:r>
        <w:rPr>
          <w:noProof/>
        </w:rPr>
        <w:tab/>
      </w:r>
      <w:r>
        <w:rPr>
          <w:noProof/>
        </w:rPr>
        <w:fldChar w:fldCharType="begin"/>
      </w:r>
      <w:r>
        <w:rPr>
          <w:noProof/>
        </w:rPr>
        <w:instrText xml:space="preserve"> PAGEREF _Toc242103107 \h </w:instrText>
      </w:r>
      <w:r>
        <w:rPr>
          <w:noProof/>
        </w:rPr>
      </w:r>
      <w:r>
        <w:rPr>
          <w:noProof/>
        </w:rPr>
        <w:fldChar w:fldCharType="separate"/>
      </w:r>
      <w:r>
        <w:rPr>
          <w:noProof/>
        </w:rPr>
        <w:t>63</w:t>
      </w:r>
      <w:r>
        <w:rPr>
          <w:noProof/>
        </w:rPr>
        <w:fldChar w:fldCharType="end"/>
      </w:r>
    </w:p>
    <w:p w14:paraId="44247661" w14:textId="59C9D7CA"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Gemeinde Hulst-Treppe</w:t>
      </w:r>
      <w:r>
        <w:rPr>
          <w:noProof/>
        </w:rPr>
        <w:tab/>
      </w:r>
      <w:r>
        <w:rPr>
          <w:noProof/>
        </w:rPr>
        <w:fldChar w:fldCharType="begin"/>
      </w:r>
      <w:r>
        <w:rPr>
          <w:noProof/>
        </w:rPr>
        <w:instrText xml:space="preserve"> PAGEREF _Toc242103108 \h </w:instrText>
      </w:r>
      <w:r>
        <w:rPr>
          <w:noProof/>
        </w:rPr>
      </w:r>
      <w:r>
        <w:rPr>
          <w:noProof/>
        </w:rPr>
        <w:fldChar w:fldCharType="separate"/>
      </w:r>
      <w:r>
        <w:rPr>
          <w:noProof/>
        </w:rPr>
        <w:t>65</w:t>
      </w:r>
      <w:r>
        <w:rPr>
          <w:noProof/>
        </w:rPr>
        <w:fldChar w:fldCharType="end"/>
      </w:r>
    </w:p>
    <w:p w14:paraId="45DE4918" w14:textId="1C9CB22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Gemeinde als erste Anlaufstelle, die nicht hilft</w:t>
      </w:r>
      <w:r>
        <w:rPr>
          <w:noProof/>
        </w:rPr>
        <w:tab/>
      </w:r>
      <w:r>
        <w:rPr>
          <w:noProof/>
        </w:rPr>
        <w:fldChar w:fldCharType="begin"/>
      </w:r>
      <w:r>
        <w:rPr>
          <w:noProof/>
        </w:rPr>
        <w:instrText xml:space="preserve"> PAGEREF _Toc242103109 \h </w:instrText>
      </w:r>
      <w:r>
        <w:rPr>
          <w:noProof/>
        </w:rPr>
      </w:r>
      <w:r>
        <w:rPr>
          <w:noProof/>
        </w:rPr>
        <w:fldChar w:fldCharType="separate"/>
      </w:r>
      <w:r>
        <w:rPr>
          <w:noProof/>
        </w:rPr>
        <w:t>65</w:t>
      </w:r>
      <w:r>
        <w:rPr>
          <w:noProof/>
        </w:rPr>
        <w:fldChar w:fldCharType="end"/>
      </w:r>
    </w:p>
    <w:p w14:paraId="7BA70019" w14:textId="3A0C974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Das laufende Widerspruchsverfahren</w:t>
      </w:r>
      <w:r>
        <w:rPr>
          <w:noProof/>
        </w:rPr>
        <w:tab/>
      </w:r>
      <w:r>
        <w:rPr>
          <w:noProof/>
        </w:rPr>
        <w:fldChar w:fldCharType="begin"/>
      </w:r>
      <w:r>
        <w:rPr>
          <w:noProof/>
        </w:rPr>
        <w:instrText xml:space="preserve"> PAGEREF _Toc242103110 \h </w:instrText>
      </w:r>
      <w:r>
        <w:rPr>
          <w:noProof/>
        </w:rPr>
      </w:r>
      <w:r>
        <w:rPr>
          <w:noProof/>
        </w:rPr>
        <w:fldChar w:fldCharType="separate"/>
      </w:r>
      <w:r>
        <w:rPr>
          <w:noProof/>
        </w:rPr>
        <w:t>66</w:t>
      </w:r>
      <w:r>
        <w:rPr>
          <w:noProof/>
        </w:rPr>
        <w:fldChar w:fldCharType="end"/>
      </w:r>
    </w:p>
    <w:p w14:paraId="50BBABE1" w14:textId="2064567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Rechenmodelle, die die Realität nicht erfassen</w:t>
      </w:r>
      <w:r>
        <w:rPr>
          <w:noProof/>
        </w:rPr>
        <w:tab/>
      </w:r>
      <w:r>
        <w:rPr>
          <w:noProof/>
        </w:rPr>
        <w:fldChar w:fldCharType="begin"/>
      </w:r>
      <w:r>
        <w:rPr>
          <w:noProof/>
        </w:rPr>
        <w:instrText xml:space="preserve"> PAGEREF _Toc242103111 \h </w:instrText>
      </w:r>
      <w:r>
        <w:rPr>
          <w:noProof/>
        </w:rPr>
      </w:r>
      <w:r>
        <w:rPr>
          <w:noProof/>
        </w:rPr>
        <w:fldChar w:fldCharType="separate"/>
      </w:r>
      <w:r>
        <w:rPr>
          <w:noProof/>
        </w:rPr>
        <w:t>66</w:t>
      </w:r>
      <w:r>
        <w:rPr>
          <w:noProof/>
        </w:rPr>
        <w:fldChar w:fldCharType="end"/>
      </w:r>
    </w:p>
    <w:p w14:paraId="4ABDA6B0" w14:textId="7641E2B2"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Die Mobilitätskapriolen</w:t>
      </w:r>
      <w:r>
        <w:rPr>
          <w:noProof/>
        </w:rPr>
        <w:tab/>
      </w:r>
      <w:r>
        <w:rPr>
          <w:noProof/>
        </w:rPr>
        <w:fldChar w:fldCharType="begin"/>
      </w:r>
      <w:r>
        <w:rPr>
          <w:noProof/>
        </w:rPr>
        <w:instrText xml:space="preserve"> PAGEREF _Toc242103112 \h </w:instrText>
      </w:r>
      <w:r>
        <w:rPr>
          <w:noProof/>
        </w:rPr>
      </w:r>
      <w:r>
        <w:rPr>
          <w:noProof/>
        </w:rPr>
        <w:fldChar w:fldCharType="separate"/>
      </w:r>
      <w:r>
        <w:rPr>
          <w:noProof/>
        </w:rPr>
        <w:t>67</w:t>
      </w:r>
      <w:r>
        <w:rPr>
          <w:noProof/>
        </w:rPr>
        <w:fldChar w:fldCharType="end"/>
      </w:r>
    </w:p>
    <w:p w14:paraId="68B08082" w14:textId="072A3D9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Die Obergrenzen für den Wmo-Beförderungsdienst</w:t>
      </w:r>
      <w:r>
        <w:rPr>
          <w:noProof/>
        </w:rPr>
        <w:tab/>
      </w:r>
      <w:r>
        <w:rPr>
          <w:noProof/>
        </w:rPr>
        <w:fldChar w:fldCharType="begin"/>
      </w:r>
      <w:r>
        <w:rPr>
          <w:noProof/>
        </w:rPr>
        <w:instrText xml:space="preserve"> PAGEREF _Toc242103113 \h </w:instrText>
      </w:r>
      <w:r>
        <w:rPr>
          <w:noProof/>
        </w:rPr>
      </w:r>
      <w:r>
        <w:rPr>
          <w:noProof/>
        </w:rPr>
        <w:fldChar w:fldCharType="separate"/>
      </w:r>
      <w:r>
        <w:rPr>
          <w:noProof/>
        </w:rPr>
        <w:t>68</w:t>
      </w:r>
      <w:r>
        <w:rPr>
          <w:noProof/>
        </w:rPr>
        <w:fldChar w:fldCharType="end"/>
      </w:r>
    </w:p>
    <w:p w14:paraId="563EDB82" w14:textId="30B88C60"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F – Das Muster wiederholt sich</w:t>
      </w:r>
      <w:r>
        <w:rPr>
          <w:noProof/>
        </w:rPr>
        <w:tab/>
      </w:r>
      <w:r>
        <w:rPr>
          <w:noProof/>
        </w:rPr>
        <w:fldChar w:fldCharType="begin"/>
      </w:r>
      <w:r>
        <w:rPr>
          <w:noProof/>
        </w:rPr>
        <w:instrText xml:space="preserve"> PAGEREF _Toc242103114 \h </w:instrText>
      </w:r>
      <w:r>
        <w:rPr>
          <w:noProof/>
        </w:rPr>
      </w:r>
      <w:r>
        <w:rPr>
          <w:noProof/>
        </w:rPr>
        <w:fldChar w:fldCharType="separate"/>
      </w:r>
      <w:r>
        <w:rPr>
          <w:noProof/>
        </w:rPr>
        <w:t>68</w:t>
      </w:r>
      <w:r>
        <w:rPr>
          <w:noProof/>
        </w:rPr>
        <w:fldChar w:fldCharType="end"/>
      </w:r>
    </w:p>
    <w:p w14:paraId="4477F3BA" w14:textId="3308557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die Gemeinde hätte sein sollen</w:t>
      </w:r>
      <w:r>
        <w:rPr>
          <w:noProof/>
        </w:rPr>
        <w:tab/>
      </w:r>
      <w:r>
        <w:rPr>
          <w:noProof/>
        </w:rPr>
        <w:fldChar w:fldCharType="begin"/>
      </w:r>
      <w:r>
        <w:rPr>
          <w:noProof/>
        </w:rPr>
        <w:instrText xml:space="preserve"> PAGEREF _Toc242103115 \h </w:instrText>
      </w:r>
      <w:r>
        <w:rPr>
          <w:noProof/>
        </w:rPr>
      </w:r>
      <w:r>
        <w:rPr>
          <w:noProof/>
        </w:rPr>
        <w:fldChar w:fldCharType="separate"/>
      </w:r>
      <w:r>
        <w:rPr>
          <w:noProof/>
        </w:rPr>
        <w:t>69</w:t>
      </w:r>
      <w:r>
        <w:rPr>
          <w:noProof/>
        </w:rPr>
        <w:fldChar w:fldCharType="end"/>
      </w:r>
    </w:p>
    <w:p w14:paraId="48CDF6D1" w14:textId="47D1DF9C"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Finanzamt und Zulagen</w:t>
      </w:r>
      <w:r>
        <w:rPr>
          <w:noProof/>
        </w:rPr>
        <w:tab/>
      </w:r>
      <w:r>
        <w:rPr>
          <w:noProof/>
        </w:rPr>
        <w:fldChar w:fldCharType="begin"/>
      </w:r>
      <w:r>
        <w:rPr>
          <w:noProof/>
        </w:rPr>
        <w:instrText xml:space="preserve"> PAGEREF _Toc242103116 \h </w:instrText>
      </w:r>
      <w:r>
        <w:rPr>
          <w:noProof/>
        </w:rPr>
      </w:r>
      <w:r>
        <w:rPr>
          <w:noProof/>
        </w:rPr>
        <w:fldChar w:fldCharType="separate"/>
      </w:r>
      <w:r>
        <w:rPr>
          <w:noProof/>
        </w:rPr>
        <w:t>71</w:t>
      </w:r>
      <w:r>
        <w:rPr>
          <w:noProof/>
        </w:rPr>
        <w:fldChar w:fldCharType="end"/>
      </w:r>
    </w:p>
    <w:p w14:paraId="20829E5F" w14:textId="6B3EF75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drei Zulagen</w:t>
      </w:r>
      <w:r>
        <w:rPr>
          <w:noProof/>
        </w:rPr>
        <w:tab/>
      </w:r>
      <w:r>
        <w:rPr>
          <w:noProof/>
        </w:rPr>
        <w:fldChar w:fldCharType="begin"/>
      </w:r>
      <w:r>
        <w:rPr>
          <w:noProof/>
        </w:rPr>
        <w:instrText xml:space="preserve"> PAGEREF _Toc242103117 \h </w:instrText>
      </w:r>
      <w:r>
        <w:rPr>
          <w:noProof/>
        </w:rPr>
      </w:r>
      <w:r>
        <w:rPr>
          <w:noProof/>
        </w:rPr>
        <w:fldChar w:fldCharType="separate"/>
      </w:r>
      <w:r>
        <w:rPr>
          <w:noProof/>
        </w:rPr>
        <w:t>71</w:t>
      </w:r>
      <w:r>
        <w:rPr>
          <w:noProof/>
        </w:rPr>
        <w:fldChar w:fldCharType="end"/>
      </w:r>
    </w:p>
    <w:p w14:paraId="4E02724F" w14:textId="7C49E73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dahinterstehende Mechanik</w:t>
      </w:r>
      <w:r>
        <w:rPr>
          <w:noProof/>
        </w:rPr>
        <w:tab/>
      </w:r>
      <w:r>
        <w:rPr>
          <w:noProof/>
        </w:rPr>
        <w:fldChar w:fldCharType="begin"/>
      </w:r>
      <w:r>
        <w:rPr>
          <w:noProof/>
        </w:rPr>
        <w:instrText xml:space="preserve"> PAGEREF _Toc242103118 \h </w:instrText>
      </w:r>
      <w:r>
        <w:rPr>
          <w:noProof/>
        </w:rPr>
      </w:r>
      <w:r>
        <w:rPr>
          <w:noProof/>
        </w:rPr>
        <w:fldChar w:fldCharType="separate"/>
      </w:r>
      <w:r>
        <w:rPr>
          <w:noProof/>
        </w:rPr>
        <w:t>71</w:t>
      </w:r>
      <w:r>
        <w:rPr>
          <w:noProof/>
        </w:rPr>
        <w:fldChar w:fldCharType="end"/>
      </w:r>
    </w:p>
    <w:p w14:paraId="4EE82BB2" w14:textId="7CD62D9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medizinischen Kosten, die auf null gesunken sind</w:t>
      </w:r>
      <w:r>
        <w:rPr>
          <w:noProof/>
        </w:rPr>
        <w:tab/>
      </w:r>
      <w:r>
        <w:rPr>
          <w:noProof/>
        </w:rPr>
        <w:fldChar w:fldCharType="begin"/>
      </w:r>
      <w:r>
        <w:rPr>
          <w:noProof/>
        </w:rPr>
        <w:instrText xml:space="preserve"> PAGEREF _Toc242103119 \h </w:instrText>
      </w:r>
      <w:r>
        <w:rPr>
          <w:noProof/>
        </w:rPr>
      </w:r>
      <w:r>
        <w:rPr>
          <w:noProof/>
        </w:rPr>
        <w:fldChar w:fldCharType="separate"/>
      </w:r>
      <w:r>
        <w:rPr>
          <w:noProof/>
        </w:rPr>
        <w:t>72</w:t>
      </w:r>
      <w:r>
        <w:rPr>
          <w:noProof/>
        </w:rPr>
        <w:fldChar w:fldCharType="end"/>
      </w:r>
    </w:p>
    <w:p w14:paraId="3BE13431" w14:textId="4499405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Die Verantwortung der Bürger</w:t>
      </w:r>
      <w:r>
        <w:rPr>
          <w:noProof/>
        </w:rPr>
        <w:tab/>
      </w:r>
      <w:r>
        <w:rPr>
          <w:noProof/>
        </w:rPr>
        <w:fldChar w:fldCharType="begin"/>
      </w:r>
      <w:r>
        <w:rPr>
          <w:noProof/>
        </w:rPr>
        <w:instrText xml:space="preserve"> PAGEREF _Toc242103120 \h </w:instrText>
      </w:r>
      <w:r>
        <w:rPr>
          <w:noProof/>
        </w:rPr>
      </w:r>
      <w:r>
        <w:rPr>
          <w:noProof/>
        </w:rPr>
        <w:fldChar w:fldCharType="separate"/>
      </w:r>
      <w:r>
        <w:rPr>
          <w:noProof/>
        </w:rPr>
        <w:t>73</w:t>
      </w:r>
      <w:r>
        <w:rPr>
          <w:noProof/>
        </w:rPr>
        <w:fldChar w:fldCharType="end"/>
      </w:r>
    </w:p>
    <w:p w14:paraId="499BFE30" w14:textId="01FAC8C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Was das bringt</w:t>
      </w:r>
      <w:r>
        <w:rPr>
          <w:noProof/>
        </w:rPr>
        <w:tab/>
      </w:r>
      <w:r>
        <w:rPr>
          <w:noProof/>
        </w:rPr>
        <w:fldChar w:fldCharType="begin"/>
      </w:r>
      <w:r>
        <w:rPr>
          <w:noProof/>
        </w:rPr>
        <w:instrText xml:space="preserve"> PAGEREF _Toc242103121 \h </w:instrText>
      </w:r>
      <w:r>
        <w:rPr>
          <w:noProof/>
        </w:rPr>
      </w:r>
      <w:r>
        <w:rPr>
          <w:noProof/>
        </w:rPr>
        <w:fldChar w:fldCharType="separate"/>
      </w:r>
      <w:r>
        <w:rPr>
          <w:noProof/>
        </w:rPr>
        <w:t>74</w:t>
      </w:r>
      <w:r>
        <w:rPr>
          <w:noProof/>
        </w:rPr>
        <w:fldChar w:fldCharType="end"/>
      </w:r>
    </w:p>
    <w:p w14:paraId="00734EBC" w14:textId="0337F6FC"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IV. Hin und her</w:t>
      </w:r>
      <w:r>
        <w:rPr>
          <w:noProof/>
        </w:rPr>
        <w:tab/>
      </w:r>
      <w:r>
        <w:rPr>
          <w:noProof/>
        </w:rPr>
        <w:fldChar w:fldCharType="begin"/>
      </w:r>
      <w:r>
        <w:rPr>
          <w:noProof/>
        </w:rPr>
        <w:instrText xml:space="preserve"> PAGEREF _Toc242103122 \h </w:instrText>
      </w:r>
      <w:r>
        <w:rPr>
          <w:noProof/>
        </w:rPr>
      </w:r>
      <w:r>
        <w:rPr>
          <w:noProof/>
        </w:rPr>
        <w:fldChar w:fldCharType="separate"/>
      </w:r>
      <w:r>
        <w:rPr>
          <w:noProof/>
        </w:rPr>
        <w:t>75</w:t>
      </w:r>
      <w:r>
        <w:rPr>
          <w:noProof/>
        </w:rPr>
        <w:fldChar w:fldCharType="end"/>
      </w:r>
    </w:p>
    <w:p w14:paraId="62A026DC" w14:textId="30D30189"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manuelle U1-Problem</w:t>
      </w:r>
      <w:r>
        <w:rPr>
          <w:noProof/>
        </w:rPr>
        <w:tab/>
      </w:r>
      <w:r>
        <w:rPr>
          <w:noProof/>
        </w:rPr>
        <w:fldChar w:fldCharType="begin"/>
      </w:r>
      <w:r>
        <w:rPr>
          <w:noProof/>
        </w:rPr>
        <w:instrText xml:space="preserve"> PAGEREF _Toc242103123 \h </w:instrText>
      </w:r>
      <w:r>
        <w:rPr>
          <w:noProof/>
        </w:rPr>
      </w:r>
      <w:r>
        <w:rPr>
          <w:noProof/>
        </w:rPr>
        <w:fldChar w:fldCharType="separate"/>
      </w:r>
      <w:r>
        <w:rPr>
          <w:noProof/>
        </w:rPr>
        <w:t>75</w:t>
      </w:r>
      <w:r>
        <w:rPr>
          <w:noProof/>
        </w:rPr>
        <w:fldChar w:fldCharType="end"/>
      </w:r>
    </w:p>
    <w:p w14:paraId="34FFB857" w14:textId="0652D23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beiden Richtungen</w:t>
      </w:r>
      <w:r>
        <w:rPr>
          <w:noProof/>
        </w:rPr>
        <w:tab/>
      </w:r>
      <w:r>
        <w:rPr>
          <w:noProof/>
        </w:rPr>
        <w:fldChar w:fldCharType="begin"/>
      </w:r>
      <w:r>
        <w:rPr>
          <w:noProof/>
        </w:rPr>
        <w:instrText xml:space="preserve"> PAGEREF _Toc242103124 \h </w:instrText>
      </w:r>
      <w:r>
        <w:rPr>
          <w:noProof/>
        </w:rPr>
      </w:r>
      <w:r>
        <w:rPr>
          <w:noProof/>
        </w:rPr>
        <w:fldChar w:fldCharType="separate"/>
      </w:r>
      <w:r>
        <w:rPr>
          <w:noProof/>
        </w:rPr>
        <w:t>75</w:t>
      </w:r>
      <w:r>
        <w:rPr>
          <w:noProof/>
        </w:rPr>
        <w:fldChar w:fldCharType="end"/>
      </w:r>
    </w:p>
    <w:p w14:paraId="514FAE8E" w14:textId="782B440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Richtung 1 – Von Belgien in die Niederlande</w:t>
      </w:r>
      <w:r>
        <w:rPr>
          <w:noProof/>
        </w:rPr>
        <w:tab/>
      </w:r>
      <w:r>
        <w:rPr>
          <w:noProof/>
        </w:rPr>
        <w:fldChar w:fldCharType="begin"/>
      </w:r>
      <w:r>
        <w:rPr>
          <w:noProof/>
        </w:rPr>
        <w:instrText xml:space="preserve"> PAGEREF _Toc242103125 \h </w:instrText>
      </w:r>
      <w:r>
        <w:rPr>
          <w:noProof/>
        </w:rPr>
      </w:r>
      <w:r>
        <w:rPr>
          <w:noProof/>
        </w:rPr>
        <w:fldChar w:fldCharType="separate"/>
      </w:r>
      <w:r>
        <w:rPr>
          <w:noProof/>
        </w:rPr>
        <w:t>75</w:t>
      </w:r>
      <w:r>
        <w:rPr>
          <w:noProof/>
        </w:rPr>
        <w:fldChar w:fldCharType="end"/>
      </w:r>
    </w:p>
    <w:p w14:paraId="78E86C54" w14:textId="5F4E750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Richtung 2 – Von den Niederlanden nach Belgien</w:t>
      </w:r>
      <w:r>
        <w:rPr>
          <w:noProof/>
        </w:rPr>
        <w:tab/>
      </w:r>
      <w:r>
        <w:rPr>
          <w:noProof/>
        </w:rPr>
        <w:fldChar w:fldCharType="begin"/>
      </w:r>
      <w:r>
        <w:rPr>
          <w:noProof/>
        </w:rPr>
        <w:instrText xml:space="preserve"> PAGEREF _Toc242103126 \h </w:instrText>
      </w:r>
      <w:r>
        <w:rPr>
          <w:noProof/>
        </w:rPr>
      </w:r>
      <w:r>
        <w:rPr>
          <w:noProof/>
        </w:rPr>
        <w:fldChar w:fldCharType="separate"/>
      </w:r>
      <w:r>
        <w:rPr>
          <w:noProof/>
        </w:rPr>
        <w:t>76</w:t>
      </w:r>
      <w:r>
        <w:rPr>
          <w:noProof/>
        </w:rPr>
        <w:fldChar w:fldCharType="end"/>
      </w:r>
    </w:p>
    <w:p w14:paraId="0790BE31" w14:textId="185DE1D0"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Muster</w:t>
      </w:r>
      <w:r>
        <w:rPr>
          <w:noProof/>
        </w:rPr>
        <w:tab/>
      </w:r>
      <w:r>
        <w:rPr>
          <w:noProof/>
        </w:rPr>
        <w:fldChar w:fldCharType="begin"/>
      </w:r>
      <w:r>
        <w:rPr>
          <w:noProof/>
        </w:rPr>
        <w:instrText xml:space="preserve"> PAGEREF _Toc242103127 \h </w:instrText>
      </w:r>
      <w:r>
        <w:rPr>
          <w:noProof/>
        </w:rPr>
      </w:r>
      <w:r>
        <w:rPr>
          <w:noProof/>
        </w:rPr>
        <w:fldChar w:fldCharType="separate"/>
      </w:r>
      <w:r>
        <w:rPr>
          <w:noProof/>
        </w:rPr>
        <w:t>76</w:t>
      </w:r>
      <w:r>
        <w:rPr>
          <w:noProof/>
        </w:rPr>
        <w:fldChar w:fldCharType="end"/>
      </w:r>
    </w:p>
    <w:p w14:paraId="56DD1206" w14:textId="3CA5788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ESSPASS im Jahr 2030 – was bleibt gleich</w:t>
      </w:r>
      <w:r>
        <w:rPr>
          <w:noProof/>
        </w:rPr>
        <w:tab/>
      </w:r>
      <w:r>
        <w:rPr>
          <w:noProof/>
        </w:rPr>
        <w:fldChar w:fldCharType="begin"/>
      </w:r>
      <w:r>
        <w:rPr>
          <w:noProof/>
        </w:rPr>
        <w:instrText xml:space="preserve"> PAGEREF _Toc242103128 \h </w:instrText>
      </w:r>
      <w:r>
        <w:rPr>
          <w:noProof/>
        </w:rPr>
      </w:r>
      <w:r>
        <w:rPr>
          <w:noProof/>
        </w:rPr>
        <w:fldChar w:fldCharType="separate"/>
      </w:r>
      <w:r>
        <w:rPr>
          <w:noProof/>
        </w:rPr>
        <w:t>77</w:t>
      </w:r>
      <w:r>
        <w:rPr>
          <w:noProof/>
        </w:rPr>
        <w:fldChar w:fldCharType="end"/>
      </w:r>
    </w:p>
    <w:p w14:paraId="7A09612B" w14:textId="22815C3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der ESSPASS löst und was nicht</w:t>
      </w:r>
      <w:r>
        <w:rPr>
          <w:noProof/>
        </w:rPr>
        <w:tab/>
      </w:r>
      <w:r>
        <w:rPr>
          <w:noProof/>
        </w:rPr>
        <w:fldChar w:fldCharType="begin"/>
      </w:r>
      <w:r>
        <w:rPr>
          <w:noProof/>
        </w:rPr>
        <w:instrText xml:space="preserve"> PAGEREF _Toc242103129 \h </w:instrText>
      </w:r>
      <w:r>
        <w:rPr>
          <w:noProof/>
        </w:rPr>
      </w:r>
      <w:r>
        <w:rPr>
          <w:noProof/>
        </w:rPr>
        <w:fldChar w:fldCharType="separate"/>
      </w:r>
      <w:r>
        <w:rPr>
          <w:noProof/>
        </w:rPr>
        <w:t>78</w:t>
      </w:r>
      <w:r>
        <w:rPr>
          <w:noProof/>
        </w:rPr>
        <w:fldChar w:fldCharType="end"/>
      </w:r>
    </w:p>
    <w:p w14:paraId="54E1AB87" w14:textId="7AF2A98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Warum dies eine Brücke zum niederländischen Teil ist</w:t>
      </w:r>
      <w:r>
        <w:rPr>
          <w:noProof/>
        </w:rPr>
        <w:tab/>
      </w:r>
      <w:r>
        <w:rPr>
          <w:noProof/>
        </w:rPr>
        <w:fldChar w:fldCharType="begin"/>
      </w:r>
      <w:r>
        <w:rPr>
          <w:noProof/>
        </w:rPr>
        <w:instrText xml:space="preserve"> PAGEREF _Toc242103130 \h </w:instrText>
      </w:r>
      <w:r>
        <w:rPr>
          <w:noProof/>
        </w:rPr>
      </w:r>
      <w:r>
        <w:rPr>
          <w:noProof/>
        </w:rPr>
        <w:fldChar w:fldCharType="separate"/>
      </w:r>
      <w:r>
        <w:rPr>
          <w:noProof/>
        </w:rPr>
        <w:t>79</w:t>
      </w:r>
      <w:r>
        <w:rPr>
          <w:noProof/>
        </w:rPr>
        <w:fldChar w:fldCharType="end"/>
      </w:r>
    </w:p>
    <w:p w14:paraId="707E2C16" w14:textId="1EAEC53F"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SVB und Parentia – das gelungene Beispiel</w:t>
      </w:r>
      <w:r>
        <w:rPr>
          <w:noProof/>
        </w:rPr>
        <w:tab/>
      </w:r>
      <w:r>
        <w:rPr>
          <w:noProof/>
        </w:rPr>
        <w:fldChar w:fldCharType="begin"/>
      </w:r>
      <w:r>
        <w:rPr>
          <w:noProof/>
        </w:rPr>
        <w:instrText xml:space="preserve"> PAGEREF _Toc242103131 \h </w:instrText>
      </w:r>
      <w:r>
        <w:rPr>
          <w:noProof/>
        </w:rPr>
      </w:r>
      <w:r>
        <w:rPr>
          <w:noProof/>
        </w:rPr>
        <w:fldChar w:fldCharType="separate"/>
      </w:r>
      <w:r>
        <w:rPr>
          <w:noProof/>
        </w:rPr>
        <w:t>81</w:t>
      </w:r>
      <w:r>
        <w:rPr>
          <w:noProof/>
        </w:rPr>
        <w:fldChar w:fldCharType="end"/>
      </w:r>
    </w:p>
    <w:p w14:paraId="336E4439" w14:textId="7553128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Aufspaltung</w:t>
      </w:r>
      <w:r>
        <w:rPr>
          <w:noProof/>
        </w:rPr>
        <w:tab/>
      </w:r>
      <w:r>
        <w:rPr>
          <w:noProof/>
        </w:rPr>
        <w:fldChar w:fldCharType="begin"/>
      </w:r>
      <w:r>
        <w:rPr>
          <w:noProof/>
        </w:rPr>
        <w:instrText xml:space="preserve"> PAGEREF _Toc242103132 \h </w:instrText>
      </w:r>
      <w:r>
        <w:rPr>
          <w:noProof/>
        </w:rPr>
      </w:r>
      <w:r>
        <w:rPr>
          <w:noProof/>
        </w:rPr>
        <w:fldChar w:fldCharType="separate"/>
      </w:r>
      <w:r>
        <w:rPr>
          <w:noProof/>
        </w:rPr>
        <w:t>81</w:t>
      </w:r>
      <w:r>
        <w:rPr>
          <w:noProof/>
        </w:rPr>
        <w:fldChar w:fldCharType="end"/>
      </w:r>
    </w:p>
    <w:p w14:paraId="283C1ED8" w14:textId="60A8CA6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Warum das funktioniert</w:t>
      </w:r>
      <w:r>
        <w:rPr>
          <w:noProof/>
        </w:rPr>
        <w:tab/>
      </w:r>
      <w:r>
        <w:rPr>
          <w:noProof/>
        </w:rPr>
        <w:fldChar w:fldCharType="begin"/>
      </w:r>
      <w:r>
        <w:rPr>
          <w:noProof/>
        </w:rPr>
        <w:instrText xml:space="preserve"> PAGEREF _Toc242103133 \h </w:instrText>
      </w:r>
      <w:r>
        <w:rPr>
          <w:noProof/>
        </w:rPr>
      </w:r>
      <w:r>
        <w:rPr>
          <w:noProof/>
        </w:rPr>
        <w:fldChar w:fldCharType="separate"/>
      </w:r>
      <w:r>
        <w:rPr>
          <w:noProof/>
        </w:rPr>
        <w:t>81</w:t>
      </w:r>
      <w:r>
        <w:rPr>
          <w:noProof/>
        </w:rPr>
        <w:fldChar w:fldCharType="end"/>
      </w:r>
    </w:p>
    <w:p w14:paraId="2577F9AB" w14:textId="2DD07DF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Neuberechnung, die den Erfolg gefährdet</w:t>
      </w:r>
      <w:r>
        <w:rPr>
          <w:noProof/>
        </w:rPr>
        <w:tab/>
      </w:r>
      <w:r>
        <w:rPr>
          <w:noProof/>
        </w:rPr>
        <w:fldChar w:fldCharType="begin"/>
      </w:r>
      <w:r>
        <w:rPr>
          <w:noProof/>
        </w:rPr>
        <w:instrText xml:space="preserve"> PAGEREF _Toc242103134 \h </w:instrText>
      </w:r>
      <w:r>
        <w:rPr>
          <w:noProof/>
        </w:rPr>
      </w:r>
      <w:r>
        <w:rPr>
          <w:noProof/>
        </w:rPr>
        <w:fldChar w:fldCharType="separate"/>
      </w:r>
      <w:r>
        <w:rPr>
          <w:noProof/>
        </w:rPr>
        <w:t>82</w:t>
      </w:r>
      <w:r>
        <w:rPr>
          <w:noProof/>
        </w:rPr>
        <w:fldChar w:fldCharType="end"/>
      </w:r>
    </w:p>
    <w:p w14:paraId="06B1ED9D" w14:textId="284ABB5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Was dieses Kapitel zeigt</w:t>
      </w:r>
      <w:r>
        <w:rPr>
          <w:noProof/>
        </w:rPr>
        <w:tab/>
      </w:r>
      <w:r>
        <w:rPr>
          <w:noProof/>
        </w:rPr>
        <w:fldChar w:fldCharType="begin"/>
      </w:r>
      <w:r>
        <w:rPr>
          <w:noProof/>
        </w:rPr>
        <w:instrText xml:space="preserve"> PAGEREF _Toc242103135 \h </w:instrText>
      </w:r>
      <w:r>
        <w:rPr>
          <w:noProof/>
        </w:rPr>
      </w:r>
      <w:r>
        <w:rPr>
          <w:noProof/>
        </w:rPr>
        <w:fldChar w:fldCharType="separate"/>
      </w:r>
      <w:r>
        <w:rPr>
          <w:noProof/>
        </w:rPr>
        <w:t>83</w:t>
      </w:r>
      <w:r>
        <w:rPr>
          <w:noProof/>
        </w:rPr>
        <w:fldChar w:fldCharType="end"/>
      </w:r>
    </w:p>
    <w:p w14:paraId="72F5675D" w14:textId="5DB83808"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Körper ohne Rückendeckung</w:t>
      </w:r>
      <w:r>
        <w:rPr>
          <w:noProof/>
        </w:rPr>
        <w:tab/>
      </w:r>
      <w:r>
        <w:rPr>
          <w:noProof/>
        </w:rPr>
        <w:fldChar w:fldCharType="begin"/>
      </w:r>
      <w:r>
        <w:rPr>
          <w:noProof/>
        </w:rPr>
        <w:instrText xml:space="preserve"> PAGEREF _Toc242103136 \h </w:instrText>
      </w:r>
      <w:r>
        <w:rPr>
          <w:noProof/>
        </w:rPr>
      </w:r>
      <w:r>
        <w:rPr>
          <w:noProof/>
        </w:rPr>
        <w:fldChar w:fldCharType="separate"/>
      </w:r>
      <w:r>
        <w:rPr>
          <w:noProof/>
        </w:rPr>
        <w:t>84</w:t>
      </w:r>
      <w:r>
        <w:rPr>
          <w:noProof/>
        </w:rPr>
        <w:fldChar w:fldCharType="end"/>
      </w:r>
    </w:p>
    <w:p w14:paraId="4B8B57FD" w14:textId="1EB53900"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rechtliche Unmöglichkeit</w:t>
      </w:r>
      <w:r>
        <w:rPr>
          <w:noProof/>
        </w:rPr>
        <w:tab/>
      </w:r>
      <w:r>
        <w:rPr>
          <w:noProof/>
        </w:rPr>
        <w:fldChar w:fldCharType="begin"/>
      </w:r>
      <w:r>
        <w:rPr>
          <w:noProof/>
        </w:rPr>
        <w:instrText xml:space="preserve"> PAGEREF _Toc242103137 \h </w:instrText>
      </w:r>
      <w:r>
        <w:rPr>
          <w:noProof/>
        </w:rPr>
      </w:r>
      <w:r>
        <w:rPr>
          <w:noProof/>
        </w:rPr>
        <w:fldChar w:fldCharType="separate"/>
      </w:r>
      <w:r>
        <w:rPr>
          <w:noProof/>
        </w:rPr>
        <w:t>84</w:t>
      </w:r>
      <w:r>
        <w:rPr>
          <w:noProof/>
        </w:rPr>
        <w:fldChar w:fldCharType="end"/>
      </w:r>
    </w:p>
    <w:p w14:paraId="3BBB72D5" w14:textId="407104D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praktischen Auswirkungen</w:t>
      </w:r>
      <w:r>
        <w:rPr>
          <w:noProof/>
        </w:rPr>
        <w:tab/>
      </w:r>
      <w:r>
        <w:rPr>
          <w:noProof/>
        </w:rPr>
        <w:fldChar w:fldCharType="begin"/>
      </w:r>
      <w:r>
        <w:rPr>
          <w:noProof/>
        </w:rPr>
        <w:instrText xml:space="preserve"> PAGEREF _Toc242103138 \h </w:instrText>
      </w:r>
      <w:r>
        <w:rPr>
          <w:noProof/>
        </w:rPr>
      </w:r>
      <w:r>
        <w:rPr>
          <w:noProof/>
        </w:rPr>
        <w:fldChar w:fldCharType="separate"/>
      </w:r>
      <w:r>
        <w:rPr>
          <w:noProof/>
        </w:rPr>
        <w:t>84</w:t>
      </w:r>
      <w:r>
        <w:rPr>
          <w:noProof/>
        </w:rPr>
        <w:fldChar w:fldCharType="end"/>
      </w:r>
    </w:p>
    <w:p w14:paraId="21311AC4" w14:textId="5A1853B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Das Gesetz, das die Familie schützt und lähmt</w:t>
      </w:r>
      <w:r>
        <w:rPr>
          <w:noProof/>
        </w:rPr>
        <w:tab/>
      </w:r>
      <w:r>
        <w:rPr>
          <w:noProof/>
        </w:rPr>
        <w:fldChar w:fldCharType="begin"/>
      </w:r>
      <w:r>
        <w:rPr>
          <w:noProof/>
        </w:rPr>
        <w:instrText xml:space="preserve"> PAGEREF _Toc242103139 \h </w:instrText>
      </w:r>
      <w:r>
        <w:rPr>
          <w:noProof/>
        </w:rPr>
      </w:r>
      <w:r>
        <w:rPr>
          <w:noProof/>
        </w:rPr>
        <w:fldChar w:fldCharType="separate"/>
      </w:r>
      <w:r>
        <w:rPr>
          <w:noProof/>
        </w:rPr>
        <w:t>85</w:t>
      </w:r>
      <w:r>
        <w:rPr>
          <w:noProof/>
        </w:rPr>
        <w:fldChar w:fldCharType="end"/>
      </w:r>
    </w:p>
    <w:p w14:paraId="73DC8C52" w14:textId="50CEA06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Das Paradoxon</w:t>
      </w:r>
      <w:r>
        <w:rPr>
          <w:noProof/>
        </w:rPr>
        <w:tab/>
      </w:r>
      <w:r>
        <w:rPr>
          <w:noProof/>
        </w:rPr>
        <w:fldChar w:fldCharType="begin"/>
      </w:r>
      <w:r>
        <w:rPr>
          <w:noProof/>
        </w:rPr>
        <w:instrText xml:space="preserve"> PAGEREF _Toc242103140 \h </w:instrText>
      </w:r>
      <w:r>
        <w:rPr>
          <w:noProof/>
        </w:rPr>
      </w:r>
      <w:r>
        <w:rPr>
          <w:noProof/>
        </w:rPr>
        <w:fldChar w:fldCharType="separate"/>
      </w:r>
      <w:r>
        <w:rPr>
          <w:noProof/>
        </w:rPr>
        <w:t>86</w:t>
      </w:r>
      <w:r>
        <w:rPr>
          <w:noProof/>
        </w:rPr>
        <w:fldChar w:fldCharType="end"/>
      </w:r>
    </w:p>
    <w:p w14:paraId="6F000BB0" w14:textId="5677DA8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in diesem Kapitel dargelegt wird</w:t>
      </w:r>
      <w:r>
        <w:rPr>
          <w:noProof/>
        </w:rPr>
        <w:tab/>
      </w:r>
      <w:r>
        <w:rPr>
          <w:noProof/>
        </w:rPr>
        <w:fldChar w:fldCharType="begin"/>
      </w:r>
      <w:r>
        <w:rPr>
          <w:noProof/>
        </w:rPr>
        <w:instrText xml:space="preserve"> PAGEREF _Toc242103141 \h </w:instrText>
      </w:r>
      <w:r>
        <w:rPr>
          <w:noProof/>
        </w:rPr>
      </w:r>
      <w:r>
        <w:rPr>
          <w:noProof/>
        </w:rPr>
        <w:fldChar w:fldCharType="separate"/>
      </w:r>
      <w:r>
        <w:rPr>
          <w:noProof/>
        </w:rPr>
        <w:t>86</w:t>
      </w:r>
      <w:r>
        <w:rPr>
          <w:noProof/>
        </w:rPr>
        <w:fldChar w:fldCharType="end"/>
      </w:r>
    </w:p>
    <w:p w14:paraId="6FCD6056" w14:textId="2DFB137E"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zentrale Topf</w:t>
      </w:r>
      <w:r>
        <w:rPr>
          <w:noProof/>
        </w:rPr>
        <w:tab/>
      </w:r>
      <w:r>
        <w:rPr>
          <w:noProof/>
        </w:rPr>
        <w:fldChar w:fldCharType="begin"/>
      </w:r>
      <w:r>
        <w:rPr>
          <w:noProof/>
        </w:rPr>
        <w:instrText xml:space="preserve"> PAGEREF _Toc242103142 \h </w:instrText>
      </w:r>
      <w:r>
        <w:rPr>
          <w:noProof/>
        </w:rPr>
      </w:r>
      <w:r>
        <w:rPr>
          <w:noProof/>
        </w:rPr>
        <w:fldChar w:fldCharType="separate"/>
      </w:r>
      <w:r>
        <w:rPr>
          <w:noProof/>
        </w:rPr>
        <w:t>88</w:t>
      </w:r>
      <w:r>
        <w:rPr>
          <w:noProof/>
        </w:rPr>
        <w:fldChar w:fldCharType="end"/>
      </w:r>
    </w:p>
    <w:p w14:paraId="34F5B7C2" w14:textId="297EC05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Das Konto als Rücklage</w:t>
      </w:r>
      <w:r>
        <w:rPr>
          <w:noProof/>
        </w:rPr>
        <w:tab/>
      </w:r>
      <w:r>
        <w:rPr>
          <w:noProof/>
        </w:rPr>
        <w:fldChar w:fldCharType="begin"/>
      </w:r>
      <w:r>
        <w:rPr>
          <w:noProof/>
        </w:rPr>
        <w:instrText xml:space="preserve"> PAGEREF _Toc242103143 \h </w:instrText>
      </w:r>
      <w:r>
        <w:rPr>
          <w:noProof/>
        </w:rPr>
      </w:r>
      <w:r>
        <w:rPr>
          <w:noProof/>
        </w:rPr>
        <w:fldChar w:fldCharType="separate"/>
      </w:r>
      <w:r>
        <w:rPr>
          <w:noProof/>
        </w:rPr>
        <w:t>88</w:t>
      </w:r>
      <w:r>
        <w:rPr>
          <w:noProof/>
        </w:rPr>
        <w:fldChar w:fldCharType="end"/>
      </w:r>
    </w:p>
    <w:p w14:paraId="51975256" w14:textId="4F65904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drei privaten Tore</w:t>
      </w:r>
      <w:r>
        <w:rPr>
          <w:noProof/>
        </w:rPr>
        <w:tab/>
      </w:r>
      <w:r>
        <w:rPr>
          <w:noProof/>
        </w:rPr>
        <w:fldChar w:fldCharType="begin"/>
      </w:r>
      <w:r>
        <w:rPr>
          <w:noProof/>
        </w:rPr>
        <w:instrText xml:space="preserve"> PAGEREF _Toc242103144 \h </w:instrText>
      </w:r>
      <w:r>
        <w:rPr>
          <w:noProof/>
        </w:rPr>
      </w:r>
      <w:r>
        <w:rPr>
          <w:noProof/>
        </w:rPr>
        <w:fldChar w:fldCharType="separate"/>
      </w:r>
      <w:r>
        <w:rPr>
          <w:noProof/>
        </w:rPr>
        <w:t>88</w:t>
      </w:r>
      <w:r>
        <w:rPr>
          <w:noProof/>
        </w:rPr>
        <w:fldChar w:fldCharType="end"/>
      </w:r>
    </w:p>
    <w:p w14:paraId="353E844F" w14:textId="006AEF0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Bank als de facto Gläubiger des Sozialstaats</w:t>
      </w:r>
      <w:r>
        <w:rPr>
          <w:noProof/>
        </w:rPr>
        <w:tab/>
      </w:r>
      <w:r>
        <w:rPr>
          <w:noProof/>
        </w:rPr>
        <w:fldChar w:fldCharType="begin"/>
      </w:r>
      <w:r>
        <w:rPr>
          <w:noProof/>
        </w:rPr>
        <w:instrText xml:space="preserve"> PAGEREF _Toc242103145 \h </w:instrText>
      </w:r>
      <w:r>
        <w:rPr>
          <w:noProof/>
        </w:rPr>
      </w:r>
      <w:r>
        <w:rPr>
          <w:noProof/>
        </w:rPr>
        <w:fldChar w:fldCharType="separate"/>
      </w:r>
      <w:r>
        <w:rPr>
          <w:noProof/>
        </w:rPr>
        <w:t>89</w:t>
      </w:r>
      <w:r>
        <w:rPr>
          <w:noProof/>
        </w:rPr>
        <w:fldChar w:fldCharType="end"/>
      </w:r>
    </w:p>
    <w:p w14:paraId="3A66A716" w14:textId="3567FE39"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in diesem Kapitel dargelegt wird</w:t>
      </w:r>
      <w:r>
        <w:rPr>
          <w:noProof/>
        </w:rPr>
        <w:tab/>
      </w:r>
      <w:r>
        <w:rPr>
          <w:noProof/>
        </w:rPr>
        <w:fldChar w:fldCharType="begin"/>
      </w:r>
      <w:r>
        <w:rPr>
          <w:noProof/>
        </w:rPr>
        <w:instrText xml:space="preserve"> PAGEREF _Toc242103146 \h </w:instrText>
      </w:r>
      <w:r>
        <w:rPr>
          <w:noProof/>
        </w:rPr>
      </w:r>
      <w:r>
        <w:rPr>
          <w:noProof/>
        </w:rPr>
        <w:fldChar w:fldCharType="separate"/>
      </w:r>
      <w:r>
        <w:rPr>
          <w:noProof/>
        </w:rPr>
        <w:t>90</w:t>
      </w:r>
      <w:r>
        <w:rPr>
          <w:noProof/>
        </w:rPr>
        <w:fldChar w:fldCharType="end"/>
      </w:r>
    </w:p>
    <w:p w14:paraId="0F24CF69" w14:textId="549C9F1E"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V. Europa</w:t>
      </w:r>
      <w:r>
        <w:rPr>
          <w:noProof/>
        </w:rPr>
        <w:tab/>
      </w:r>
      <w:r>
        <w:rPr>
          <w:noProof/>
        </w:rPr>
        <w:fldChar w:fldCharType="begin"/>
      </w:r>
      <w:r>
        <w:rPr>
          <w:noProof/>
        </w:rPr>
        <w:instrText xml:space="preserve"> PAGEREF _Toc242103147 \h </w:instrText>
      </w:r>
      <w:r>
        <w:rPr>
          <w:noProof/>
        </w:rPr>
      </w:r>
      <w:r>
        <w:rPr>
          <w:noProof/>
        </w:rPr>
        <w:fldChar w:fldCharType="separate"/>
      </w:r>
      <w:r>
        <w:rPr>
          <w:noProof/>
        </w:rPr>
        <w:t>91</w:t>
      </w:r>
      <w:r>
        <w:rPr>
          <w:noProof/>
        </w:rPr>
        <w:fldChar w:fldCharType="end"/>
      </w:r>
    </w:p>
    <w:p w14:paraId="1235AF83" w14:textId="70C83B81"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europäische Ebene</w:t>
      </w:r>
      <w:r>
        <w:rPr>
          <w:noProof/>
        </w:rPr>
        <w:tab/>
      </w:r>
      <w:r>
        <w:rPr>
          <w:noProof/>
        </w:rPr>
        <w:fldChar w:fldCharType="begin"/>
      </w:r>
      <w:r>
        <w:rPr>
          <w:noProof/>
        </w:rPr>
        <w:instrText xml:space="preserve"> PAGEREF _Toc242103148 \h </w:instrText>
      </w:r>
      <w:r>
        <w:rPr>
          <w:noProof/>
        </w:rPr>
      </w:r>
      <w:r>
        <w:rPr>
          <w:noProof/>
        </w:rPr>
        <w:fldChar w:fldCharType="separate"/>
      </w:r>
      <w:r>
        <w:rPr>
          <w:noProof/>
        </w:rPr>
        <w:t>91</w:t>
      </w:r>
      <w:r>
        <w:rPr>
          <w:noProof/>
        </w:rPr>
        <w:fldChar w:fldCharType="end"/>
      </w:r>
    </w:p>
    <w:p w14:paraId="309AE931" w14:textId="2AE6DD3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europäische und internationale Ebene</w:t>
      </w:r>
      <w:r>
        <w:rPr>
          <w:noProof/>
        </w:rPr>
        <w:tab/>
      </w:r>
      <w:r>
        <w:rPr>
          <w:noProof/>
        </w:rPr>
        <w:fldChar w:fldCharType="begin"/>
      </w:r>
      <w:r>
        <w:rPr>
          <w:noProof/>
        </w:rPr>
        <w:instrText xml:space="preserve"> PAGEREF _Toc242103149 \h </w:instrText>
      </w:r>
      <w:r>
        <w:rPr>
          <w:noProof/>
        </w:rPr>
      </w:r>
      <w:r>
        <w:rPr>
          <w:noProof/>
        </w:rPr>
        <w:fldChar w:fldCharType="separate"/>
      </w:r>
      <w:r>
        <w:rPr>
          <w:noProof/>
        </w:rPr>
        <w:t>91</w:t>
      </w:r>
      <w:r>
        <w:rPr>
          <w:noProof/>
        </w:rPr>
        <w:fldChar w:fldCharType="end"/>
      </w:r>
    </w:p>
    <w:p w14:paraId="41F0C3E8" w14:textId="7FCE414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Der Zirkelbezug</w:t>
      </w:r>
      <w:r>
        <w:rPr>
          <w:noProof/>
        </w:rPr>
        <w:tab/>
      </w:r>
      <w:r>
        <w:rPr>
          <w:noProof/>
        </w:rPr>
        <w:fldChar w:fldCharType="begin"/>
      </w:r>
      <w:r>
        <w:rPr>
          <w:noProof/>
        </w:rPr>
        <w:instrText xml:space="preserve"> PAGEREF _Toc242103150 \h </w:instrText>
      </w:r>
      <w:r>
        <w:rPr>
          <w:noProof/>
        </w:rPr>
      </w:r>
      <w:r>
        <w:rPr>
          <w:noProof/>
        </w:rPr>
        <w:fldChar w:fldCharType="separate"/>
      </w:r>
      <w:r>
        <w:rPr>
          <w:noProof/>
        </w:rPr>
        <w:t>91</w:t>
      </w:r>
      <w:r>
        <w:rPr>
          <w:noProof/>
        </w:rPr>
        <w:fldChar w:fldCharType="end"/>
      </w:r>
    </w:p>
    <w:p w14:paraId="4C988395" w14:textId="3EB9C6DC"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beiden Öffnungen</w:t>
      </w:r>
      <w:r>
        <w:rPr>
          <w:noProof/>
        </w:rPr>
        <w:tab/>
      </w:r>
      <w:r>
        <w:rPr>
          <w:noProof/>
        </w:rPr>
        <w:fldChar w:fldCharType="begin"/>
      </w:r>
      <w:r>
        <w:rPr>
          <w:noProof/>
        </w:rPr>
        <w:instrText xml:space="preserve"> PAGEREF _Toc242103151 \h </w:instrText>
      </w:r>
      <w:r>
        <w:rPr>
          <w:noProof/>
        </w:rPr>
      </w:r>
      <w:r>
        <w:rPr>
          <w:noProof/>
        </w:rPr>
        <w:fldChar w:fldCharType="separate"/>
      </w:r>
      <w:r>
        <w:rPr>
          <w:noProof/>
        </w:rPr>
        <w:t>92</w:t>
      </w:r>
      <w:r>
        <w:rPr>
          <w:noProof/>
        </w:rPr>
        <w:fldChar w:fldCharType="end"/>
      </w:r>
    </w:p>
    <w:p w14:paraId="11FCBEFA" w14:textId="121C499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Das Vertragsverletzungsverfahren, das nicht zustande kommt</w:t>
      </w:r>
      <w:r>
        <w:rPr>
          <w:noProof/>
        </w:rPr>
        <w:tab/>
      </w:r>
      <w:r>
        <w:rPr>
          <w:noProof/>
        </w:rPr>
        <w:fldChar w:fldCharType="begin"/>
      </w:r>
      <w:r>
        <w:rPr>
          <w:noProof/>
        </w:rPr>
        <w:instrText xml:space="preserve"> PAGEREF _Toc242103152 \h </w:instrText>
      </w:r>
      <w:r>
        <w:rPr>
          <w:noProof/>
        </w:rPr>
      </w:r>
      <w:r>
        <w:rPr>
          <w:noProof/>
        </w:rPr>
        <w:fldChar w:fldCharType="separate"/>
      </w:r>
      <w:r>
        <w:rPr>
          <w:noProof/>
        </w:rPr>
        <w:t>93</w:t>
      </w:r>
      <w:r>
        <w:rPr>
          <w:noProof/>
        </w:rPr>
        <w:fldChar w:fldCharType="end"/>
      </w:r>
    </w:p>
    <w:p w14:paraId="28373A1D" w14:textId="03E7886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Der europäische Widerspruch</w:t>
      </w:r>
      <w:r>
        <w:rPr>
          <w:noProof/>
        </w:rPr>
        <w:tab/>
      </w:r>
      <w:r>
        <w:rPr>
          <w:noProof/>
        </w:rPr>
        <w:fldChar w:fldCharType="begin"/>
      </w:r>
      <w:r>
        <w:rPr>
          <w:noProof/>
        </w:rPr>
        <w:instrText xml:space="preserve"> PAGEREF _Toc242103153 \h </w:instrText>
      </w:r>
      <w:r>
        <w:rPr>
          <w:noProof/>
        </w:rPr>
      </w:r>
      <w:r>
        <w:rPr>
          <w:noProof/>
        </w:rPr>
        <w:fldChar w:fldCharType="separate"/>
      </w:r>
      <w:r>
        <w:rPr>
          <w:noProof/>
        </w:rPr>
        <w:t>94</w:t>
      </w:r>
      <w:r>
        <w:rPr>
          <w:noProof/>
        </w:rPr>
        <w:fldChar w:fldCharType="end"/>
      </w:r>
    </w:p>
    <w:p w14:paraId="69BD3456" w14:textId="63FED95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in diesem Kapitel dargelegt wird</w:t>
      </w:r>
      <w:r>
        <w:rPr>
          <w:noProof/>
        </w:rPr>
        <w:tab/>
      </w:r>
      <w:r>
        <w:rPr>
          <w:noProof/>
        </w:rPr>
        <w:fldChar w:fldCharType="begin"/>
      </w:r>
      <w:r>
        <w:rPr>
          <w:noProof/>
        </w:rPr>
        <w:instrText xml:space="preserve"> PAGEREF _Toc242103154 \h </w:instrText>
      </w:r>
      <w:r>
        <w:rPr>
          <w:noProof/>
        </w:rPr>
      </w:r>
      <w:r>
        <w:rPr>
          <w:noProof/>
        </w:rPr>
        <w:fldChar w:fldCharType="separate"/>
      </w:r>
      <w:r>
        <w:rPr>
          <w:noProof/>
        </w:rPr>
        <w:t>94</w:t>
      </w:r>
      <w:r>
        <w:rPr>
          <w:noProof/>
        </w:rPr>
        <w:fldChar w:fldCharType="end"/>
      </w:r>
    </w:p>
    <w:p w14:paraId="1A8DC43A" w14:textId="2AEAFF4C"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VI. Wer zusieht</w:t>
      </w:r>
      <w:r>
        <w:rPr>
          <w:noProof/>
        </w:rPr>
        <w:tab/>
      </w:r>
      <w:r>
        <w:rPr>
          <w:noProof/>
        </w:rPr>
        <w:fldChar w:fldCharType="begin"/>
      </w:r>
      <w:r>
        <w:rPr>
          <w:noProof/>
        </w:rPr>
        <w:instrText xml:space="preserve"> PAGEREF _Toc242103155 \h </w:instrText>
      </w:r>
      <w:r>
        <w:rPr>
          <w:noProof/>
        </w:rPr>
      </w:r>
      <w:r>
        <w:rPr>
          <w:noProof/>
        </w:rPr>
        <w:fldChar w:fldCharType="separate"/>
      </w:r>
      <w:r>
        <w:rPr>
          <w:noProof/>
        </w:rPr>
        <w:t>96</w:t>
      </w:r>
      <w:r>
        <w:rPr>
          <w:noProof/>
        </w:rPr>
        <w:fldChar w:fldCharType="end"/>
      </w:r>
    </w:p>
    <w:p w14:paraId="4BAD97A6" w14:textId="152A32EF"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Kontroll- und Vermittlungsschicht</w:t>
      </w:r>
      <w:r>
        <w:rPr>
          <w:noProof/>
        </w:rPr>
        <w:tab/>
      </w:r>
      <w:r>
        <w:rPr>
          <w:noProof/>
        </w:rPr>
        <w:fldChar w:fldCharType="begin"/>
      </w:r>
      <w:r>
        <w:rPr>
          <w:noProof/>
        </w:rPr>
        <w:instrText xml:space="preserve"> PAGEREF _Toc242103156 \h </w:instrText>
      </w:r>
      <w:r>
        <w:rPr>
          <w:noProof/>
        </w:rPr>
      </w:r>
      <w:r>
        <w:rPr>
          <w:noProof/>
        </w:rPr>
        <w:fldChar w:fldCharType="separate"/>
      </w:r>
      <w:r>
        <w:rPr>
          <w:noProof/>
        </w:rPr>
        <w:t>96</w:t>
      </w:r>
      <w:r>
        <w:rPr>
          <w:noProof/>
        </w:rPr>
        <w:fldChar w:fldCharType="end"/>
      </w:r>
    </w:p>
    <w:p w14:paraId="5D9F8615" w14:textId="1E580D17"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vier Vermittler</w:t>
      </w:r>
      <w:r>
        <w:rPr>
          <w:noProof/>
        </w:rPr>
        <w:tab/>
      </w:r>
      <w:r>
        <w:rPr>
          <w:noProof/>
        </w:rPr>
        <w:fldChar w:fldCharType="begin"/>
      </w:r>
      <w:r>
        <w:rPr>
          <w:noProof/>
        </w:rPr>
        <w:instrText xml:space="preserve"> PAGEREF _Toc242103157 \h </w:instrText>
      </w:r>
      <w:r>
        <w:rPr>
          <w:noProof/>
        </w:rPr>
      </w:r>
      <w:r>
        <w:rPr>
          <w:noProof/>
        </w:rPr>
        <w:fldChar w:fldCharType="separate"/>
      </w:r>
      <w:r>
        <w:rPr>
          <w:noProof/>
        </w:rPr>
        <w:t>96</w:t>
      </w:r>
      <w:r>
        <w:rPr>
          <w:noProof/>
        </w:rPr>
        <w:fldChar w:fldCharType="end"/>
      </w:r>
    </w:p>
    <w:p w14:paraId="4BE7B81B" w14:textId="3DD1DDD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Der Unterschied zwischen den beiden Ombudsleuten</w:t>
      </w:r>
      <w:r>
        <w:rPr>
          <w:noProof/>
        </w:rPr>
        <w:tab/>
      </w:r>
      <w:r>
        <w:rPr>
          <w:noProof/>
        </w:rPr>
        <w:fldChar w:fldCharType="begin"/>
      </w:r>
      <w:r>
        <w:rPr>
          <w:noProof/>
        </w:rPr>
        <w:instrText xml:space="preserve"> PAGEREF _Toc242103158 \h </w:instrText>
      </w:r>
      <w:r>
        <w:rPr>
          <w:noProof/>
        </w:rPr>
      </w:r>
      <w:r>
        <w:rPr>
          <w:noProof/>
        </w:rPr>
        <w:fldChar w:fldCharType="separate"/>
      </w:r>
      <w:r>
        <w:rPr>
          <w:noProof/>
        </w:rPr>
        <w:t>96</w:t>
      </w:r>
      <w:r>
        <w:rPr>
          <w:noProof/>
        </w:rPr>
        <w:fldChar w:fldCharType="end"/>
      </w:r>
    </w:p>
    <w:p w14:paraId="138ED3E8" w14:textId="121C5745"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zirkuläre Verweisung zwischen den beiden SOLVIT-Zentren</w:t>
      </w:r>
      <w:r>
        <w:rPr>
          <w:noProof/>
        </w:rPr>
        <w:tab/>
      </w:r>
      <w:r>
        <w:rPr>
          <w:noProof/>
        </w:rPr>
        <w:fldChar w:fldCharType="begin"/>
      </w:r>
      <w:r>
        <w:rPr>
          <w:noProof/>
        </w:rPr>
        <w:instrText xml:space="preserve"> PAGEREF _Toc242103159 \h </w:instrText>
      </w:r>
      <w:r>
        <w:rPr>
          <w:noProof/>
        </w:rPr>
      </w:r>
      <w:r>
        <w:rPr>
          <w:noProof/>
        </w:rPr>
        <w:fldChar w:fldCharType="separate"/>
      </w:r>
      <w:r>
        <w:rPr>
          <w:noProof/>
        </w:rPr>
        <w:t>97</w:t>
      </w:r>
      <w:r>
        <w:rPr>
          <w:noProof/>
        </w:rPr>
        <w:fldChar w:fldCharType="end"/>
      </w:r>
    </w:p>
    <w:p w14:paraId="69641491" w14:textId="20733D3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Die ELA: Der Weg, der sich nicht öffnet</w:t>
      </w:r>
      <w:r>
        <w:rPr>
          <w:noProof/>
        </w:rPr>
        <w:tab/>
      </w:r>
      <w:r>
        <w:rPr>
          <w:noProof/>
        </w:rPr>
        <w:fldChar w:fldCharType="begin"/>
      </w:r>
      <w:r>
        <w:rPr>
          <w:noProof/>
        </w:rPr>
        <w:instrText xml:space="preserve"> PAGEREF _Toc242103160 \h </w:instrText>
      </w:r>
      <w:r>
        <w:rPr>
          <w:noProof/>
        </w:rPr>
      </w:r>
      <w:r>
        <w:rPr>
          <w:noProof/>
        </w:rPr>
        <w:fldChar w:fldCharType="separate"/>
      </w:r>
      <w:r>
        <w:rPr>
          <w:noProof/>
        </w:rPr>
        <w:t>97</w:t>
      </w:r>
      <w:r>
        <w:rPr>
          <w:noProof/>
        </w:rPr>
        <w:fldChar w:fldCharType="end"/>
      </w:r>
    </w:p>
    <w:p w14:paraId="3F75DBBD" w14:textId="177A1C8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Das Schnittmuster</w:t>
      </w:r>
      <w:r>
        <w:rPr>
          <w:noProof/>
        </w:rPr>
        <w:tab/>
      </w:r>
      <w:r>
        <w:rPr>
          <w:noProof/>
        </w:rPr>
        <w:fldChar w:fldCharType="begin"/>
      </w:r>
      <w:r>
        <w:rPr>
          <w:noProof/>
        </w:rPr>
        <w:instrText xml:space="preserve"> PAGEREF _Toc242103161 \h </w:instrText>
      </w:r>
      <w:r>
        <w:rPr>
          <w:noProof/>
        </w:rPr>
      </w:r>
      <w:r>
        <w:rPr>
          <w:noProof/>
        </w:rPr>
        <w:fldChar w:fldCharType="separate"/>
      </w:r>
      <w:r>
        <w:rPr>
          <w:noProof/>
        </w:rPr>
        <w:t>98</w:t>
      </w:r>
      <w:r>
        <w:rPr>
          <w:noProof/>
        </w:rPr>
        <w:fldChar w:fldCharType="end"/>
      </w:r>
    </w:p>
    <w:p w14:paraId="277BAC11" w14:textId="281ED2FB"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Gerichte</w:t>
      </w:r>
      <w:r>
        <w:rPr>
          <w:noProof/>
        </w:rPr>
        <w:tab/>
      </w:r>
      <w:r>
        <w:rPr>
          <w:noProof/>
        </w:rPr>
        <w:fldChar w:fldCharType="begin"/>
      </w:r>
      <w:r>
        <w:rPr>
          <w:noProof/>
        </w:rPr>
        <w:instrText xml:space="preserve"> PAGEREF _Toc242103162 \h </w:instrText>
      </w:r>
      <w:r>
        <w:rPr>
          <w:noProof/>
        </w:rPr>
      </w:r>
      <w:r>
        <w:rPr>
          <w:noProof/>
        </w:rPr>
        <w:fldChar w:fldCharType="separate"/>
      </w:r>
      <w:r>
        <w:rPr>
          <w:noProof/>
        </w:rPr>
        <w:t>100</w:t>
      </w:r>
      <w:r>
        <w:rPr>
          <w:noProof/>
        </w:rPr>
        <w:fldChar w:fldCharType="end"/>
      </w:r>
    </w:p>
    <w:p w14:paraId="4E84C9D0" w14:textId="56A8A93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beiden Rechtswege</w:t>
      </w:r>
      <w:r>
        <w:rPr>
          <w:noProof/>
        </w:rPr>
        <w:tab/>
      </w:r>
      <w:r>
        <w:rPr>
          <w:noProof/>
        </w:rPr>
        <w:fldChar w:fldCharType="begin"/>
      </w:r>
      <w:r>
        <w:rPr>
          <w:noProof/>
        </w:rPr>
        <w:instrText xml:space="preserve"> PAGEREF _Toc242103163 \h </w:instrText>
      </w:r>
      <w:r>
        <w:rPr>
          <w:noProof/>
        </w:rPr>
      </w:r>
      <w:r>
        <w:rPr>
          <w:noProof/>
        </w:rPr>
        <w:fldChar w:fldCharType="separate"/>
      </w:r>
      <w:r>
        <w:rPr>
          <w:noProof/>
        </w:rPr>
        <w:t>100</w:t>
      </w:r>
      <w:r>
        <w:rPr>
          <w:noProof/>
        </w:rPr>
        <w:fldChar w:fldCharType="end"/>
      </w:r>
    </w:p>
    <w:p w14:paraId="573F0EE5" w14:textId="197B55C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Die Pro-Bono-Schwelle</w:t>
      </w:r>
      <w:r>
        <w:rPr>
          <w:noProof/>
        </w:rPr>
        <w:tab/>
      </w:r>
      <w:r>
        <w:rPr>
          <w:noProof/>
        </w:rPr>
        <w:fldChar w:fldCharType="begin"/>
      </w:r>
      <w:r>
        <w:rPr>
          <w:noProof/>
        </w:rPr>
        <w:instrText xml:space="preserve"> PAGEREF _Toc242103164 \h </w:instrText>
      </w:r>
      <w:r>
        <w:rPr>
          <w:noProof/>
        </w:rPr>
      </w:r>
      <w:r>
        <w:rPr>
          <w:noProof/>
        </w:rPr>
        <w:fldChar w:fldCharType="separate"/>
      </w:r>
      <w:r>
        <w:rPr>
          <w:noProof/>
        </w:rPr>
        <w:t>100</w:t>
      </w:r>
      <w:r>
        <w:rPr>
          <w:noProof/>
        </w:rPr>
        <w:fldChar w:fldCharType="end"/>
      </w:r>
    </w:p>
    <w:p w14:paraId="292B5B55" w14:textId="2ADEC7E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Ironie des Referenzjahres</w:t>
      </w:r>
      <w:r>
        <w:rPr>
          <w:noProof/>
        </w:rPr>
        <w:tab/>
      </w:r>
      <w:r>
        <w:rPr>
          <w:noProof/>
        </w:rPr>
        <w:fldChar w:fldCharType="begin"/>
      </w:r>
      <w:r>
        <w:rPr>
          <w:noProof/>
        </w:rPr>
        <w:instrText xml:space="preserve"> PAGEREF _Toc242103165 \h </w:instrText>
      </w:r>
      <w:r>
        <w:rPr>
          <w:noProof/>
        </w:rPr>
      </w:r>
      <w:r>
        <w:rPr>
          <w:noProof/>
        </w:rPr>
        <w:fldChar w:fldCharType="separate"/>
      </w:r>
      <w:r>
        <w:rPr>
          <w:noProof/>
        </w:rPr>
        <w:t>101</w:t>
      </w:r>
      <w:r>
        <w:rPr>
          <w:noProof/>
        </w:rPr>
        <w:fldChar w:fldCharType="end"/>
      </w:r>
    </w:p>
    <w:p w14:paraId="7F5B942E" w14:textId="224782FF"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Was das bedeutet</w:t>
      </w:r>
      <w:r>
        <w:rPr>
          <w:noProof/>
        </w:rPr>
        <w:tab/>
      </w:r>
      <w:r>
        <w:rPr>
          <w:noProof/>
        </w:rPr>
        <w:fldChar w:fldCharType="begin"/>
      </w:r>
      <w:r>
        <w:rPr>
          <w:noProof/>
        </w:rPr>
        <w:instrText xml:space="preserve"> PAGEREF _Toc242103166 \h </w:instrText>
      </w:r>
      <w:r>
        <w:rPr>
          <w:noProof/>
        </w:rPr>
      </w:r>
      <w:r>
        <w:rPr>
          <w:noProof/>
        </w:rPr>
        <w:fldChar w:fldCharType="separate"/>
      </w:r>
      <w:r>
        <w:rPr>
          <w:noProof/>
        </w:rPr>
        <w:t>102</w:t>
      </w:r>
      <w:r>
        <w:rPr>
          <w:noProof/>
        </w:rPr>
        <w:fldChar w:fldCharType="end"/>
      </w:r>
    </w:p>
    <w:p w14:paraId="7750B3C6" w14:textId="2B264BF6"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Politik</w:t>
      </w:r>
      <w:r>
        <w:rPr>
          <w:noProof/>
        </w:rPr>
        <w:tab/>
      </w:r>
      <w:r>
        <w:rPr>
          <w:noProof/>
        </w:rPr>
        <w:fldChar w:fldCharType="begin"/>
      </w:r>
      <w:r>
        <w:rPr>
          <w:noProof/>
        </w:rPr>
        <w:instrText xml:space="preserve"> PAGEREF _Toc242103167 \h </w:instrText>
      </w:r>
      <w:r>
        <w:rPr>
          <w:noProof/>
        </w:rPr>
      </w:r>
      <w:r>
        <w:rPr>
          <w:noProof/>
        </w:rPr>
        <w:fldChar w:fldCharType="separate"/>
      </w:r>
      <w:r>
        <w:rPr>
          <w:noProof/>
        </w:rPr>
        <w:t>104</w:t>
      </w:r>
      <w:r>
        <w:rPr>
          <w:noProof/>
        </w:rPr>
        <w:fldChar w:fldCharType="end"/>
      </w:r>
    </w:p>
    <w:p w14:paraId="6E0DB7ED" w14:textId="3714011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Gewaltenteilung</w:t>
      </w:r>
      <w:r>
        <w:rPr>
          <w:noProof/>
        </w:rPr>
        <w:tab/>
      </w:r>
      <w:r>
        <w:rPr>
          <w:noProof/>
        </w:rPr>
        <w:fldChar w:fldCharType="begin"/>
      </w:r>
      <w:r>
        <w:rPr>
          <w:noProof/>
        </w:rPr>
        <w:instrText xml:space="preserve"> PAGEREF _Toc242103168 \h </w:instrText>
      </w:r>
      <w:r>
        <w:rPr>
          <w:noProof/>
        </w:rPr>
      </w:r>
      <w:r>
        <w:rPr>
          <w:noProof/>
        </w:rPr>
        <w:fldChar w:fldCharType="separate"/>
      </w:r>
      <w:r>
        <w:rPr>
          <w:noProof/>
        </w:rPr>
        <w:t>104</w:t>
      </w:r>
      <w:r>
        <w:rPr>
          <w:noProof/>
        </w:rPr>
        <w:fldChar w:fldCharType="end"/>
      </w:r>
    </w:p>
    <w:p w14:paraId="1F55E8D3" w14:textId="2972CD4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Was die Politik tun kann und was nicht</w:t>
      </w:r>
      <w:r>
        <w:rPr>
          <w:noProof/>
        </w:rPr>
        <w:tab/>
      </w:r>
      <w:r>
        <w:rPr>
          <w:noProof/>
        </w:rPr>
        <w:fldChar w:fldCharType="begin"/>
      </w:r>
      <w:r>
        <w:rPr>
          <w:noProof/>
        </w:rPr>
        <w:instrText xml:space="preserve"> PAGEREF _Toc242103169 \h </w:instrText>
      </w:r>
      <w:r>
        <w:rPr>
          <w:noProof/>
        </w:rPr>
      </w:r>
      <w:r>
        <w:rPr>
          <w:noProof/>
        </w:rPr>
        <w:fldChar w:fldCharType="separate"/>
      </w:r>
      <w:r>
        <w:rPr>
          <w:noProof/>
        </w:rPr>
        <w:t>104</w:t>
      </w:r>
      <w:r>
        <w:rPr>
          <w:noProof/>
        </w:rPr>
        <w:fldChar w:fldCharType="end"/>
      </w:r>
    </w:p>
    <w:p w14:paraId="3DD1A585" w14:textId="5A743E6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parlamentarische Praxis in Belgien</w:t>
      </w:r>
      <w:r>
        <w:rPr>
          <w:noProof/>
        </w:rPr>
        <w:tab/>
      </w:r>
      <w:r>
        <w:rPr>
          <w:noProof/>
        </w:rPr>
        <w:fldChar w:fldCharType="begin"/>
      </w:r>
      <w:r>
        <w:rPr>
          <w:noProof/>
        </w:rPr>
        <w:instrText xml:space="preserve"> PAGEREF _Toc242103170 \h </w:instrText>
      </w:r>
      <w:r>
        <w:rPr>
          <w:noProof/>
        </w:rPr>
      </w:r>
      <w:r>
        <w:rPr>
          <w:noProof/>
        </w:rPr>
        <w:fldChar w:fldCharType="separate"/>
      </w:r>
      <w:r>
        <w:rPr>
          <w:noProof/>
        </w:rPr>
        <w:t>105</w:t>
      </w:r>
      <w:r>
        <w:rPr>
          <w:noProof/>
        </w:rPr>
        <w:fldChar w:fldCharType="end"/>
      </w:r>
    </w:p>
    <w:p w14:paraId="2EC7A201" w14:textId="6DF357A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Die niederländische parlamentarische Praxis</w:t>
      </w:r>
      <w:r>
        <w:rPr>
          <w:noProof/>
        </w:rPr>
        <w:tab/>
      </w:r>
      <w:r>
        <w:rPr>
          <w:noProof/>
        </w:rPr>
        <w:fldChar w:fldCharType="begin"/>
      </w:r>
      <w:r>
        <w:rPr>
          <w:noProof/>
        </w:rPr>
        <w:instrText xml:space="preserve"> PAGEREF _Toc242103171 \h </w:instrText>
      </w:r>
      <w:r>
        <w:rPr>
          <w:noProof/>
        </w:rPr>
      </w:r>
      <w:r>
        <w:rPr>
          <w:noProof/>
        </w:rPr>
        <w:fldChar w:fldCharType="separate"/>
      </w:r>
      <w:r>
        <w:rPr>
          <w:noProof/>
        </w:rPr>
        <w:t>105</w:t>
      </w:r>
      <w:r>
        <w:rPr>
          <w:noProof/>
        </w:rPr>
        <w:fldChar w:fldCharType="end"/>
      </w:r>
    </w:p>
    <w:p w14:paraId="3B9ECD2A" w14:textId="7C4928A0"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Die Unterschiede im Überblick</w:t>
      </w:r>
      <w:r>
        <w:rPr>
          <w:noProof/>
        </w:rPr>
        <w:tab/>
      </w:r>
      <w:r>
        <w:rPr>
          <w:noProof/>
        </w:rPr>
        <w:fldChar w:fldCharType="begin"/>
      </w:r>
      <w:r>
        <w:rPr>
          <w:noProof/>
        </w:rPr>
        <w:instrText xml:space="preserve"> PAGEREF _Toc242103172 \h </w:instrText>
      </w:r>
      <w:r>
        <w:rPr>
          <w:noProof/>
        </w:rPr>
      </w:r>
      <w:r>
        <w:rPr>
          <w:noProof/>
        </w:rPr>
        <w:fldChar w:fldCharType="separate"/>
      </w:r>
      <w:r>
        <w:rPr>
          <w:noProof/>
        </w:rPr>
        <w:t>106</w:t>
      </w:r>
      <w:r>
        <w:rPr>
          <w:noProof/>
        </w:rPr>
        <w:fldChar w:fldCharType="end"/>
      </w:r>
    </w:p>
    <w:p w14:paraId="5631A510" w14:textId="38B0CBA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F – Die Kraft des Framings</w:t>
      </w:r>
      <w:r>
        <w:rPr>
          <w:noProof/>
        </w:rPr>
        <w:tab/>
      </w:r>
      <w:r>
        <w:rPr>
          <w:noProof/>
        </w:rPr>
        <w:fldChar w:fldCharType="begin"/>
      </w:r>
      <w:r>
        <w:rPr>
          <w:noProof/>
        </w:rPr>
        <w:instrText xml:space="preserve"> PAGEREF _Toc242103173 \h </w:instrText>
      </w:r>
      <w:r>
        <w:rPr>
          <w:noProof/>
        </w:rPr>
      </w:r>
      <w:r>
        <w:rPr>
          <w:noProof/>
        </w:rPr>
        <w:fldChar w:fldCharType="separate"/>
      </w:r>
      <w:r>
        <w:rPr>
          <w:noProof/>
        </w:rPr>
        <w:t>107</w:t>
      </w:r>
      <w:r>
        <w:rPr>
          <w:noProof/>
        </w:rPr>
        <w:fldChar w:fldCharType="end"/>
      </w:r>
    </w:p>
    <w:p w14:paraId="49964ABA" w14:textId="042B29F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G – Was dieses Dossier bewirkt</w:t>
      </w:r>
      <w:r>
        <w:rPr>
          <w:noProof/>
        </w:rPr>
        <w:tab/>
      </w:r>
      <w:r>
        <w:rPr>
          <w:noProof/>
        </w:rPr>
        <w:fldChar w:fldCharType="begin"/>
      </w:r>
      <w:r>
        <w:rPr>
          <w:noProof/>
        </w:rPr>
        <w:instrText xml:space="preserve"> PAGEREF _Toc242103174 \h </w:instrText>
      </w:r>
      <w:r>
        <w:rPr>
          <w:noProof/>
        </w:rPr>
      </w:r>
      <w:r>
        <w:rPr>
          <w:noProof/>
        </w:rPr>
        <w:fldChar w:fldCharType="separate"/>
      </w:r>
      <w:r>
        <w:rPr>
          <w:noProof/>
        </w:rPr>
        <w:t>108</w:t>
      </w:r>
      <w:r>
        <w:rPr>
          <w:noProof/>
        </w:rPr>
        <w:fldChar w:fldCharType="end"/>
      </w:r>
    </w:p>
    <w:p w14:paraId="25BD9B56" w14:textId="70893347"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Der Adel</w:t>
      </w:r>
      <w:r>
        <w:rPr>
          <w:noProof/>
        </w:rPr>
        <w:tab/>
      </w:r>
      <w:r>
        <w:rPr>
          <w:noProof/>
        </w:rPr>
        <w:fldChar w:fldCharType="begin"/>
      </w:r>
      <w:r>
        <w:rPr>
          <w:noProof/>
        </w:rPr>
        <w:instrText xml:space="preserve"> PAGEREF _Toc242103175 \h </w:instrText>
      </w:r>
      <w:r>
        <w:rPr>
          <w:noProof/>
        </w:rPr>
      </w:r>
      <w:r>
        <w:rPr>
          <w:noProof/>
        </w:rPr>
        <w:fldChar w:fldCharType="separate"/>
      </w:r>
      <w:r>
        <w:rPr>
          <w:noProof/>
        </w:rPr>
        <w:t>109</w:t>
      </w:r>
      <w:r>
        <w:rPr>
          <w:noProof/>
        </w:rPr>
        <w:fldChar w:fldCharType="end"/>
      </w:r>
    </w:p>
    <w:p w14:paraId="75FCFCF1" w14:textId="25F47B4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Die formelle Macht: Was der König tun darf und was nicht</w:t>
      </w:r>
      <w:r>
        <w:rPr>
          <w:noProof/>
        </w:rPr>
        <w:tab/>
      </w:r>
      <w:r>
        <w:rPr>
          <w:noProof/>
        </w:rPr>
        <w:fldChar w:fldCharType="begin"/>
      </w:r>
      <w:r>
        <w:rPr>
          <w:noProof/>
        </w:rPr>
        <w:instrText xml:space="preserve"> PAGEREF _Toc242103176 \h </w:instrText>
      </w:r>
      <w:r>
        <w:rPr>
          <w:noProof/>
        </w:rPr>
      </w:r>
      <w:r>
        <w:rPr>
          <w:noProof/>
        </w:rPr>
        <w:fldChar w:fldCharType="separate"/>
      </w:r>
      <w:r>
        <w:rPr>
          <w:noProof/>
        </w:rPr>
        <w:t>109</w:t>
      </w:r>
      <w:r>
        <w:rPr>
          <w:noProof/>
        </w:rPr>
        <w:fldChar w:fldCharType="end"/>
      </w:r>
    </w:p>
    <w:p w14:paraId="0580AD6E" w14:textId="1CABBB93"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Das Petitionsrecht</w:t>
      </w:r>
      <w:r>
        <w:rPr>
          <w:noProof/>
        </w:rPr>
        <w:tab/>
      </w:r>
      <w:r>
        <w:rPr>
          <w:noProof/>
        </w:rPr>
        <w:fldChar w:fldCharType="begin"/>
      </w:r>
      <w:r>
        <w:rPr>
          <w:noProof/>
        </w:rPr>
        <w:instrText xml:space="preserve"> PAGEREF _Toc242103177 \h </w:instrText>
      </w:r>
      <w:r>
        <w:rPr>
          <w:noProof/>
        </w:rPr>
      </w:r>
      <w:r>
        <w:rPr>
          <w:noProof/>
        </w:rPr>
        <w:fldChar w:fldCharType="separate"/>
      </w:r>
      <w:r>
        <w:rPr>
          <w:noProof/>
        </w:rPr>
        <w:t>109</w:t>
      </w:r>
      <w:r>
        <w:rPr>
          <w:noProof/>
        </w:rPr>
        <w:fldChar w:fldCharType="end"/>
      </w:r>
    </w:p>
    <w:p w14:paraId="3489FC73" w14:textId="3E30480A"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Praxis: Wie Petitionen bearbeitet werden</w:t>
      </w:r>
      <w:r>
        <w:rPr>
          <w:noProof/>
        </w:rPr>
        <w:tab/>
      </w:r>
      <w:r>
        <w:rPr>
          <w:noProof/>
        </w:rPr>
        <w:fldChar w:fldCharType="begin"/>
      </w:r>
      <w:r>
        <w:rPr>
          <w:noProof/>
        </w:rPr>
        <w:instrText xml:space="preserve"> PAGEREF _Toc242103178 \h </w:instrText>
      </w:r>
      <w:r>
        <w:rPr>
          <w:noProof/>
        </w:rPr>
      </w:r>
      <w:r>
        <w:rPr>
          <w:noProof/>
        </w:rPr>
        <w:fldChar w:fldCharType="separate"/>
      </w:r>
      <w:r>
        <w:rPr>
          <w:noProof/>
        </w:rPr>
        <w:t>110</w:t>
      </w:r>
      <w:r>
        <w:rPr>
          <w:noProof/>
        </w:rPr>
        <w:fldChar w:fldCharType="end"/>
      </w:r>
    </w:p>
    <w:p w14:paraId="2CA6970E" w14:textId="6A9CCFBE"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Das Paradoxon des informellen Kanals</w:t>
      </w:r>
      <w:r>
        <w:rPr>
          <w:noProof/>
        </w:rPr>
        <w:tab/>
      </w:r>
      <w:r>
        <w:rPr>
          <w:noProof/>
        </w:rPr>
        <w:fldChar w:fldCharType="begin"/>
      </w:r>
      <w:r>
        <w:rPr>
          <w:noProof/>
        </w:rPr>
        <w:instrText xml:space="preserve"> PAGEREF _Toc242103179 \h </w:instrText>
      </w:r>
      <w:r>
        <w:rPr>
          <w:noProof/>
        </w:rPr>
      </w:r>
      <w:r>
        <w:rPr>
          <w:noProof/>
        </w:rPr>
        <w:fldChar w:fldCharType="separate"/>
      </w:r>
      <w:r>
        <w:rPr>
          <w:noProof/>
        </w:rPr>
        <w:t>110</w:t>
      </w:r>
      <w:r>
        <w:rPr>
          <w:noProof/>
        </w:rPr>
        <w:fldChar w:fldCharType="end"/>
      </w:r>
    </w:p>
    <w:p w14:paraId="0DFDAE4F" w14:textId="21EA68B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E – Die Praxis in diesem Dossier</w:t>
      </w:r>
      <w:r>
        <w:rPr>
          <w:noProof/>
        </w:rPr>
        <w:tab/>
      </w:r>
      <w:r>
        <w:rPr>
          <w:noProof/>
        </w:rPr>
        <w:fldChar w:fldCharType="begin"/>
      </w:r>
      <w:r>
        <w:rPr>
          <w:noProof/>
        </w:rPr>
        <w:instrText xml:space="preserve"> PAGEREF _Toc242103180 \h </w:instrText>
      </w:r>
      <w:r>
        <w:rPr>
          <w:noProof/>
        </w:rPr>
      </w:r>
      <w:r>
        <w:rPr>
          <w:noProof/>
        </w:rPr>
        <w:fldChar w:fldCharType="separate"/>
      </w:r>
      <w:r>
        <w:rPr>
          <w:noProof/>
        </w:rPr>
        <w:t>111</w:t>
      </w:r>
      <w:r>
        <w:rPr>
          <w:noProof/>
        </w:rPr>
        <w:fldChar w:fldCharType="end"/>
      </w:r>
    </w:p>
    <w:p w14:paraId="5814C558" w14:textId="675FC1F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F – Was in diesem Kapitel festgelegt wird</w:t>
      </w:r>
      <w:r>
        <w:rPr>
          <w:noProof/>
        </w:rPr>
        <w:tab/>
      </w:r>
      <w:r>
        <w:rPr>
          <w:noProof/>
        </w:rPr>
        <w:fldChar w:fldCharType="begin"/>
      </w:r>
      <w:r>
        <w:rPr>
          <w:noProof/>
        </w:rPr>
        <w:instrText xml:space="preserve"> PAGEREF _Toc242103181 \h </w:instrText>
      </w:r>
      <w:r>
        <w:rPr>
          <w:noProof/>
        </w:rPr>
      </w:r>
      <w:r>
        <w:rPr>
          <w:noProof/>
        </w:rPr>
        <w:fldChar w:fldCharType="separate"/>
      </w:r>
      <w:r>
        <w:rPr>
          <w:noProof/>
        </w:rPr>
        <w:t>111</w:t>
      </w:r>
      <w:r>
        <w:rPr>
          <w:noProof/>
        </w:rPr>
        <w:fldChar w:fldCharType="end"/>
      </w:r>
    </w:p>
    <w:p w14:paraId="2FE3A719" w14:textId="03826D64"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Verbündeten und der Wachhund</w:t>
      </w:r>
      <w:r>
        <w:rPr>
          <w:noProof/>
        </w:rPr>
        <w:tab/>
      </w:r>
      <w:r>
        <w:rPr>
          <w:noProof/>
        </w:rPr>
        <w:fldChar w:fldCharType="begin"/>
      </w:r>
      <w:r>
        <w:rPr>
          <w:noProof/>
        </w:rPr>
        <w:instrText xml:space="preserve"> PAGEREF _Toc242103182 \h </w:instrText>
      </w:r>
      <w:r>
        <w:rPr>
          <w:noProof/>
        </w:rPr>
      </w:r>
      <w:r>
        <w:rPr>
          <w:noProof/>
        </w:rPr>
        <w:fldChar w:fldCharType="separate"/>
      </w:r>
      <w:r>
        <w:rPr>
          <w:noProof/>
        </w:rPr>
        <w:t>113</w:t>
      </w:r>
      <w:r>
        <w:rPr>
          <w:noProof/>
        </w:rPr>
        <w:fldChar w:fldCharType="end"/>
      </w:r>
    </w:p>
    <w:p w14:paraId="4B8E33A9" w14:textId="120D092D"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A – ACV: Die Gewerkschaft, die hilft und sich einsetzt</w:t>
      </w:r>
      <w:r>
        <w:rPr>
          <w:noProof/>
        </w:rPr>
        <w:tab/>
      </w:r>
      <w:r>
        <w:rPr>
          <w:noProof/>
        </w:rPr>
        <w:fldChar w:fldCharType="begin"/>
      </w:r>
      <w:r>
        <w:rPr>
          <w:noProof/>
        </w:rPr>
        <w:instrText xml:space="preserve"> PAGEREF _Toc242103183 \h </w:instrText>
      </w:r>
      <w:r>
        <w:rPr>
          <w:noProof/>
        </w:rPr>
      </w:r>
      <w:r>
        <w:rPr>
          <w:noProof/>
        </w:rPr>
        <w:fldChar w:fldCharType="separate"/>
      </w:r>
      <w:r>
        <w:rPr>
          <w:noProof/>
        </w:rPr>
        <w:t>113</w:t>
      </w:r>
      <w:r>
        <w:rPr>
          <w:noProof/>
        </w:rPr>
        <w:fldChar w:fldCharType="end"/>
      </w:r>
    </w:p>
    <w:p w14:paraId="2960C279" w14:textId="4B96EB32"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B – UNIA: Der Wachhund, der nicht beißen darf</w:t>
      </w:r>
      <w:r>
        <w:rPr>
          <w:noProof/>
        </w:rPr>
        <w:tab/>
      </w:r>
      <w:r>
        <w:rPr>
          <w:noProof/>
        </w:rPr>
        <w:fldChar w:fldCharType="begin"/>
      </w:r>
      <w:r>
        <w:rPr>
          <w:noProof/>
        </w:rPr>
        <w:instrText xml:space="preserve"> PAGEREF _Toc242103184 \h </w:instrText>
      </w:r>
      <w:r>
        <w:rPr>
          <w:noProof/>
        </w:rPr>
      </w:r>
      <w:r>
        <w:rPr>
          <w:noProof/>
        </w:rPr>
        <w:fldChar w:fldCharType="separate"/>
      </w:r>
      <w:r>
        <w:rPr>
          <w:noProof/>
        </w:rPr>
        <w:t>114</w:t>
      </w:r>
      <w:r>
        <w:rPr>
          <w:noProof/>
        </w:rPr>
        <w:fldChar w:fldCharType="end"/>
      </w:r>
    </w:p>
    <w:p w14:paraId="00115AE7" w14:textId="61FCDEF8"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C – Die akademische Beobachtungsebene</w:t>
      </w:r>
      <w:r>
        <w:rPr>
          <w:noProof/>
        </w:rPr>
        <w:tab/>
      </w:r>
      <w:r>
        <w:rPr>
          <w:noProof/>
        </w:rPr>
        <w:fldChar w:fldCharType="begin"/>
      </w:r>
      <w:r>
        <w:rPr>
          <w:noProof/>
        </w:rPr>
        <w:instrText xml:space="preserve"> PAGEREF _Toc242103185 \h </w:instrText>
      </w:r>
      <w:r>
        <w:rPr>
          <w:noProof/>
        </w:rPr>
      </w:r>
      <w:r>
        <w:rPr>
          <w:noProof/>
        </w:rPr>
        <w:fldChar w:fldCharType="separate"/>
      </w:r>
      <w:r>
        <w:rPr>
          <w:noProof/>
        </w:rPr>
        <w:t>115</w:t>
      </w:r>
      <w:r>
        <w:rPr>
          <w:noProof/>
        </w:rPr>
        <w:fldChar w:fldCharType="end"/>
      </w:r>
    </w:p>
    <w:p w14:paraId="34D8F336" w14:textId="0745417B"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Teil D – Was in diesem Kapitel festgelegt wird</w:t>
      </w:r>
      <w:r>
        <w:rPr>
          <w:noProof/>
        </w:rPr>
        <w:tab/>
      </w:r>
      <w:r>
        <w:rPr>
          <w:noProof/>
        </w:rPr>
        <w:fldChar w:fldCharType="begin"/>
      </w:r>
      <w:r>
        <w:rPr>
          <w:noProof/>
        </w:rPr>
        <w:instrText xml:space="preserve"> PAGEREF _Toc242103186 \h </w:instrText>
      </w:r>
      <w:r>
        <w:rPr>
          <w:noProof/>
        </w:rPr>
      </w:r>
      <w:r>
        <w:rPr>
          <w:noProof/>
        </w:rPr>
        <w:fldChar w:fldCharType="separate"/>
      </w:r>
      <w:r>
        <w:rPr>
          <w:noProof/>
        </w:rPr>
        <w:t>116</w:t>
      </w:r>
      <w:r>
        <w:rPr>
          <w:noProof/>
        </w:rPr>
        <w:fldChar w:fldCharType="end"/>
      </w:r>
    </w:p>
    <w:p w14:paraId="01F7274E" w14:textId="5A47BCCB" w:rsidR="00FA4EDF" w:rsidRDefault="00FA4EDF" w:rsidP="00FA4EDF">
      <w:pPr>
        <w:pStyle w:val="Inhopg1"/>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VII. Schluss</w:t>
      </w:r>
      <w:r>
        <w:rPr>
          <w:noProof/>
        </w:rPr>
        <w:tab/>
      </w:r>
      <w:r>
        <w:rPr>
          <w:noProof/>
        </w:rPr>
        <w:fldChar w:fldCharType="begin"/>
      </w:r>
      <w:r>
        <w:rPr>
          <w:noProof/>
        </w:rPr>
        <w:instrText xml:space="preserve"> PAGEREF _Toc242103187 \h </w:instrText>
      </w:r>
      <w:r>
        <w:rPr>
          <w:noProof/>
        </w:rPr>
      </w:r>
      <w:r>
        <w:rPr>
          <w:noProof/>
        </w:rPr>
        <w:fldChar w:fldCharType="separate"/>
      </w:r>
      <w:r>
        <w:rPr>
          <w:noProof/>
        </w:rPr>
        <w:t>118</w:t>
      </w:r>
      <w:r>
        <w:rPr>
          <w:noProof/>
        </w:rPr>
        <w:fldChar w:fldCharType="end"/>
      </w:r>
    </w:p>
    <w:p w14:paraId="01AB7D6F" w14:textId="6DAA7914"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Schluss – die gesamte Pyramide</w:t>
      </w:r>
      <w:r>
        <w:rPr>
          <w:noProof/>
        </w:rPr>
        <w:tab/>
      </w:r>
      <w:r>
        <w:rPr>
          <w:noProof/>
        </w:rPr>
        <w:fldChar w:fldCharType="begin"/>
      </w:r>
      <w:r>
        <w:rPr>
          <w:noProof/>
        </w:rPr>
        <w:instrText xml:space="preserve"> PAGEREF _Toc242103188 \h </w:instrText>
      </w:r>
      <w:r>
        <w:rPr>
          <w:noProof/>
        </w:rPr>
      </w:r>
      <w:r>
        <w:rPr>
          <w:noProof/>
        </w:rPr>
        <w:fldChar w:fldCharType="separate"/>
      </w:r>
      <w:r>
        <w:rPr>
          <w:noProof/>
        </w:rPr>
        <w:t>118</w:t>
      </w:r>
      <w:r>
        <w:rPr>
          <w:noProof/>
        </w:rPr>
        <w:fldChar w:fldCharType="end"/>
      </w:r>
    </w:p>
    <w:p w14:paraId="2AF7B13E" w14:textId="39CBCB52"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Pyramide</w:t>
      </w:r>
      <w:r>
        <w:rPr>
          <w:noProof/>
        </w:rPr>
        <w:tab/>
      </w:r>
      <w:r>
        <w:rPr>
          <w:noProof/>
        </w:rPr>
        <w:fldChar w:fldCharType="begin"/>
      </w:r>
      <w:r>
        <w:rPr>
          <w:noProof/>
        </w:rPr>
        <w:instrText xml:space="preserve"> PAGEREF _Toc242103189 \h </w:instrText>
      </w:r>
      <w:r>
        <w:rPr>
          <w:noProof/>
        </w:rPr>
      </w:r>
      <w:r>
        <w:rPr>
          <w:noProof/>
        </w:rPr>
        <w:fldChar w:fldCharType="separate"/>
      </w:r>
      <w:r>
        <w:rPr>
          <w:noProof/>
        </w:rPr>
        <w:t>118</w:t>
      </w:r>
      <w:r>
        <w:rPr>
          <w:noProof/>
        </w:rPr>
        <w:fldChar w:fldCharType="end"/>
      </w:r>
    </w:p>
    <w:p w14:paraId="7B575E8C" w14:textId="26D9685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dieser Fall gezeigt hat</w:t>
      </w:r>
      <w:r>
        <w:rPr>
          <w:noProof/>
        </w:rPr>
        <w:tab/>
      </w:r>
      <w:r>
        <w:rPr>
          <w:noProof/>
        </w:rPr>
        <w:fldChar w:fldCharType="begin"/>
      </w:r>
      <w:r>
        <w:rPr>
          <w:noProof/>
        </w:rPr>
        <w:instrText xml:space="preserve"> PAGEREF _Toc242103190 \h </w:instrText>
      </w:r>
      <w:r>
        <w:rPr>
          <w:noProof/>
        </w:rPr>
      </w:r>
      <w:r>
        <w:rPr>
          <w:noProof/>
        </w:rPr>
        <w:fldChar w:fldCharType="separate"/>
      </w:r>
      <w:r>
        <w:rPr>
          <w:noProof/>
        </w:rPr>
        <w:t>118</w:t>
      </w:r>
      <w:r>
        <w:rPr>
          <w:noProof/>
        </w:rPr>
        <w:fldChar w:fldCharType="end"/>
      </w:r>
    </w:p>
    <w:p w14:paraId="61D320E9" w14:textId="3654768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Die Brücke zu Dokument D</w:t>
      </w:r>
      <w:r>
        <w:rPr>
          <w:noProof/>
        </w:rPr>
        <w:tab/>
      </w:r>
      <w:r>
        <w:rPr>
          <w:noProof/>
        </w:rPr>
        <w:fldChar w:fldCharType="begin"/>
      </w:r>
      <w:r>
        <w:rPr>
          <w:noProof/>
        </w:rPr>
        <w:instrText xml:space="preserve"> PAGEREF _Toc242103191 \h </w:instrText>
      </w:r>
      <w:r>
        <w:rPr>
          <w:noProof/>
        </w:rPr>
      </w:r>
      <w:r>
        <w:rPr>
          <w:noProof/>
        </w:rPr>
        <w:fldChar w:fldCharType="separate"/>
      </w:r>
      <w:r>
        <w:rPr>
          <w:noProof/>
        </w:rPr>
        <w:t>119</w:t>
      </w:r>
      <w:r>
        <w:rPr>
          <w:noProof/>
        </w:rPr>
        <w:fldChar w:fldCharType="end"/>
      </w:r>
    </w:p>
    <w:p w14:paraId="7BA274D1" w14:textId="6D0B04F0" w:rsidR="00FA4EDF" w:rsidRDefault="00FA4EDF" w:rsidP="00FA4EDF">
      <w:pPr>
        <w:pStyle w:val="Inhopg2"/>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Das gesamte Netzwerk</w:t>
      </w:r>
      <w:r>
        <w:rPr>
          <w:noProof/>
        </w:rPr>
        <w:tab/>
      </w:r>
      <w:r>
        <w:rPr>
          <w:noProof/>
        </w:rPr>
        <w:fldChar w:fldCharType="begin"/>
      </w:r>
      <w:r>
        <w:rPr>
          <w:noProof/>
        </w:rPr>
        <w:instrText xml:space="preserve"> PAGEREF _Toc242103192 \h </w:instrText>
      </w:r>
      <w:r>
        <w:rPr>
          <w:noProof/>
        </w:rPr>
      </w:r>
      <w:r>
        <w:rPr>
          <w:noProof/>
        </w:rPr>
        <w:fldChar w:fldCharType="separate"/>
      </w:r>
      <w:r>
        <w:rPr>
          <w:noProof/>
        </w:rPr>
        <w:t>120</w:t>
      </w:r>
      <w:r>
        <w:rPr>
          <w:noProof/>
        </w:rPr>
        <w:fldChar w:fldCharType="end"/>
      </w:r>
    </w:p>
    <w:p w14:paraId="22685E87" w14:textId="6C12B2E1"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die Familie sieht</w:t>
      </w:r>
      <w:r>
        <w:rPr>
          <w:noProof/>
        </w:rPr>
        <w:tab/>
      </w:r>
      <w:r>
        <w:rPr>
          <w:noProof/>
        </w:rPr>
        <w:fldChar w:fldCharType="begin"/>
      </w:r>
      <w:r>
        <w:rPr>
          <w:noProof/>
        </w:rPr>
        <w:instrText xml:space="preserve"> PAGEREF _Toc242103193 \h </w:instrText>
      </w:r>
      <w:r>
        <w:rPr>
          <w:noProof/>
        </w:rPr>
      </w:r>
      <w:r>
        <w:rPr>
          <w:noProof/>
        </w:rPr>
        <w:fldChar w:fldCharType="separate"/>
      </w:r>
      <w:r>
        <w:rPr>
          <w:noProof/>
        </w:rPr>
        <w:t>120</w:t>
      </w:r>
      <w:r>
        <w:rPr>
          <w:noProof/>
        </w:rPr>
        <w:fldChar w:fldCharType="end"/>
      </w:r>
    </w:p>
    <w:p w14:paraId="18FF2A67" w14:textId="1D22A1D4"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dieses Schema bewirkt</w:t>
      </w:r>
      <w:r>
        <w:rPr>
          <w:noProof/>
        </w:rPr>
        <w:tab/>
      </w:r>
      <w:r>
        <w:rPr>
          <w:noProof/>
        </w:rPr>
        <w:fldChar w:fldCharType="begin"/>
      </w:r>
      <w:r>
        <w:rPr>
          <w:noProof/>
        </w:rPr>
        <w:instrText xml:space="preserve"> PAGEREF _Toc242103194 \h </w:instrText>
      </w:r>
      <w:r>
        <w:rPr>
          <w:noProof/>
        </w:rPr>
      </w:r>
      <w:r>
        <w:rPr>
          <w:noProof/>
        </w:rPr>
        <w:fldChar w:fldCharType="separate"/>
      </w:r>
      <w:r>
        <w:rPr>
          <w:noProof/>
        </w:rPr>
        <w:t>120</w:t>
      </w:r>
      <w:r>
        <w:rPr>
          <w:noProof/>
        </w:rPr>
        <w:fldChar w:fldCharType="end"/>
      </w:r>
    </w:p>
    <w:p w14:paraId="100A5E3A" w14:textId="566C4726" w:rsidR="00FA4EDF" w:rsidRDefault="00FA4EDF" w:rsidP="00FA4EDF">
      <w:pPr>
        <w:pStyle w:val="Inhopg3"/>
        <w:tabs>
          <w:tab w:val="right" w:leader="dot" w:pos="9062"/>
        </w:tabs>
        <w:divId w:val="57559685"/>
        <w:rPr>
          <w:rFonts w:asciiTheme="minorHAnsi" w:hAnsiTheme="minorHAnsi" w:cstheme="minorBidi"/>
          <w:noProof/>
          <w:kern w:val="2"/>
          <w:sz w:val="24"/>
          <w14:ligatures w14:val="standardContextual"/>
        </w:rPr>
      </w:pPr>
      <w:r w:rsidRPr="009D46F2">
        <w:rPr>
          <w:rFonts w:eastAsia="Times New Roman"/>
          <w:noProof/>
          <w:lang w:val="de-DE"/>
        </w:rPr>
        <w:t>Was nicht darin steht</w:t>
      </w:r>
      <w:r>
        <w:rPr>
          <w:noProof/>
        </w:rPr>
        <w:tab/>
      </w:r>
      <w:r>
        <w:rPr>
          <w:noProof/>
        </w:rPr>
        <w:fldChar w:fldCharType="begin"/>
      </w:r>
      <w:r>
        <w:rPr>
          <w:noProof/>
        </w:rPr>
        <w:instrText xml:space="preserve"> PAGEREF _Toc242103195 \h </w:instrText>
      </w:r>
      <w:r>
        <w:rPr>
          <w:noProof/>
        </w:rPr>
      </w:r>
      <w:r>
        <w:rPr>
          <w:noProof/>
        </w:rPr>
        <w:fldChar w:fldCharType="separate"/>
      </w:r>
      <w:r>
        <w:rPr>
          <w:noProof/>
        </w:rPr>
        <w:t>121</w:t>
      </w:r>
      <w:r>
        <w:rPr>
          <w:noProof/>
        </w:rPr>
        <w:fldChar w:fldCharType="end"/>
      </w:r>
    </w:p>
    <w:p w14:paraId="269290BD" w14:textId="78CDA25F" w:rsidR="00FA4EDF" w:rsidRDefault="00FA4EDF" w:rsidP="00FA4EDF">
      <w:pPr>
        <w:pStyle w:val="marker"/>
        <w:divId w:val="57559685"/>
        <w:rPr>
          <w:lang w:val="de-DE"/>
        </w:rPr>
      </w:pPr>
      <w:r>
        <w:rPr>
          <w:lang w:val="de-DE"/>
        </w:rPr>
        <w:fldChar w:fldCharType="end"/>
      </w:r>
    </w:p>
    <w:p w14:paraId="3E4229D2" w14:textId="77777777" w:rsidR="00FA4EDF" w:rsidRDefault="00FA4EDF">
      <w:pPr>
        <w:pStyle w:val="marker"/>
        <w:ind w:left="800" w:right="800"/>
        <w:divId w:val="982394320"/>
        <w:rPr>
          <w:lang w:val="de-DE"/>
        </w:rPr>
      </w:pPr>
      <w:r>
        <w:br w:type="page"/>
      </w:r>
    </w:p>
    <w:p w14:paraId="7E0C6533" w14:textId="77777777" w:rsidR="00FA4EDF" w:rsidRDefault="00FA4EDF">
      <w:pPr>
        <w:pStyle w:val="Kop1"/>
        <w:divId w:val="982394320"/>
        <w:rPr>
          <w:rFonts w:eastAsia="Times New Roman"/>
          <w:lang w:val="de-DE"/>
        </w:rPr>
      </w:pPr>
      <w:bookmarkStart w:id="1" w:name="_Toc242103037"/>
      <w:r>
        <w:rPr>
          <w:rFonts w:eastAsia="Times New Roman"/>
          <w:lang w:val="de-DE"/>
        </w:rPr>
        <w:t>Einleitung und Lesehinweise</w:t>
      </w:r>
      <w:bookmarkEnd w:id="1"/>
    </w:p>
    <w:p w14:paraId="3C936398" w14:textId="77777777" w:rsidR="00FA4EDF" w:rsidRDefault="00FA4EDF">
      <w:pPr>
        <w:pStyle w:val="lead"/>
        <w:divId w:val="982394320"/>
        <w:rPr>
          <w:lang w:val="de-DE"/>
        </w:rPr>
      </w:pPr>
      <w:r>
        <w:rPr>
          <w:lang w:val="de-DE"/>
        </w:rPr>
        <w:t>Dokument C ist das visuelle Dokument des System-Audit-Projekts. Es zeigt auf einen Blick, was in den anderen Dokumenten verstreut dargestellt ist: die Struktur des Netzwerks, die Abläufe zwischen den Instanzen und die Mechanismen, die zu Fehlern führen.</w:t>
      </w:r>
    </w:p>
    <w:p w14:paraId="7D6080AD" w14:textId="77777777" w:rsidR="00FA4EDF" w:rsidRDefault="00FA4EDF">
      <w:pPr>
        <w:pStyle w:val="Kop2"/>
        <w:divId w:val="982394320"/>
        <w:rPr>
          <w:rFonts w:eastAsia="Times New Roman"/>
          <w:lang w:val="de-DE"/>
        </w:rPr>
      </w:pPr>
      <w:bookmarkStart w:id="2" w:name="_Toc242103038"/>
      <w:r>
        <w:rPr>
          <w:rFonts w:eastAsia="Times New Roman"/>
          <w:lang w:val="de-DE"/>
        </w:rPr>
        <w:t>Was dieses Dokument ist</w:t>
      </w:r>
      <w:bookmarkEnd w:id="2"/>
    </w:p>
    <w:p w14:paraId="7A357178" w14:textId="77777777" w:rsidR="00FA4EDF" w:rsidRDefault="00FA4EDF">
      <w:pPr>
        <w:pStyle w:val="Normaalweb"/>
        <w:divId w:val="982394320"/>
        <w:rPr>
          <w:lang w:val="de-DE"/>
        </w:rPr>
      </w:pPr>
      <w:r>
        <w:rPr>
          <w:lang w:val="de-DE"/>
        </w:rPr>
        <w:t xml:space="preserve">Dokument C ist keine Wiederholung der anderen Dokumente in ihrer Darstellung. Es handelt sich um eine eigenständige Perspektive, die ausschließlich in Schemata zum Ausdruck kommt. Während Dokument A die Geschichte erzählt, Dokument B die Fakten ordnet und Dokument D die Schlussfolgerungen zieht, zeigt Dokument C die </w:t>
      </w:r>
      <w:r>
        <w:rPr>
          <w:rStyle w:val="Zwaar"/>
          <w:lang w:val="de-DE"/>
        </w:rPr>
        <w:t>Architektur</w:t>
      </w:r>
      <w:r>
        <w:rPr>
          <w:lang w:val="de-DE"/>
        </w:rPr>
        <w:t>, die all diesen Fakten zugrunde liegt.</w:t>
      </w:r>
    </w:p>
    <w:p w14:paraId="6F4EF5E9" w14:textId="77777777" w:rsidR="00FA4EDF" w:rsidRDefault="00FA4EDF">
      <w:pPr>
        <w:pStyle w:val="Normaalweb"/>
        <w:divId w:val="982394320"/>
        <w:rPr>
          <w:lang w:val="de-DE"/>
        </w:rPr>
      </w:pPr>
      <w:r>
        <w:rPr>
          <w:lang w:val="de-DE"/>
        </w:rPr>
        <w:t>Das Dokument ist in Form einer Reihe von Kapiteln aufgebaut. Jedes Kapitel besteht aus einer eigenen Übersicht mit einem kurzen Text. Keine zusammenhängende Erzählung, keine langen Analysen. Jede Übersicht veranschaulicht einen Mechanismus, ein Muster oder einen Zusammenhang, der zwar in den anderen Dokumenten zu finden ist, dort jedoch nie auf einen Blick erfasst werden kann.</w:t>
      </w:r>
    </w:p>
    <w:p w14:paraId="433CEC72" w14:textId="77777777" w:rsidR="00FA4EDF" w:rsidRDefault="00FA4EDF">
      <w:pPr>
        <w:pStyle w:val="Kop2"/>
        <w:divId w:val="982394320"/>
        <w:rPr>
          <w:rFonts w:eastAsia="Times New Roman"/>
          <w:lang w:val="de-DE"/>
        </w:rPr>
      </w:pPr>
      <w:bookmarkStart w:id="3" w:name="_Toc242103039"/>
      <w:r>
        <w:rPr>
          <w:rFonts w:eastAsia="Times New Roman"/>
          <w:lang w:val="de-DE"/>
        </w:rPr>
        <w:t>Der Unterschied zu den anderen Dokumenten</w:t>
      </w:r>
      <w:bookmarkEnd w:id="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7234A5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347B48C" w14:textId="77777777" w:rsidR="00FA4EDF" w:rsidRDefault="00FA4EDF">
            <w:pPr>
              <w:pStyle w:val="Normaalweb"/>
              <w:spacing w:before="120"/>
              <w:jc w:val="center"/>
              <w:rPr>
                <w:sz w:val="21"/>
                <w:szCs w:val="21"/>
              </w:rPr>
            </w:pPr>
            <w:r>
              <w:rPr>
                <w:noProof/>
                <w:sz w:val="21"/>
                <w:szCs w:val="21"/>
              </w:rPr>
              <w:drawing>
                <wp:inline distT="0" distB="0" distL="0" distR="0" wp14:anchorId="356837B0" wp14:editId="4BDF3A95">
                  <wp:extent cx="3810000" cy="11811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0E61E40" w14:textId="77777777" w:rsidR="00FA4EDF" w:rsidRDefault="00FA4EDF">
            <w:pPr>
              <w:pStyle w:val="caption"/>
              <w:spacing w:after="120" w:afterAutospacing="0"/>
            </w:pPr>
            <w:r>
              <w:rPr>
                <w:rStyle w:val="Zwaar"/>
              </w:rPr>
              <w:t>Abbildung 0.1 – Die fünf Dokumente.</w:t>
            </w:r>
            <w:r>
              <w:t xml:space="preserve"> Jedes Dokument hat eine eigene Funktion. Dokument 0 ist die Einleitung und der Leitfaden, Dokument A ist der narrative Auditbericht, Dokument B ist die Datenmatrix, Dokument C ist die visuelle Architektur, Dokument D ist die Synthese. Dokument C zeigt die Architektur, die allem zugrunde liegt.</w:t>
            </w:r>
          </w:p>
        </w:tc>
      </w:tr>
    </w:tbl>
    <w:p w14:paraId="7FE83502" w14:textId="77777777" w:rsidR="00FA4EDF" w:rsidRDefault="00FA4EDF">
      <w:pPr>
        <w:pStyle w:val="Kop2"/>
        <w:divId w:val="982394320"/>
        <w:rPr>
          <w:rFonts w:eastAsia="Times New Roman"/>
          <w:lang w:val="de-DE"/>
        </w:rPr>
      </w:pPr>
      <w:bookmarkStart w:id="4" w:name="_Toc242103040"/>
      <w:r>
        <w:rPr>
          <w:rFonts w:eastAsia="Times New Roman"/>
          <w:lang w:val="de-DE"/>
        </w:rPr>
        <w:t>Die feste Grammatik</w:t>
      </w:r>
      <w:bookmarkEnd w:id="4"/>
    </w:p>
    <w:p w14:paraId="0A469786" w14:textId="77777777" w:rsidR="00FA4EDF" w:rsidRDefault="00FA4EDF">
      <w:pPr>
        <w:pStyle w:val="Normaalweb"/>
        <w:divId w:val="982394320"/>
        <w:rPr>
          <w:lang w:val="de-DE"/>
        </w:rPr>
      </w:pPr>
      <w:r>
        <w:rPr>
          <w:lang w:val="de-DE"/>
        </w:rPr>
        <w:lastRenderedPageBreak/>
        <w:t>Jedes Kapitel von Dokument C verwendet dieselbe visuelle Sprache. Wer diese Sprache einmal beherrscht, kann jedes Schema lesen. Hier folgt das Vokabular.</w:t>
      </w:r>
    </w:p>
    <w:p w14:paraId="512FA4A7" w14:textId="77777777" w:rsidR="00FA4EDF" w:rsidRDefault="00FA4EDF">
      <w:pPr>
        <w:pStyle w:val="Kop3"/>
        <w:divId w:val="982394320"/>
        <w:rPr>
          <w:rFonts w:eastAsia="Times New Roman"/>
          <w:lang w:val="de-DE"/>
        </w:rPr>
      </w:pPr>
      <w:bookmarkStart w:id="5" w:name="_Toc242103041"/>
      <w:r>
        <w:rPr>
          <w:rFonts w:eastAsia="Times New Roman"/>
          <w:lang w:val="de-DE"/>
        </w:rPr>
        <w:t>Die beiden Welten</w:t>
      </w:r>
      <w:bookmarkEnd w:id="5"/>
    </w:p>
    <w:p w14:paraId="2BCC849E" w14:textId="77777777" w:rsidR="00FA4EDF" w:rsidRDefault="00FA4EDF">
      <w:pPr>
        <w:pStyle w:val="Normaalweb"/>
        <w:divId w:val="982394320"/>
        <w:rPr>
          <w:lang w:val="de-DE"/>
        </w:rPr>
      </w:pPr>
      <w:r>
        <w:rPr>
          <w:lang w:val="de-DE"/>
        </w:rPr>
        <w:t xml:space="preserve">Belgien und die Niederlande werden als zwei </w:t>
      </w:r>
      <w:r>
        <w:rPr>
          <w:rStyle w:val="Zwaar"/>
          <w:lang w:val="de-DE"/>
        </w:rPr>
        <w:t>Welten</w:t>
      </w:r>
      <w:r>
        <w:rPr>
          <w:lang w:val="de-DE"/>
        </w:rPr>
        <w:t xml:space="preserve"> dargestellt: starre, geschlossene Systeme, die ihre Regeln nicht an die Bedürfnisse eines Bürgers anpassen, der in beiden Ländern gleichzeitig lebt. Beide Welten bestehen aus </w:t>
      </w:r>
      <w:r>
        <w:rPr>
          <w:rStyle w:val="Zwaar"/>
          <w:lang w:val="de-DE"/>
        </w:rPr>
        <w:t>vier konzentrischen Ebenen</w:t>
      </w:r>
      <w:r>
        <w:rPr>
          <w:lang w:val="de-DE"/>
        </w:rPr>
        <w:t>: Umsetzung, Aufsicht, Politik, Symbolik.</w:t>
      </w:r>
    </w:p>
    <w:p w14:paraId="60087517" w14:textId="77777777" w:rsidR="00FA4EDF" w:rsidRDefault="00FA4EDF">
      <w:pPr>
        <w:pStyle w:val="Kop3"/>
        <w:divId w:val="982394320"/>
        <w:rPr>
          <w:rFonts w:eastAsia="Times New Roman"/>
          <w:lang w:val="de-DE"/>
        </w:rPr>
      </w:pPr>
      <w:bookmarkStart w:id="6" w:name="_Toc242103042"/>
      <w:r>
        <w:rPr>
          <w:rFonts w:eastAsia="Times New Roman"/>
          <w:lang w:val="de-DE"/>
        </w:rPr>
        <w:t>Die Membran</w:t>
      </w:r>
      <w:bookmarkEnd w:id="6"/>
    </w:p>
    <w:p w14:paraId="3F80EF70" w14:textId="77777777" w:rsidR="00FA4EDF" w:rsidRDefault="00FA4EDF">
      <w:pPr>
        <w:pStyle w:val="Normaalweb"/>
        <w:divId w:val="982394320"/>
        <w:rPr>
          <w:lang w:val="de-DE"/>
        </w:rPr>
      </w:pPr>
      <w:r>
        <w:rPr>
          <w:lang w:val="de-DE"/>
        </w:rPr>
        <w:t xml:space="preserve">Die Familie lebt zwischen zwei Welten. Die Familie ist keine Kugel, sondern eine </w:t>
      </w:r>
      <w:r>
        <w:rPr>
          <w:rStyle w:val="Zwaar"/>
          <w:lang w:val="de-DE"/>
        </w:rPr>
        <w:t>Membran</w:t>
      </w:r>
      <w:r>
        <w:rPr>
          <w:lang w:val="de-DE"/>
        </w:rPr>
        <w:t>: eine flexible, durchsichtige Form, die sich je nach den Anforderungen des Tages ausdehnt und zusammenzieht. Am Wochenende ganz in den Niederlanden, an Werktagen über beide Welten verteilt.</w:t>
      </w:r>
    </w:p>
    <w:p w14:paraId="506E6DBC" w14:textId="77777777" w:rsidR="00FA4EDF" w:rsidRDefault="00FA4EDF">
      <w:pPr>
        <w:pStyle w:val="Kop3"/>
        <w:divId w:val="982394320"/>
        <w:rPr>
          <w:rFonts w:eastAsia="Times New Roman"/>
          <w:lang w:val="de-DE"/>
        </w:rPr>
      </w:pPr>
      <w:bookmarkStart w:id="7" w:name="_Toc242103043"/>
      <w:r>
        <w:rPr>
          <w:rFonts w:eastAsia="Times New Roman"/>
          <w:lang w:val="de-DE"/>
        </w:rPr>
        <w:t>Die drei Kanäle</w:t>
      </w:r>
      <w:bookmarkEnd w:id="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F6B6A2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7749B2A" w14:textId="77777777" w:rsidR="00FA4EDF" w:rsidRDefault="00FA4EDF">
            <w:pPr>
              <w:pStyle w:val="Normaalweb"/>
              <w:spacing w:before="120"/>
              <w:jc w:val="center"/>
              <w:rPr>
                <w:sz w:val="21"/>
                <w:szCs w:val="21"/>
              </w:rPr>
            </w:pPr>
            <w:r>
              <w:rPr>
                <w:noProof/>
                <w:sz w:val="21"/>
                <w:szCs w:val="21"/>
              </w:rPr>
              <w:drawing>
                <wp:inline distT="0" distB="0" distL="0" distR="0" wp14:anchorId="32519359" wp14:editId="02B098B6">
                  <wp:extent cx="3810000" cy="1041400"/>
                  <wp:effectExtent l="0" t="0" r="0" b="635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0F717A3F" w14:textId="77777777" w:rsidR="00FA4EDF" w:rsidRDefault="00FA4EDF">
            <w:pPr>
              <w:pStyle w:val="caption"/>
              <w:spacing w:after="120" w:afterAutospacing="0"/>
            </w:pPr>
            <w:r>
              <w:rPr>
                <w:rStyle w:val="Zwaar"/>
              </w:rPr>
              <w:t>Abbildung 0.2 – Die drei Kanäle.</w:t>
            </w:r>
            <w:r>
              <w:t xml:space="preserve"> Die Art eines Kanals bestimmt, ob Daten durchfließen, sich stauen oder vollständig blockiert werden. Kanal 1 dient der nachträglichen Kontrolle und Erhebung; nicht der vorausschauenden Information der Bürger.</w:t>
            </w:r>
          </w:p>
        </w:tc>
      </w:tr>
    </w:tbl>
    <w:p w14:paraId="26D4148A" w14:textId="77777777" w:rsidR="00FA4EDF" w:rsidRDefault="00FA4EDF">
      <w:pPr>
        <w:pStyle w:val="Kop3"/>
        <w:divId w:val="982394320"/>
        <w:rPr>
          <w:rFonts w:eastAsia="Times New Roman"/>
          <w:lang w:val="de-DE"/>
        </w:rPr>
      </w:pPr>
      <w:bookmarkStart w:id="8" w:name="_Toc242103044"/>
      <w:r>
        <w:rPr>
          <w:rFonts w:eastAsia="Times New Roman"/>
          <w:lang w:val="de-DE"/>
        </w:rPr>
        <w:t>Die Farben</w:t>
      </w:r>
      <w:bookmarkEnd w:id="8"/>
    </w:p>
    <w:p w14:paraId="3124B8B7" w14:textId="77777777" w:rsidR="00FA4EDF" w:rsidRDefault="00FA4EDF">
      <w:pPr>
        <w:pStyle w:val="Normaalweb"/>
        <w:divId w:val="982394320"/>
        <w:rPr>
          <w:lang w:val="de-DE"/>
        </w:rPr>
      </w:pPr>
      <w:r>
        <w:rPr>
          <w:lang w:val="de-DE"/>
        </w:rPr>
        <w:t>In den Diagrammen werden Verbindungen je nach dem, was geschieht, farblich gekennzeichnet:</w:t>
      </w:r>
    </w:p>
    <w:p w14:paraId="68CF225D" w14:textId="77777777" w:rsidR="00FA4EDF" w:rsidRDefault="00FA4EDF">
      <w:pPr>
        <w:numPr>
          <w:ilvl w:val="0"/>
          <w:numId w:val="1"/>
        </w:numPr>
        <w:spacing w:before="100" w:beforeAutospacing="1" w:after="100" w:afterAutospacing="1"/>
        <w:divId w:val="982394320"/>
        <w:rPr>
          <w:rFonts w:eastAsia="Times New Roman"/>
          <w:lang w:val="de-DE"/>
        </w:rPr>
      </w:pPr>
      <w:r>
        <w:rPr>
          <w:rStyle w:val="Zwaar"/>
          <w:rFonts w:eastAsia="Times New Roman"/>
          <w:lang w:val="de-DE"/>
        </w:rPr>
        <w:t>Grün</w:t>
      </w:r>
      <w:r>
        <w:rPr>
          <w:rFonts w:eastAsia="Times New Roman"/>
          <w:lang w:val="de-DE"/>
        </w:rPr>
        <w:t xml:space="preserve"> </w:t>
      </w:r>
      <w:r>
        <w:rPr>
          <w:rFonts w:eastAsia="Times New Roman"/>
          <w:lang w:val="de-DE"/>
        </w:rPr>
        <w:t>– der Verkehrsfluss funktioniert. Automatisch, ohne Verzögerung, ohne menschliches Eingreifen.</w:t>
      </w:r>
    </w:p>
    <w:p w14:paraId="6D663A7A" w14:textId="77777777" w:rsidR="00FA4EDF" w:rsidRDefault="00FA4EDF">
      <w:pPr>
        <w:numPr>
          <w:ilvl w:val="0"/>
          <w:numId w:val="1"/>
        </w:numPr>
        <w:spacing w:before="100" w:beforeAutospacing="1" w:after="100" w:afterAutospacing="1"/>
        <w:divId w:val="982394320"/>
        <w:rPr>
          <w:rFonts w:eastAsia="Times New Roman"/>
          <w:lang w:val="de-DE"/>
        </w:rPr>
      </w:pPr>
      <w:r>
        <w:rPr>
          <w:rStyle w:val="Zwaar"/>
          <w:rFonts w:eastAsia="Times New Roman"/>
          <w:lang w:val="de-DE"/>
        </w:rPr>
        <w:t>Oranje</w:t>
      </w:r>
      <w:r>
        <w:rPr>
          <w:rFonts w:eastAsia="Times New Roman"/>
          <w:lang w:val="de-DE"/>
        </w:rPr>
        <w:t xml:space="preserve"> – da gibt es Probleme. Es gibt zwar einen Kanal, aber er ist schmal, nur in eine Richtung befahrbar oder es kommt zu Verzögerungen.</w:t>
      </w:r>
    </w:p>
    <w:p w14:paraId="05DE3B5B" w14:textId="77777777" w:rsidR="00FA4EDF" w:rsidRDefault="00FA4EDF">
      <w:pPr>
        <w:numPr>
          <w:ilvl w:val="0"/>
          <w:numId w:val="1"/>
        </w:numPr>
        <w:spacing w:before="100" w:beforeAutospacing="1" w:after="100" w:afterAutospacing="1"/>
        <w:divId w:val="982394320"/>
        <w:rPr>
          <w:rFonts w:eastAsia="Times New Roman"/>
          <w:lang w:val="de-DE"/>
        </w:rPr>
      </w:pPr>
      <w:r>
        <w:rPr>
          <w:rStyle w:val="Zwaar"/>
          <w:rFonts w:eastAsia="Times New Roman"/>
          <w:lang w:val="de-DE"/>
        </w:rPr>
        <w:t>Rot</w:t>
      </w:r>
      <w:r>
        <w:rPr>
          <w:rFonts w:eastAsia="Times New Roman"/>
          <w:lang w:val="de-DE"/>
        </w:rPr>
        <w:t xml:space="preserve"> – der Kanal ist gesperrt. Es gibt keinen Kanal oder der Kanal ist geschlossen.</w:t>
      </w:r>
    </w:p>
    <w:p w14:paraId="3997CE3A" w14:textId="77777777" w:rsidR="00FA4EDF" w:rsidRDefault="00FA4EDF">
      <w:pPr>
        <w:pStyle w:val="Kop2"/>
        <w:divId w:val="982394320"/>
        <w:rPr>
          <w:rFonts w:eastAsia="Times New Roman"/>
          <w:lang w:val="de-DE"/>
        </w:rPr>
      </w:pPr>
      <w:bookmarkStart w:id="9" w:name="_Toc242103045"/>
      <w:r>
        <w:rPr>
          <w:rFonts w:eastAsia="Times New Roman"/>
          <w:lang w:val="de-DE"/>
        </w:rPr>
        <w:t>Der Aufbau dieses Dokuments</w:t>
      </w:r>
      <w:bookmarkEnd w:id="9"/>
    </w:p>
    <w:p w14:paraId="0FCF5B71" w14:textId="77777777" w:rsidR="00FA4EDF" w:rsidRDefault="00FA4EDF">
      <w:pPr>
        <w:pStyle w:val="Normaalweb"/>
        <w:divId w:val="982394320"/>
        <w:rPr>
          <w:lang w:val="de-DE"/>
        </w:rPr>
      </w:pPr>
      <w:r>
        <w:rPr>
          <w:lang w:val="de-DE"/>
        </w:rPr>
        <w:t>Dokument C folgt der menschlichen Reihenfolge. Es beginnt beim Menschen, geht dann zu Belgien über (da der Autor Belgier ist), anschließend zu den Niederlanden, dann hin und her zwischen beiden Ländern, dann zu Europa, dann zu demjenigen, der auf Europa blickt, und schließlich zur Welt, die das Ganze sehen sollte.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438495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0F3C5C2" w14:textId="77777777" w:rsidR="00FA4EDF" w:rsidRDefault="00FA4EDF">
            <w:pPr>
              <w:pStyle w:val="Normaalweb"/>
              <w:spacing w:before="120"/>
              <w:jc w:val="center"/>
              <w:rPr>
                <w:sz w:val="21"/>
                <w:szCs w:val="21"/>
              </w:rPr>
            </w:pPr>
            <w:r>
              <w:rPr>
                <w:noProof/>
                <w:sz w:val="21"/>
                <w:szCs w:val="21"/>
              </w:rPr>
              <w:drawing>
                <wp:inline distT="0" distB="0" distL="0" distR="0" wp14:anchorId="3C19E963" wp14:editId="3B1DD63C">
                  <wp:extent cx="3810000" cy="145415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42F676CC" w14:textId="77777777" w:rsidR="00FA4EDF" w:rsidRDefault="00FA4EDF">
            <w:pPr>
              <w:pStyle w:val="caption"/>
              <w:spacing w:after="120" w:afterAutospacing="0"/>
            </w:pPr>
            <w:r>
              <w:rPr>
                <w:rStyle w:val="Zwaar"/>
              </w:rPr>
              <w:t>Abbildung 0.3 – Der Weg durch dieses Dokument.</w:t>
            </w:r>
            <w:r>
              <w:t xml:space="preserve"> Sieben Abschnitte, in der Reihenfolge der menschlichen Realität: vom Körper über die beiden Länder nach Europa, zu dem, der zusieht, und schließlich zum Schluss.</w:t>
            </w:r>
          </w:p>
        </w:tc>
      </w:tr>
    </w:tbl>
    <w:p w14:paraId="7E62C1FB" w14:textId="77777777" w:rsidR="00FA4EDF" w:rsidRDefault="00FA4EDF">
      <w:pPr>
        <w:pStyle w:val="Kop2"/>
        <w:divId w:val="982394320"/>
        <w:rPr>
          <w:rFonts w:eastAsia="Times New Roman"/>
          <w:lang w:val="de-DE"/>
        </w:rPr>
      </w:pPr>
      <w:bookmarkStart w:id="10" w:name="_Toc242103046"/>
      <w:r>
        <w:rPr>
          <w:rFonts w:eastAsia="Times New Roman"/>
          <w:lang w:val="de-DE"/>
        </w:rPr>
        <w:t>Wie man es liest</w:t>
      </w:r>
      <w:bookmarkEnd w:id="10"/>
    </w:p>
    <w:p w14:paraId="2DB8B48B" w14:textId="77777777" w:rsidR="00FA4EDF" w:rsidRDefault="00FA4EDF">
      <w:pPr>
        <w:pStyle w:val="Normaalweb"/>
        <w:divId w:val="982394320"/>
        <w:rPr>
          <w:lang w:val="de-DE"/>
        </w:rPr>
      </w:pPr>
      <w:r>
        <w:rPr>
          <w:lang w:val="de-DE"/>
        </w:rPr>
        <w:t>Dokument C ist nicht dafür gedacht, in einem Durchgang von vorne bis hinten gelesen zu werden. Jedes Kapitel steht für sich allein. Der Leser kann seinen Weg selbst wählen.</w:t>
      </w:r>
    </w:p>
    <w:p w14:paraId="21F303CD" w14:textId="77777777" w:rsidR="00FA4EDF" w:rsidRDefault="00FA4EDF">
      <w:pPr>
        <w:pStyle w:val="Normaalweb"/>
        <w:divId w:val="982394320"/>
        <w:rPr>
          <w:lang w:val="de-DE"/>
        </w:rPr>
      </w:pPr>
      <w:r>
        <w:rPr>
          <w:rStyle w:val="Zwaar"/>
          <w:lang w:val="de-DE"/>
        </w:rPr>
        <w:t>Wer das Ganze verstehen möchte,</w:t>
      </w:r>
      <w:r>
        <w:rPr>
          <w:lang w:val="de-DE"/>
        </w:rPr>
        <w:t xml:space="preserve"> </w:t>
      </w:r>
      <w:r>
        <w:rPr>
          <w:rStyle w:val="Zwaar"/>
          <w:lang w:val="de-DE"/>
        </w:rPr>
        <w:t>sollte</w:t>
      </w:r>
      <w:r>
        <w:rPr>
          <w:lang w:val="de-DE"/>
        </w:rPr>
        <w:t xml:space="preserve"> mit Block I („Der Mensch“) beginnen; danach folgen die Blöcke der Reihe nach. So entsteht das Gesamtbild Schritt für Schritt: vom Menschen über die beiden Länder hin zu Europa, zum Betrachter und schließlich zum Schluss.</w:t>
      </w:r>
    </w:p>
    <w:p w14:paraId="02E59802" w14:textId="77777777" w:rsidR="00FA4EDF" w:rsidRDefault="00FA4EDF">
      <w:pPr>
        <w:pStyle w:val="Normaalweb"/>
        <w:divId w:val="982394320"/>
        <w:rPr>
          <w:lang w:val="de-DE"/>
        </w:rPr>
      </w:pPr>
      <w:r>
        <w:rPr>
          <w:rStyle w:val="Zwaar"/>
          <w:lang w:val="de-DE"/>
        </w:rPr>
        <w:t>Wer sich speziell für ein bestimmtes Thema interessiert,</w:t>
      </w:r>
      <w:r>
        <w:rPr>
          <w:lang w:val="de-DE"/>
        </w:rPr>
        <w:t xml:space="preserve"> wählt </w:t>
      </w:r>
      <w:r>
        <w:rPr>
          <w:rStyle w:val="Zwaar"/>
          <w:lang w:val="de-DE"/>
        </w:rPr>
        <w:t>einfach</w:t>
      </w:r>
      <w:r>
        <w:rPr>
          <w:lang w:val="de-DE"/>
        </w:rPr>
        <w:t xml:space="preserve"> das entsprechende Kapitel aus. Kopplungsgeschäfte, die Kaskade, das UWV, CZ, die Gemeinde, das Finanzamt, die europäische Ebene – jedes Thema hat ein eigenes Kapitel.</w:t>
      </w:r>
    </w:p>
    <w:p w14:paraId="3D05319C" w14:textId="77777777" w:rsidR="00FA4EDF" w:rsidRDefault="00FA4EDF">
      <w:pPr>
        <w:pStyle w:val="Normaalweb"/>
        <w:divId w:val="982394320"/>
        <w:rPr>
          <w:lang w:val="de-DE"/>
        </w:rPr>
      </w:pPr>
      <w:r>
        <w:rPr>
          <w:rStyle w:val="Zwaar"/>
          <w:lang w:val="de-DE"/>
        </w:rPr>
        <w:t>Wer das gesamte Netzwerk überblicken möchte,</w:t>
      </w:r>
      <w:r>
        <w:rPr>
          <w:lang w:val="de-DE"/>
        </w:rPr>
        <w:t xml:space="preserve"> </w:t>
      </w:r>
      <w:r>
        <w:rPr>
          <w:rStyle w:val="Zwaar"/>
          <w:lang w:val="de-DE"/>
        </w:rPr>
        <w:t>sollte</w:t>
      </w:r>
      <w:r>
        <w:rPr>
          <w:lang w:val="de-DE"/>
        </w:rPr>
        <w:t xml:space="preserve"> zuerst Block I (Der Mensch) lesen und anschließend das Fazit. Zusammen vermitteln diese beiden Abschnitte einen Überblick über die Struktur auf einen Blick.</w:t>
      </w:r>
    </w:p>
    <w:p w14:paraId="0B4CFFF3" w14:textId="77777777" w:rsidR="00FA4EDF" w:rsidRDefault="00FA4EDF">
      <w:pPr>
        <w:pStyle w:val="Kop2"/>
        <w:divId w:val="982394320"/>
        <w:rPr>
          <w:rFonts w:eastAsia="Times New Roman"/>
          <w:lang w:val="de-DE"/>
        </w:rPr>
      </w:pPr>
      <w:bookmarkStart w:id="11" w:name="_Toc242103047"/>
      <w:r>
        <w:rPr>
          <w:rFonts w:eastAsia="Times New Roman"/>
          <w:lang w:val="de-DE"/>
        </w:rPr>
        <w:t>Was den Leser erwartet</w:t>
      </w:r>
      <w:bookmarkEnd w:id="11"/>
    </w:p>
    <w:p w14:paraId="2403C254" w14:textId="77777777" w:rsidR="00FA4EDF" w:rsidRDefault="00FA4EDF">
      <w:pPr>
        <w:numPr>
          <w:ilvl w:val="0"/>
          <w:numId w:val="2"/>
        </w:numPr>
        <w:spacing w:before="100" w:beforeAutospacing="1" w:after="100" w:afterAutospacing="1"/>
        <w:divId w:val="982394320"/>
        <w:rPr>
          <w:rFonts w:eastAsia="Times New Roman"/>
          <w:lang w:val="de-DE"/>
        </w:rPr>
      </w:pPr>
      <w:r>
        <w:rPr>
          <w:rFonts w:eastAsia="Times New Roman"/>
          <w:lang w:val="de-DE"/>
        </w:rPr>
        <w:t>Jede Abbildung hat einen eigenen Titel und eine kurze Erläuterung unter der Abbildung.</w:t>
      </w:r>
    </w:p>
    <w:p w14:paraId="3F42DB12" w14:textId="77777777" w:rsidR="00FA4EDF" w:rsidRDefault="00FA4EDF">
      <w:pPr>
        <w:numPr>
          <w:ilvl w:val="0"/>
          <w:numId w:val="2"/>
        </w:numPr>
        <w:spacing w:before="100" w:beforeAutospacing="1" w:after="100" w:afterAutospacing="1"/>
        <w:divId w:val="982394320"/>
        <w:rPr>
          <w:rFonts w:eastAsia="Times New Roman"/>
          <w:lang w:val="de-DE"/>
        </w:rPr>
      </w:pPr>
      <w:r>
        <w:rPr>
          <w:rFonts w:eastAsia="Times New Roman"/>
          <w:lang w:val="de-DE"/>
        </w:rPr>
        <w:t>Organisationen werden als Blöcke oder als nummerierte Punkte auf einem Ring dargestellt. Die Namen sind öffentlich und werden angegeben.</w:t>
      </w:r>
    </w:p>
    <w:p w14:paraId="02DB111E" w14:textId="77777777" w:rsidR="00FA4EDF" w:rsidRDefault="00FA4EDF">
      <w:pPr>
        <w:numPr>
          <w:ilvl w:val="0"/>
          <w:numId w:val="2"/>
        </w:numPr>
        <w:spacing w:before="100" w:beforeAutospacing="1" w:after="100" w:afterAutospacing="1"/>
        <w:divId w:val="982394320"/>
        <w:rPr>
          <w:rFonts w:eastAsia="Times New Roman"/>
          <w:lang w:val="de-DE"/>
        </w:rPr>
      </w:pPr>
      <w:r>
        <w:rPr>
          <w:rFonts w:eastAsia="Times New Roman"/>
          <w:lang w:val="de-DE"/>
        </w:rPr>
        <w:t>Natürliche Personen werden mit ihrer Funktion oder ihrem Symbol bezeichnet. Niemals mit ihrem Namen.</w:t>
      </w:r>
    </w:p>
    <w:p w14:paraId="292C5BA1" w14:textId="77777777" w:rsidR="00FA4EDF" w:rsidRDefault="00FA4EDF">
      <w:pPr>
        <w:numPr>
          <w:ilvl w:val="0"/>
          <w:numId w:val="2"/>
        </w:numPr>
        <w:spacing w:before="100" w:beforeAutospacing="1" w:after="100" w:afterAutospacing="1"/>
        <w:divId w:val="982394320"/>
        <w:rPr>
          <w:rFonts w:eastAsia="Times New Roman"/>
          <w:lang w:val="de-DE"/>
        </w:rPr>
      </w:pPr>
      <w:r>
        <w:rPr>
          <w:rFonts w:eastAsia="Times New Roman"/>
          <w:lang w:val="de-DE"/>
        </w:rPr>
        <w:t>Beträge, Daten und Referenznummern stammen aus Dokument B. Ist ein Betrag oder ein Datum ungewiss, wird dies ausdrücklich vermerkt.</w:t>
      </w:r>
    </w:p>
    <w:p w14:paraId="25C3FE04" w14:textId="77777777" w:rsidR="00FA4EDF" w:rsidRDefault="00FA4EDF">
      <w:pPr>
        <w:numPr>
          <w:ilvl w:val="0"/>
          <w:numId w:val="2"/>
        </w:numPr>
        <w:spacing w:before="100" w:beforeAutospacing="1" w:after="100" w:afterAutospacing="1"/>
        <w:divId w:val="982394320"/>
        <w:rPr>
          <w:rFonts w:eastAsia="Times New Roman"/>
          <w:lang w:val="de-DE"/>
        </w:rPr>
      </w:pPr>
      <w:r>
        <w:rPr>
          <w:rFonts w:eastAsia="Times New Roman"/>
          <w:lang w:val="de-DE"/>
        </w:rPr>
        <w:t>Wo das Schema ein Muster zeigt, das in Dokument D näher erläutert wird, befindet sich ein Verweis auf das entsprechende Kapitel in D.</w:t>
      </w:r>
    </w:p>
    <w:p w14:paraId="6AF4B7B7" w14:textId="77777777" w:rsidR="00FA4EDF" w:rsidRDefault="00FA4EDF">
      <w:pPr>
        <w:pStyle w:val="Kop2"/>
        <w:divId w:val="982394320"/>
        <w:rPr>
          <w:rFonts w:eastAsia="Times New Roman"/>
          <w:lang w:val="de-DE"/>
        </w:rPr>
      </w:pPr>
      <w:bookmarkStart w:id="12" w:name="_Toc242103048"/>
      <w:r>
        <w:rPr>
          <w:rFonts w:eastAsia="Times New Roman"/>
          <w:lang w:val="de-DE"/>
        </w:rPr>
        <w:t>Die Stellung von Dokument C im Gesamtzusammenhang</w:t>
      </w:r>
      <w:bookmarkEnd w:id="12"/>
    </w:p>
    <w:p w14:paraId="4938E6A2" w14:textId="77777777" w:rsidR="00FA4EDF" w:rsidRDefault="00FA4EDF">
      <w:pPr>
        <w:pStyle w:val="Normaalweb"/>
        <w:divId w:val="982394320"/>
        <w:rPr>
          <w:lang w:val="de-DE"/>
        </w:rPr>
      </w:pPr>
      <w:r>
        <w:rPr>
          <w:lang w:val="de-DE"/>
        </w:rPr>
        <w:t>Dokument C befindet sich zwischen Dokument B und Dokument D. Während B die Fakten festhält und D die Schlussfolgerungen zieht, zeigt C die Struktur auf, die das Scheitern ermöglicht. Wer die Fakten will: B. Wer die Schlussfolgerungen will: D. Wer verstehen will, warum die Fakten zu diesen Schlussfolgerungen führen: C.</w:t>
      </w:r>
    </w:p>
    <w:p w14:paraId="26F4B822" w14:textId="77777777" w:rsidR="00FA4EDF" w:rsidRDefault="00FA4EDF">
      <w:pPr>
        <w:pStyle w:val="Normaalweb"/>
        <w:divId w:val="982394320"/>
        <w:rPr>
          <w:lang w:val="de-DE"/>
        </w:rPr>
      </w:pPr>
      <w:r>
        <w:rPr>
          <w:lang w:val="de-DE"/>
        </w:rPr>
        <w:t>Dieses Dokument verdeutlicht auf einen Blick den Kern des Kompetenzvakuums: eine Institution, zwei Welten, drei Kanäle. Und ein Bürger, der sich in der Lücke zwischen diesen beiden Welten behaupten muss.</w:t>
      </w:r>
    </w:p>
    <w:p w14:paraId="1548BDAE" w14:textId="77777777" w:rsidR="00FA4EDF" w:rsidRDefault="00FA4EDF">
      <w:pPr>
        <w:pStyle w:val="noot"/>
        <w:spacing w:after="120" w:afterAutospacing="0"/>
        <w:divId w:val="982394320"/>
        <w:rPr>
          <w:lang w:val="de-DE"/>
        </w:rPr>
      </w:pPr>
      <w:r>
        <w:rPr>
          <w:lang w:val="de-DE"/>
        </w:rPr>
        <w:t>Dies ist Dokument C – Die visuelle Architektur. Alle in diesem Dokument genannten Organisationen sind juristische Personen. Natürliche Personen werden mit ihrer Funktion oder ihrem Symbol bezeichnet. Die Fakten basieren auf Dokument B. Die Schlussfolgerungen sind in Dokument D enthalten. Dieses Dokument stellt keine Rechtsberatung dar.</w:t>
      </w:r>
    </w:p>
    <w:p w14:paraId="5FCB1BF1" w14:textId="77777777" w:rsidR="00FA4EDF" w:rsidRDefault="00FA4EDF">
      <w:pPr>
        <w:pStyle w:val="marker"/>
        <w:ind w:left="800" w:right="800"/>
        <w:divId w:val="982394320"/>
        <w:rPr>
          <w:lang w:val="de-DE"/>
        </w:rPr>
      </w:pPr>
      <w:r>
        <w:br w:type="page"/>
      </w:r>
    </w:p>
    <w:p w14:paraId="28E1669C" w14:textId="77777777" w:rsidR="00FA4EDF" w:rsidRDefault="00FA4EDF">
      <w:pPr>
        <w:pStyle w:val="Kop1"/>
        <w:divId w:val="982394320"/>
        <w:rPr>
          <w:rFonts w:eastAsia="Times New Roman"/>
          <w:lang w:val="de-DE"/>
        </w:rPr>
      </w:pPr>
      <w:bookmarkStart w:id="13" w:name="_Toc242103049"/>
      <w:r>
        <w:rPr>
          <w:rFonts w:eastAsia="Times New Roman"/>
          <w:lang w:val="de-DE"/>
        </w:rPr>
        <w:t>I. Der Mensch</w:t>
      </w:r>
      <w:bookmarkEnd w:id="13"/>
    </w:p>
    <w:p w14:paraId="6A2A24B1" w14:textId="77777777" w:rsidR="00FA4EDF" w:rsidRDefault="00FA4EDF">
      <w:pPr>
        <w:pStyle w:val="Kop2"/>
        <w:divId w:val="982394320"/>
        <w:rPr>
          <w:rFonts w:eastAsia="Times New Roman"/>
          <w:lang w:val="de-DE"/>
        </w:rPr>
      </w:pPr>
      <w:bookmarkStart w:id="14" w:name="_Toc242103050"/>
      <w:r>
        <w:rPr>
          <w:rFonts w:eastAsia="Times New Roman"/>
          <w:lang w:val="de-DE"/>
        </w:rPr>
        <w:t>Die Präsentation</w:t>
      </w:r>
      <w:bookmarkEnd w:id="14"/>
    </w:p>
    <w:p w14:paraId="6DCE9914" w14:textId="77777777" w:rsidR="00FA4EDF" w:rsidRDefault="00FA4EDF">
      <w:pPr>
        <w:pStyle w:val="lead"/>
        <w:divId w:val="982394320"/>
        <w:rPr>
          <w:lang w:val="de-DE"/>
        </w:rPr>
      </w:pPr>
      <w:r>
        <w:rPr>
          <w:lang w:val="de-DE"/>
        </w:rPr>
        <w:t>Zwei starre Welten. Eine Membran, die sich dehnt und zusammenzieht. Drei Kanäle, von denen jeder seinen eigenen Charakter hat. Und innerhalb jeder Welt vier institutionelle Ebenen, die der Bürger durchlaufen muss, um etwas zu erreichen. Dieses Kapitel zeigt das Spielfeld: wer wo steht, wie die Ebenen aufgebaut sind und welche Akteure in jeder Ebene agieren.</w:t>
      </w:r>
    </w:p>
    <w:p w14:paraId="29D37AFE" w14:textId="77777777" w:rsidR="00FA4EDF" w:rsidRDefault="00FA4EDF">
      <w:pPr>
        <w:pStyle w:val="Kop3"/>
        <w:divId w:val="982394320"/>
        <w:rPr>
          <w:rFonts w:eastAsia="Times New Roman"/>
          <w:lang w:val="de-DE"/>
        </w:rPr>
      </w:pPr>
      <w:bookmarkStart w:id="15" w:name="_Toc242103051"/>
      <w:r>
        <w:rPr>
          <w:rFonts w:eastAsia="Times New Roman"/>
          <w:lang w:val="de-DE"/>
        </w:rPr>
        <w:t>Teil I-A – Der Aufbau</w:t>
      </w:r>
      <w:bookmarkEnd w:id="15"/>
    </w:p>
    <w:p w14:paraId="31223D50" w14:textId="77777777" w:rsidR="00FA4EDF" w:rsidRDefault="00FA4EDF">
      <w:pPr>
        <w:pStyle w:val="Kop4"/>
        <w:divId w:val="982394320"/>
        <w:rPr>
          <w:rFonts w:eastAsia="Times New Roman"/>
          <w:lang w:val="de-DE"/>
        </w:rPr>
      </w:pPr>
      <w:r>
        <w:rPr>
          <w:rFonts w:eastAsia="Times New Roman"/>
          <w:lang w:val="de-DE"/>
        </w:rPr>
        <w:t>Die beiden Welten</w:t>
      </w:r>
    </w:p>
    <w:p w14:paraId="0996F424" w14:textId="77777777" w:rsidR="00FA4EDF" w:rsidRDefault="00FA4EDF">
      <w:pPr>
        <w:pStyle w:val="Normaalweb"/>
        <w:divId w:val="982394320"/>
        <w:rPr>
          <w:lang w:val="de-DE"/>
        </w:rPr>
      </w:pPr>
      <w:r>
        <w:rPr>
          <w:lang w:val="de-DE"/>
        </w:rPr>
        <w:t xml:space="preserve">In diesem Dossier werden Belgien und die Niederlande als zwei </w:t>
      </w:r>
      <w:r>
        <w:rPr>
          <w:rStyle w:val="Zwaar"/>
          <w:lang w:val="de-DE"/>
        </w:rPr>
        <w:t>Welten</w:t>
      </w:r>
      <w:r>
        <w:rPr>
          <w:lang w:val="de-DE"/>
        </w:rPr>
        <w:t xml:space="preserve"> bezeichnet: </w:t>
      </w:r>
      <w:r>
        <w:rPr>
          <w:rStyle w:val="badge-be1"/>
          <w:lang w:val="de-DE"/>
        </w:rPr>
        <w:t>die Welt Belgien</w:t>
      </w:r>
      <w:r>
        <w:rPr>
          <w:lang w:val="de-DE"/>
        </w:rPr>
        <w:t xml:space="preserve"> und </w:t>
      </w:r>
      <w:r>
        <w:rPr>
          <w:rStyle w:val="badge-nl1"/>
          <w:lang w:val="de-DE"/>
        </w:rPr>
        <w:t>die Welt Niederlande</w:t>
      </w:r>
      <w:r>
        <w:rPr>
          <w:lang w:val="de-DE"/>
        </w:rPr>
        <w:t>. Jede Welt ist ein in sich geschlossenes, souveränes Rechts- und Vollzugsgefüge. Für einen Bürger, der seinen gesamten Lebensweg innerhalb einer einzigen Welt zurücklegt, greifen die internen Verbindungen in der Regel nahtlos ineinander.</w:t>
      </w:r>
    </w:p>
    <w:p w14:paraId="7F20C6E4" w14:textId="77777777" w:rsidR="00FA4EDF" w:rsidRDefault="00FA4EDF">
      <w:pPr>
        <w:pStyle w:val="Normaalweb"/>
        <w:divId w:val="982394320"/>
        <w:rPr>
          <w:lang w:val="de-DE"/>
        </w:rPr>
      </w:pPr>
      <w:r>
        <w:rPr>
          <w:lang w:val="de-DE"/>
        </w:rPr>
        <w:t xml:space="preserve">Beide Welten sind jedoch </w:t>
      </w:r>
      <w:r>
        <w:rPr>
          <w:rStyle w:val="Zwaar"/>
          <w:lang w:val="de-DE"/>
        </w:rPr>
        <w:t>starr</w:t>
      </w:r>
      <w:r>
        <w:rPr>
          <w:lang w:val="de-DE"/>
        </w:rPr>
        <w:t>. Sie sind nicht flexibel. Sie passen ihre administrativen Grenzen nicht an, wenn ein Bürger von seinem Recht auf Freizügigkeit Gebrauch macht. Jede Welt prüft Anträge ausschließlich anhand nationaler Definitionen, nationaler medizinischer Tarife und territorialer Bedingungen – das Wohnsitzprinzip steht dem Arbeitslandprinzip gegenüber. Die beiden Welten grenzen physisch an der Staatsgrenze aneinander und reiben aneinander, verschmelzen jedoch auf der Umsetzungsebene nirgendwo miteinander.</w:t>
      </w:r>
    </w:p>
    <w:p w14:paraId="277B136A" w14:textId="77777777" w:rsidR="00FA4EDF" w:rsidRDefault="00FA4EDF">
      <w:pPr>
        <w:pStyle w:val="Kop4"/>
        <w:divId w:val="982394320"/>
        <w:rPr>
          <w:rFonts w:eastAsia="Times New Roman"/>
          <w:lang w:val="de-DE"/>
        </w:rPr>
      </w:pPr>
      <w:r>
        <w:rPr>
          <w:rFonts w:eastAsia="Times New Roman"/>
          <w:lang w:val="de-DE"/>
        </w:rPr>
        <w:t>Die Membran</w:t>
      </w:r>
    </w:p>
    <w:p w14:paraId="37A48347" w14:textId="77777777" w:rsidR="00FA4EDF" w:rsidRDefault="00FA4EDF">
      <w:pPr>
        <w:pStyle w:val="Normaalweb"/>
        <w:divId w:val="982394320"/>
        <w:rPr>
          <w:lang w:val="de-DE"/>
        </w:rPr>
      </w:pPr>
      <w:r>
        <w:rPr>
          <w:lang w:val="de-DE"/>
        </w:rPr>
        <w:t xml:space="preserve">Zwischen diesen beiden starren Welten befindet sich </w:t>
      </w:r>
      <w:r>
        <w:rPr>
          <w:rStyle w:val="badge-mem1"/>
          <w:lang w:val="de-DE"/>
        </w:rPr>
        <w:t>die Membran</w:t>
      </w:r>
      <w:r>
        <w:rPr>
          <w:lang w:val="de-DE"/>
        </w:rPr>
        <w:t>: die Familie. Im Gegensatz zu den beiden nationalen Systemen hat die Familie keine feste geometrische Form. Sie ist eine durchlässige, unregelmäßige Form, die sich dehnen und zusammenziehen muss, um die Unvereinbarkeit zwischen beiden Systemen auszugleichen. Während die Institutionen starr bleiben, wird vom Bürger vollständige Flexibilität verlangt.</w:t>
      </w:r>
    </w:p>
    <w:p w14:paraId="3D4D165B" w14:textId="77777777" w:rsidR="00FA4EDF" w:rsidRDefault="00FA4EDF">
      <w:pPr>
        <w:pStyle w:val="Normaalweb"/>
        <w:divId w:val="982394320"/>
        <w:rPr>
          <w:lang w:val="de-DE"/>
        </w:rPr>
      </w:pPr>
      <w:r>
        <w:rPr>
          <w:lang w:val="de-DE"/>
        </w:rPr>
        <w:t>Die Membran führt eine zyklische Bewegung mit zwei Positionen aus:</w:t>
      </w:r>
    </w:p>
    <w:p w14:paraId="515F798C" w14:textId="77777777" w:rsidR="00FA4EDF" w:rsidRDefault="00FA4EDF">
      <w:pPr>
        <w:numPr>
          <w:ilvl w:val="0"/>
          <w:numId w:val="3"/>
        </w:numPr>
        <w:spacing w:before="100" w:beforeAutospacing="1" w:after="100" w:afterAutospacing="1"/>
        <w:divId w:val="982394320"/>
        <w:rPr>
          <w:rFonts w:eastAsia="Times New Roman"/>
          <w:lang w:val="de-DE"/>
        </w:rPr>
      </w:pPr>
      <w:r>
        <w:rPr>
          <w:rStyle w:val="Zwaar"/>
          <w:rFonts w:eastAsia="Times New Roman"/>
          <w:lang w:val="de-DE"/>
        </w:rPr>
        <w:t>Alltags-Status</w:t>
      </w:r>
      <w:r>
        <w:rPr>
          <w:rFonts w:eastAsia="Times New Roman"/>
          <w:lang w:val="de-DE"/>
        </w:rPr>
        <w:t xml:space="preserve"> (durchgezogene Kontur): Die Familie lebt in beiden Ländern. Sie wohnt in den Niederlanden, überquert aber täglich die Grenze, um zur Schule zu gehen, medizinische Behandlungen in Anspruch zu nehmen und laufende Verfahren auf belgischer Seite zu erledigen.</w:t>
      </w:r>
    </w:p>
    <w:p w14:paraId="56C6DD8E" w14:textId="77777777" w:rsidR="00FA4EDF" w:rsidRDefault="00FA4EDF">
      <w:pPr>
        <w:numPr>
          <w:ilvl w:val="0"/>
          <w:numId w:val="3"/>
        </w:numPr>
        <w:spacing w:before="100" w:beforeAutospacing="1" w:after="100" w:afterAutospacing="1"/>
        <w:divId w:val="982394320"/>
        <w:rPr>
          <w:rFonts w:eastAsia="Times New Roman"/>
          <w:lang w:val="de-DE"/>
        </w:rPr>
      </w:pPr>
      <w:r>
        <w:rPr>
          <w:rStyle w:val="Zwaar"/>
          <w:rFonts w:eastAsia="Times New Roman"/>
          <w:lang w:val="de-DE"/>
        </w:rPr>
        <w:t>Wochenendstatus</w:t>
      </w:r>
      <w:r>
        <w:rPr>
          <w:rFonts w:eastAsia="Times New Roman"/>
          <w:lang w:val="de-DE"/>
        </w:rPr>
        <w:t xml:space="preserve"> (gepunktete Kontur): Die Membran zieht sich in den niederländischen Raum zurück. Die physische Präsenz befindet sich dann vollständig in den Niederlanden, während die rechtliche und finanzielle Abhängigkeit von Belgien unvermindert fortbesteht.</w:t>
      </w:r>
    </w:p>
    <w:p w14:paraId="262E676E" w14:textId="77777777" w:rsidR="00FA4EDF" w:rsidRDefault="00FA4EDF">
      <w:pPr>
        <w:pStyle w:val="Normaalweb"/>
        <w:divId w:val="982394320"/>
        <w:rPr>
          <w:lang w:val="de-DE"/>
        </w:rPr>
      </w:pPr>
      <w:r>
        <w:rPr>
          <w:lang w:val="de-DE"/>
        </w:rPr>
        <w:t>Innerhalb der Membran befinden sich drei Personen, die durch Symbole dargestellt werden:</w:t>
      </w:r>
    </w:p>
    <w:p w14:paraId="5D42AE71" w14:textId="77777777" w:rsidR="00FA4EDF" w:rsidRDefault="00FA4EDF">
      <w:pPr>
        <w:numPr>
          <w:ilvl w:val="0"/>
          <w:numId w:val="4"/>
        </w:numPr>
        <w:spacing w:before="100" w:beforeAutospacing="1" w:after="100" w:afterAutospacing="1"/>
        <w:divId w:val="982394320"/>
        <w:rPr>
          <w:rFonts w:eastAsia="Times New Roman"/>
          <w:lang w:val="de-DE"/>
        </w:rPr>
      </w:pPr>
      <w:r>
        <w:rPr>
          <w:rStyle w:val="Zwaar"/>
          <w:rFonts w:eastAsia="Times New Roman"/>
          <w:lang w:val="de-DE"/>
        </w:rPr>
        <w:t>Der Vater (</w:t>
      </w:r>
      <w:r>
        <w:rPr>
          <w:rStyle w:val="Zwaar"/>
          <w:rFonts w:ascii="Segoe UI Symbol" w:eastAsia="Times New Roman" w:hAnsi="Segoe UI Symbol" w:cs="Segoe UI Symbol"/>
          <w:lang w:val="de-DE"/>
        </w:rPr>
        <w:t>♂</w:t>
      </w:r>
      <w:r>
        <w:rPr>
          <w:rStyle w:val="Zwaar"/>
          <w:rFonts w:eastAsia="Times New Roman"/>
          <w:lang w:val="de-DE"/>
        </w:rPr>
        <w:t>)</w:t>
      </w:r>
      <w:r>
        <w:rPr>
          <w:rFonts w:eastAsia="Times New Roman"/>
          <w:lang w:val="de-DE"/>
        </w:rPr>
        <w:t xml:space="preserve"> – Belgier französisch-italienischer Herkunft, in Belgien geboren, wohnhaft in den Niederlanden. Seine Berufs- und Krankengeschichte spielt sich in Belgien ab; sein Wohnort sowie ein Teil seiner Beziehungen im Bereich der Gesundheitsversorgung und Sozialleistungen liegen in den Niederlanden.</w:t>
      </w:r>
    </w:p>
    <w:p w14:paraId="622B09D4" w14:textId="77777777" w:rsidR="00FA4EDF" w:rsidRDefault="00FA4EDF">
      <w:pPr>
        <w:numPr>
          <w:ilvl w:val="0"/>
          <w:numId w:val="4"/>
        </w:numPr>
        <w:spacing w:before="100" w:beforeAutospacing="1" w:after="100" w:afterAutospacing="1"/>
        <w:divId w:val="982394320"/>
        <w:rPr>
          <w:rFonts w:eastAsia="Times New Roman"/>
          <w:lang w:val="de-DE"/>
        </w:rPr>
      </w:pPr>
      <w:r>
        <w:rPr>
          <w:rStyle w:val="Zwaar"/>
          <w:rFonts w:eastAsia="Times New Roman"/>
          <w:lang w:val="de-DE"/>
        </w:rPr>
        <w:t>Die Mutter (</w:t>
      </w:r>
      <w:r>
        <w:rPr>
          <w:rStyle w:val="Zwaar"/>
          <w:rFonts w:ascii="Segoe UI Symbol" w:eastAsia="Times New Roman" w:hAnsi="Segoe UI Symbol" w:cs="Segoe UI Symbol"/>
          <w:lang w:val="de-DE"/>
        </w:rPr>
        <w:t>♀</w:t>
      </w:r>
      <w:r>
        <w:rPr>
          <w:rStyle w:val="Zwaar"/>
          <w:rFonts w:eastAsia="Times New Roman"/>
          <w:lang w:val="de-DE"/>
        </w:rPr>
        <w:t>)</w:t>
      </w:r>
      <w:r>
        <w:rPr>
          <w:rFonts w:eastAsia="Times New Roman"/>
          <w:lang w:val="de-DE"/>
        </w:rPr>
        <w:t xml:space="preserve"> – Belgierin, wohnhaft in den Niederlanden. Sie arbeitet in Belgien und fungiert als logistische und administrative Drehscheibe zwischen dem niederländischen Wohnort und den belgischen Behörden.</w:t>
      </w:r>
    </w:p>
    <w:p w14:paraId="2824EF9F" w14:textId="77777777" w:rsidR="00FA4EDF" w:rsidRDefault="00FA4EDF">
      <w:pPr>
        <w:numPr>
          <w:ilvl w:val="0"/>
          <w:numId w:val="4"/>
        </w:numPr>
        <w:spacing w:before="100" w:beforeAutospacing="1" w:after="100" w:afterAutospacing="1"/>
        <w:divId w:val="982394320"/>
        <w:rPr>
          <w:rFonts w:eastAsia="Times New Roman"/>
          <w:lang w:val="de-DE"/>
        </w:rPr>
      </w:pPr>
      <w:r>
        <w:rPr>
          <w:rStyle w:val="Zwaar"/>
          <w:rFonts w:eastAsia="Times New Roman"/>
          <w:lang w:val="de-DE"/>
        </w:rPr>
        <w:t xml:space="preserve">Der Sohn (der Kleine </w:t>
      </w:r>
      <w:r>
        <w:rPr>
          <w:rStyle w:val="Zwaar"/>
          <w:rFonts w:ascii="Segoe UI Symbol" w:eastAsia="Times New Roman" w:hAnsi="Segoe UI Symbol" w:cs="Segoe UI Symbol"/>
          <w:lang w:val="de-DE"/>
        </w:rPr>
        <w:t>♂</w:t>
      </w:r>
      <w:r>
        <w:rPr>
          <w:rStyle w:val="Zwaar"/>
          <w:rFonts w:eastAsia="Times New Roman"/>
          <w:lang w:val="de-DE"/>
        </w:rPr>
        <w:t>)</w:t>
      </w:r>
      <w:r>
        <w:rPr>
          <w:rFonts w:eastAsia="Times New Roman"/>
          <w:lang w:val="de-DE"/>
        </w:rPr>
        <w:t xml:space="preserve"> – wohnt in den Niederlanden, besucht die Schule in Flandern. Er bewegt sich täglich über die Grenze zwischen dem niederländischen Wohnsitzland und dem flämischen Bildungs- und Kindergeldsystem.</w:t>
      </w:r>
    </w:p>
    <w:p w14:paraId="2C0965EE" w14:textId="77777777" w:rsidR="00FA4EDF" w:rsidRDefault="00FA4EDF">
      <w:pPr>
        <w:pStyle w:val="Kop4"/>
        <w:divId w:val="982394320"/>
        <w:rPr>
          <w:rFonts w:eastAsia="Times New Roman"/>
          <w:lang w:val="de-DE"/>
        </w:rPr>
      </w:pPr>
      <w:r>
        <w:rPr>
          <w:rFonts w:eastAsia="Times New Roman"/>
          <w:lang w:val="de-DE"/>
        </w:rPr>
        <w:t>Die vier institutionellen Ebenen</w:t>
      </w:r>
    </w:p>
    <w:p w14:paraId="7F9813A7" w14:textId="77777777" w:rsidR="00FA4EDF" w:rsidRDefault="00FA4EDF">
      <w:pPr>
        <w:pStyle w:val="Normaalweb"/>
        <w:divId w:val="982394320"/>
        <w:rPr>
          <w:lang w:val="de-DE"/>
        </w:rPr>
      </w:pPr>
      <w:r>
        <w:rPr>
          <w:lang w:val="de-DE"/>
        </w:rPr>
        <w:t>Jede Welt besteht von außen nach innen aus vier konzentrischen Ringen. Wer in der äußersten Schicht feststeckt und weiter oben Schutz sucht, bewegt sich von außen nach innen durch diese vier Schichten:</w:t>
      </w:r>
    </w:p>
    <w:p w14:paraId="0836F6B7" w14:textId="77777777" w:rsidR="00FA4EDF" w:rsidRDefault="00FA4EDF">
      <w:pPr>
        <w:numPr>
          <w:ilvl w:val="0"/>
          <w:numId w:val="5"/>
        </w:numPr>
        <w:spacing w:before="100" w:beforeAutospacing="1" w:after="100" w:afterAutospacing="1"/>
        <w:divId w:val="982394320"/>
        <w:rPr>
          <w:rFonts w:eastAsia="Times New Roman"/>
          <w:lang w:val="de-DE"/>
        </w:rPr>
      </w:pPr>
      <w:r>
        <w:rPr>
          <w:rStyle w:val="Zwaar"/>
          <w:rFonts w:eastAsia="Times New Roman"/>
          <w:lang w:val="de-DE"/>
        </w:rPr>
        <w:t>Umsetzung</w:t>
      </w:r>
      <w:r>
        <w:rPr>
          <w:rFonts w:eastAsia="Times New Roman"/>
          <w:lang w:val="de-DE"/>
        </w:rPr>
        <w:t xml:space="preserve"> – die Anlaufstellen, mit denen die Bürger direkt zu tun haben: Krankenkassen, Pflegeversicherer, Krankenhäuser, Finanzämter, Sozialämter, Gemeinden, Versorgungsunternehmen. Hier werden Entscheidungen getroffen, Zahlungen geleistet oder gesperrt.</w:t>
      </w:r>
    </w:p>
    <w:p w14:paraId="3FA38680" w14:textId="77777777" w:rsidR="00FA4EDF" w:rsidRDefault="00FA4EDF">
      <w:pPr>
        <w:numPr>
          <w:ilvl w:val="0"/>
          <w:numId w:val="5"/>
        </w:numPr>
        <w:spacing w:before="100" w:beforeAutospacing="1" w:after="100" w:afterAutospacing="1"/>
        <w:divId w:val="982394320"/>
        <w:rPr>
          <w:rFonts w:eastAsia="Times New Roman"/>
          <w:lang w:val="de-DE"/>
        </w:rPr>
      </w:pPr>
      <w:r>
        <w:rPr>
          <w:rStyle w:val="Zwaar"/>
          <w:rFonts w:eastAsia="Times New Roman"/>
          <w:lang w:val="de-DE"/>
        </w:rPr>
        <w:t>Aufsicht</w:t>
      </w:r>
      <w:r>
        <w:rPr>
          <w:rFonts w:eastAsia="Times New Roman"/>
          <w:lang w:val="de-DE"/>
        </w:rPr>
        <w:t xml:space="preserve"> – die Kontrollbehörden und Ombudsstellen. Sie überwachen das System, greifen jedoch in einzelnen grenzüberschreitenden Fällen nicht zwingend auf der Ausführungsebene ein.</w:t>
      </w:r>
    </w:p>
    <w:p w14:paraId="7F6BA2EE" w14:textId="77777777" w:rsidR="00FA4EDF" w:rsidRDefault="00FA4EDF">
      <w:pPr>
        <w:numPr>
          <w:ilvl w:val="0"/>
          <w:numId w:val="5"/>
        </w:numPr>
        <w:spacing w:before="100" w:beforeAutospacing="1" w:after="100" w:afterAutospacing="1"/>
        <w:divId w:val="982394320"/>
        <w:rPr>
          <w:rFonts w:eastAsia="Times New Roman"/>
          <w:lang w:val="de-DE"/>
        </w:rPr>
      </w:pPr>
      <w:r>
        <w:rPr>
          <w:rStyle w:val="Zwaar"/>
          <w:rFonts w:eastAsia="Times New Roman"/>
          <w:lang w:val="de-DE"/>
        </w:rPr>
        <w:t>Politik</w:t>
      </w:r>
      <w:r>
        <w:rPr>
          <w:rFonts w:eastAsia="Times New Roman"/>
          <w:lang w:val="de-DE"/>
        </w:rPr>
        <w:t xml:space="preserve"> – die nationalen Parlamente, Parlamentsausschüsse und politischen Parteien. Sie verfügen zwar über die formale Befugnis, Gesetze zu ändern, lassen jedoch einzelne Systemblockaden unberührt.</w:t>
      </w:r>
    </w:p>
    <w:p w14:paraId="5F567AC5" w14:textId="77777777" w:rsidR="00FA4EDF" w:rsidRDefault="00FA4EDF">
      <w:pPr>
        <w:numPr>
          <w:ilvl w:val="0"/>
          <w:numId w:val="5"/>
        </w:numPr>
        <w:spacing w:before="100" w:beforeAutospacing="1" w:after="100" w:afterAutospacing="1"/>
        <w:divId w:val="982394320"/>
        <w:rPr>
          <w:rFonts w:eastAsia="Times New Roman"/>
          <w:lang w:val="de-DE"/>
        </w:rPr>
      </w:pPr>
      <w:r>
        <w:rPr>
          <w:rStyle w:val="Zwaar"/>
          <w:rFonts w:eastAsia="Times New Roman"/>
          <w:lang w:val="de-DE"/>
        </w:rPr>
        <w:t>Symbolik</w:t>
      </w:r>
      <w:r>
        <w:rPr>
          <w:rFonts w:eastAsia="Times New Roman"/>
          <w:lang w:val="de-DE"/>
        </w:rPr>
        <w:t xml:space="preserve"> – die höchste Institution des Staates: der Königspalast in Belgien, das Königshaus in den Niederlanden. Diese Institution verfügt weder über Exekutiv- noch über Kontrollbefugnisse und leitet Petitionen an die politische oder exekutive Ebene zurück.</w:t>
      </w:r>
    </w:p>
    <w:p w14:paraId="13B0D094" w14:textId="77777777" w:rsidR="00FA4EDF" w:rsidRDefault="00FA4EDF">
      <w:pPr>
        <w:pStyle w:val="Kop4"/>
        <w:divId w:val="982394320"/>
        <w:rPr>
          <w:rFonts w:eastAsia="Times New Roman"/>
          <w:lang w:val="de-DE"/>
        </w:rPr>
      </w:pPr>
      <w:r>
        <w:rPr>
          <w:rFonts w:eastAsia="Times New Roman"/>
          <w:lang w:val="de-DE"/>
        </w:rPr>
        <w:t>Die drei Kanäle zwischen den Welten</w:t>
      </w:r>
    </w:p>
    <w:p w14:paraId="013E7EA8" w14:textId="77777777" w:rsidR="00FA4EDF" w:rsidRDefault="00FA4EDF">
      <w:pPr>
        <w:pStyle w:val="Normaalweb"/>
        <w:divId w:val="982394320"/>
        <w:rPr>
          <w:lang w:val="de-DE"/>
        </w:rPr>
      </w:pPr>
      <w:r>
        <w:rPr>
          <w:lang w:val="de-DE"/>
        </w:rPr>
        <w:t>Auch wenn sich die beiden Welten nicht miteinander verschmelzen, gibt es drei strukturelle Verbindungsachsen zwischen Belgien und den Niederlanden. Sie verdeutlichen eine grundlegende Asymmetrie zwischen dem, was der Staat über den Bürger weiß, und dem, was der Staat für den Bürger ermöglicht.</w:t>
      </w:r>
    </w:p>
    <w:p w14:paraId="558DB20C" w14:textId="77777777" w:rsidR="00FA4EDF" w:rsidRDefault="00FA4EDF">
      <w:pPr>
        <w:numPr>
          <w:ilvl w:val="0"/>
          <w:numId w:val="6"/>
        </w:numPr>
        <w:spacing w:before="100" w:beforeAutospacing="1" w:after="100" w:afterAutospacing="1"/>
        <w:divId w:val="982394320"/>
        <w:rPr>
          <w:rFonts w:eastAsia="Times New Roman"/>
          <w:lang w:val="de-DE"/>
        </w:rPr>
      </w:pPr>
      <w:r>
        <w:rPr>
          <w:rStyle w:val="Zwaar"/>
          <w:rFonts w:eastAsia="Times New Roman"/>
          <w:lang w:val="de-DE"/>
        </w:rPr>
        <w:t>Kanal 1 – dickes Grün, automatisiert.</w:t>
      </w:r>
      <w:r>
        <w:rPr>
          <w:rFonts w:eastAsia="Times New Roman"/>
          <w:lang w:val="de-DE"/>
        </w:rPr>
        <w:t xml:space="preserve"> Die steuerliche und administrative Dateninfrastruktur der EU: die Richtlinie über die Verwaltungszusammenarbeit und der weltweite Einkommensdatenaustausch. Steuerdaten fließen automatisch zwischen dem belgischen FÖD Finanzen und der niederländischen Steuerbehörde. Im Bereich der Kontrolle und Besteuerung weiß die Behörde alles.</w:t>
      </w:r>
    </w:p>
    <w:p w14:paraId="37F446FC" w14:textId="77777777" w:rsidR="00FA4EDF" w:rsidRDefault="00FA4EDF">
      <w:pPr>
        <w:numPr>
          <w:ilvl w:val="0"/>
          <w:numId w:val="6"/>
        </w:numPr>
        <w:spacing w:before="100" w:beforeAutospacing="1" w:after="100" w:afterAutospacing="1"/>
        <w:divId w:val="982394320"/>
        <w:rPr>
          <w:rFonts w:eastAsia="Times New Roman"/>
          <w:lang w:val="de-DE"/>
        </w:rPr>
      </w:pPr>
      <w:r>
        <w:rPr>
          <w:rStyle w:val="Zwaar"/>
          <w:rFonts w:eastAsia="Times New Roman"/>
          <w:lang w:val="de-DE"/>
        </w:rPr>
        <w:t>Kanal 2 – schmal, orange, einmalig.</w:t>
      </w:r>
      <w:r>
        <w:rPr>
          <w:rFonts w:eastAsia="Times New Roman"/>
          <w:lang w:val="de-DE"/>
        </w:rPr>
        <w:t xml:space="preserve"> Die Vertragspolice zwischen der belgischen Krankenkasse und dem niederländischen Krankenversicherer (S072) sowie dem CAK. Ein eng gefasster, einmaliger Verwaltungsrahmen, der Standarderstattungen abdeckt und sofort Probleme bereitet, sobald die Versorgung oder der Status über das Standardformular hinausgeht.</w:t>
      </w:r>
    </w:p>
    <w:p w14:paraId="31540192" w14:textId="77777777" w:rsidR="00FA4EDF" w:rsidRDefault="00FA4EDF">
      <w:pPr>
        <w:numPr>
          <w:ilvl w:val="0"/>
          <w:numId w:val="6"/>
        </w:numPr>
        <w:spacing w:before="100" w:beforeAutospacing="1" w:after="100" w:afterAutospacing="1"/>
        <w:divId w:val="982394320"/>
        <w:rPr>
          <w:rFonts w:eastAsia="Times New Roman"/>
          <w:lang w:val="de-DE"/>
        </w:rPr>
      </w:pPr>
      <w:r>
        <w:rPr>
          <w:rStyle w:val="Zwaar"/>
          <w:rFonts w:eastAsia="Times New Roman"/>
          <w:lang w:val="de-DE"/>
        </w:rPr>
        <w:t>Kanal 3 – rot unterbrochen, manuell.</w:t>
      </w:r>
      <w:r>
        <w:rPr>
          <w:rFonts w:eastAsia="Times New Roman"/>
          <w:lang w:val="de-DE"/>
        </w:rPr>
        <w:t xml:space="preserve"> Der medizinische und sozialpolitische Bereich. Zwischen belgischen und niederländischen Krankenhäusern, Hausärzten, Untersuchungsärzten und Sozialdiensten besteht kein automatisierter Kommunikationskanal. Die Verbindung ist unterbrochen und mit einem </w:t>
      </w:r>
      <w:r>
        <w:rPr>
          <w:rFonts w:ascii="Segoe UI Symbol" w:eastAsia="Times New Roman" w:hAnsi="Segoe UI Symbol" w:cs="Segoe UI Symbol"/>
          <w:lang w:val="de-DE"/>
        </w:rPr>
        <w:t>✕</w:t>
      </w:r>
      <w:r>
        <w:rPr>
          <w:rFonts w:eastAsia="Times New Roman"/>
          <w:lang w:val="de-DE"/>
        </w:rPr>
        <w:t xml:space="preserve"> gekennzeichnet: Die Familie muss Akten, medizinische Bilddaten und Bescheinigungen selbst physisch von einer Seite zur anderen transportieren.</w:t>
      </w:r>
    </w:p>
    <w:p w14:paraId="7ECD1793" w14:textId="77777777" w:rsidR="00FA4EDF" w:rsidRDefault="00FA4EDF">
      <w:pPr>
        <w:pStyle w:val="Kop4"/>
        <w:divId w:val="982394320"/>
        <w:rPr>
          <w:rFonts w:eastAsia="Times New Roman"/>
          <w:lang w:val="de-DE"/>
        </w:rPr>
      </w:pPr>
      <w:r>
        <w:rPr>
          <w:rFonts w:eastAsia="Times New Roman"/>
          <w:lang w:val="de-DE"/>
        </w:rPr>
        <w:t>Die äußere Schicht der EU</w:t>
      </w:r>
    </w:p>
    <w:p w14:paraId="1D0E64EE" w14:textId="77777777" w:rsidR="00FA4EDF" w:rsidRDefault="00FA4EDF">
      <w:pPr>
        <w:pStyle w:val="Normaalweb"/>
        <w:divId w:val="982394320"/>
        <w:rPr>
          <w:lang w:val="de-DE"/>
        </w:rPr>
      </w:pPr>
      <w:r>
        <w:rPr>
          <w:lang w:val="de-DE"/>
        </w:rPr>
        <w:t xml:space="preserve">Um diese beiden nationalen Welten herum erstreckt sich </w:t>
      </w:r>
      <w:r>
        <w:rPr>
          <w:rStyle w:val="badge-eu1"/>
          <w:lang w:val="de-DE"/>
        </w:rPr>
        <w:t>die äußere EU-Ebene</w:t>
      </w:r>
      <w:r>
        <w:rPr>
          <w:lang w:val="de-DE"/>
        </w:rPr>
        <w:t>. Diese Ebene umfasst drei Cluster: offizielle europäische und vertragsrechtliche Institutionen, grenzüberschreitende Schlichtungsgremien sowie die gesellschaftliche Resonanzebene (Wissenschaft, strategische Prozessführung, Medien und Menschenrechte der Vereinten Nationen). Die gepunktete Linie veranschaulicht das Grundproblem des europäischen Sozialrechts: Die EU proklamiert die Freizügigkeit und koordiniert diese auf dem Papier (Verordnung 883/2004), verfügt jedoch über keine eigene Durchsetzungsstelle, d</w:t>
      </w:r>
      <w:r>
        <w:rPr>
          <w:lang w:val="de-DE"/>
        </w:rPr>
        <w:t>ie eine festgefahrene nationale Kette aufbrechen könnte.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09CAB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C42C21F" w14:textId="77777777" w:rsidR="00FA4EDF" w:rsidRDefault="00FA4EDF">
            <w:pPr>
              <w:pStyle w:val="Normaalweb"/>
              <w:spacing w:before="120"/>
              <w:jc w:val="center"/>
              <w:rPr>
                <w:sz w:val="21"/>
                <w:szCs w:val="21"/>
              </w:rPr>
            </w:pPr>
            <w:r>
              <w:rPr>
                <w:noProof/>
                <w:sz w:val="21"/>
                <w:szCs w:val="21"/>
              </w:rPr>
              <w:drawing>
                <wp:inline distT="0" distB="0" distL="0" distR="0" wp14:anchorId="35B1559E" wp14:editId="087CE9B1">
                  <wp:extent cx="3810000" cy="300355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0" cy="3003550"/>
                          </a:xfrm>
                          <a:prstGeom prst="rect">
                            <a:avLst/>
                          </a:prstGeom>
                          <a:noFill/>
                          <a:ln>
                            <a:noFill/>
                          </a:ln>
                        </pic:spPr>
                      </pic:pic>
                    </a:graphicData>
                  </a:graphic>
                </wp:inline>
              </w:drawing>
            </w:r>
          </w:p>
          <w:p w14:paraId="381DF9ED" w14:textId="77777777" w:rsidR="00FA4EDF" w:rsidRDefault="00FA4EDF">
            <w:pPr>
              <w:pStyle w:val="caption"/>
              <w:spacing w:after="120" w:afterAutospacing="0"/>
            </w:pPr>
            <w:r>
              <w:rPr>
                <w:rStyle w:val="Zwaar"/>
              </w:rPr>
              <w:t>Abbildung I.1 – Das Spielbrett.</w:t>
            </w:r>
            <w:r>
              <w:t xml:space="preserve"> Zwei starre Welten (Belgien, Niederlande), jeweils mit vier konzentrischen Ebenen (Ausführung, Aufsicht, Politik, Symbolik). Alle Akteure sind nummeriert – die Legende unter dieser Abbildung gibt für jede Nummer den Namen und die Funktion an. In der Mitte überbrückt die Membran die Kluft in zwei Positionen (an Wochentagen ausgefahren, am Wochenende zurückgezogen). Die drei Kanäle verdeutlichen die strukturelle Spannung: dick grün (automatisiert), schmal orange (einmalig), rot unterbrochen (manuell).</w:t>
            </w:r>
          </w:p>
        </w:tc>
      </w:tr>
    </w:tbl>
    <w:p w14:paraId="1FB1E116" w14:textId="77777777" w:rsidR="00FA4EDF" w:rsidRDefault="00FA4EDF">
      <w:pPr>
        <w:pStyle w:val="Kop3"/>
        <w:divId w:val="982394320"/>
        <w:rPr>
          <w:rFonts w:eastAsia="Times New Roman"/>
          <w:lang w:val="de-DE"/>
        </w:rPr>
      </w:pPr>
      <w:bookmarkStart w:id="16" w:name="_Toc242103052"/>
      <w:r>
        <w:rPr>
          <w:rFonts w:eastAsia="Times New Roman"/>
          <w:lang w:val="de-DE"/>
        </w:rPr>
        <w:t>Teil I-B – Die Akteure</w:t>
      </w:r>
      <w:bookmarkEnd w:id="16"/>
    </w:p>
    <w:p w14:paraId="0614DB58" w14:textId="77777777" w:rsidR="00FA4EDF" w:rsidRDefault="00FA4EDF">
      <w:pPr>
        <w:pStyle w:val="Normaalweb"/>
        <w:divId w:val="982394320"/>
        <w:rPr>
          <w:lang w:val="de-DE"/>
        </w:rPr>
      </w:pPr>
      <w:r>
        <w:rPr>
          <w:lang w:val="de-DE"/>
        </w:rPr>
        <w:t>Für Leser, die Belgien und die Niederlande nicht kennen: Nachstehend sind alle Organisationen aufgeführt, die auf dem Spielbrett vorkommen, geordnet nach Welt und Ebene. Zunächst wird die öffentlich-rechtliche oder privatrechtliche Funktion angegeben, dann die spezifische Rolle in diesem Dossier.</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A1B8A0B" w14:textId="77777777">
        <w:trPr>
          <w:divId w:val="982394320"/>
        </w:trPr>
        <w:tc>
          <w:tcPr>
            <w:tcW w:w="0" w:type="auto"/>
            <w:tcBorders>
              <w:top w:val="single" w:sz="6" w:space="0" w:color="D5D0C5"/>
              <w:left w:val="single" w:sz="36" w:space="0" w:color="8B1E1E"/>
              <w:bottom w:val="single" w:sz="6" w:space="0" w:color="D5D0C5"/>
              <w:right w:val="single" w:sz="6" w:space="0" w:color="D5D0C5"/>
            </w:tcBorders>
            <w:shd w:val="clear" w:color="auto" w:fill="F7EDED"/>
            <w:tcMar>
              <w:top w:w="160" w:type="dxa"/>
              <w:left w:w="240" w:type="dxa"/>
              <w:bottom w:w="160" w:type="dxa"/>
              <w:right w:w="240" w:type="dxa"/>
            </w:tcMar>
            <w:hideMark/>
          </w:tcPr>
          <w:p w14:paraId="692F63FB" w14:textId="77777777" w:rsidR="00FA4EDF" w:rsidRDefault="00FA4EDF">
            <w:pPr>
              <w:spacing w:before="240" w:after="240"/>
              <w:rPr>
                <w:rFonts w:eastAsia="Times New Roman"/>
                <w:sz w:val="21"/>
                <w:szCs w:val="21"/>
              </w:rPr>
            </w:pPr>
            <w:r>
              <w:rPr>
                <w:rStyle w:val="Zwaar"/>
                <w:rFonts w:eastAsia="Times New Roman"/>
                <w:sz w:val="21"/>
                <w:szCs w:val="21"/>
              </w:rPr>
              <w:t>WELT BELGIEN</w:t>
            </w:r>
          </w:p>
        </w:tc>
      </w:tr>
    </w:tbl>
    <w:p w14:paraId="6D8BBD7B" w14:textId="77777777" w:rsidR="00FA4EDF" w:rsidRDefault="00FA4EDF">
      <w:pPr>
        <w:pStyle w:val="Kop4"/>
        <w:divId w:val="982394320"/>
        <w:rPr>
          <w:rFonts w:eastAsia="Times New Roman"/>
          <w:lang w:val="de-DE"/>
        </w:rPr>
      </w:pPr>
      <w:r>
        <w:rPr>
          <w:rFonts w:eastAsia="Times New Roman"/>
          <w:lang w:val="de-DE"/>
        </w:rPr>
        <w:t>Ausführung</w:t>
      </w:r>
    </w:p>
    <w:p w14:paraId="24F110B2" w14:textId="77777777" w:rsidR="00FA4EDF" w:rsidRDefault="00FA4EDF">
      <w:pPr>
        <w:divId w:val="1558933847"/>
        <w:rPr>
          <w:rFonts w:eastAsia="Times New Roman"/>
          <w:lang w:val="de-DE"/>
        </w:rPr>
      </w:pPr>
      <w:r>
        <w:rPr>
          <w:rFonts w:eastAsia="Times New Roman"/>
          <w:b/>
          <w:bCs/>
          <w:color w:val="FFFFFF"/>
          <w:sz w:val="20"/>
          <w:szCs w:val="20"/>
          <w:shd w:val="clear" w:color="auto" w:fill="8B1E1E"/>
          <w:lang w:val="de-DE"/>
        </w:rPr>
        <w:t> 1 </w:t>
      </w:r>
      <w:r>
        <w:rPr>
          <w:rFonts w:eastAsia="Times New Roman"/>
          <w:lang w:val="de-DE"/>
        </w:rPr>
        <w:t xml:space="preserve"> </w:t>
      </w:r>
      <w:r>
        <w:rPr>
          <w:rStyle w:val="actor-naam1"/>
          <w:rFonts w:eastAsia="Times New Roman"/>
          <w:lang w:val="de-DE"/>
        </w:rPr>
        <w:t>Christliche Krankenkasse (CM)</w:t>
      </w:r>
      <w:r>
        <w:rPr>
          <w:rFonts w:eastAsia="Times New Roman"/>
          <w:lang w:val="de-DE"/>
        </w:rPr>
        <w:br/>
        <w:t>Die größte belgische Krankenkasse; ein privatrechtlicher Verein mit einem gesetzlichen öffentlichen Auftrag zur Durchführung der obligatorischen Kranken- und Invaliditätsversicherung sowie zur Auszahlung von Ersatzeinkommen.</w:t>
      </w:r>
      <w:r>
        <w:rPr>
          <w:rFonts w:eastAsia="Times New Roman"/>
          <w:lang w:val="de-DE"/>
        </w:rPr>
        <w:br/>
      </w:r>
      <w:r>
        <w:rPr>
          <w:rStyle w:val="actor-rol1"/>
          <w:rFonts w:eastAsia="Times New Roman"/>
          <w:lang w:val="de-DE"/>
        </w:rPr>
        <w:t>Rolle in diesem Fall:</w:t>
      </w:r>
      <w:r>
        <w:rPr>
          <w:rFonts w:eastAsia="Times New Roman"/>
          <w:lang w:val="de-DE"/>
        </w:rPr>
        <w:t xml:space="preserve"> Primäre Anlaufstelle für Krankengeld, medizinische Kosten und das Vertragsformular S072. Blockiert oder verzögert den Bearbeitungsfluss, sobald der Versicherte in den Niederlanden wohnt. </w:t>
      </w:r>
    </w:p>
    <w:p w14:paraId="4F1A3DA0" w14:textId="77777777" w:rsidR="00FA4EDF" w:rsidRDefault="00FA4EDF">
      <w:pPr>
        <w:divId w:val="1065689521"/>
        <w:rPr>
          <w:rFonts w:eastAsia="Times New Roman"/>
          <w:lang w:val="de-DE"/>
        </w:rPr>
      </w:pPr>
      <w:r>
        <w:rPr>
          <w:rFonts w:eastAsia="Times New Roman"/>
          <w:b/>
          <w:bCs/>
          <w:color w:val="FFFFFF"/>
          <w:sz w:val="20"/>
          <w:szCs w:val="20"/>
          <w:shd w:val="clear" w:color="auto" w:fill="8B1E1E"/>
          <w:lang w:val="de-DE"/>
        </w:rPr>
        <w:t> 2 </w:t>
      </w:r>
      <w:r>
        <w:rPr>
          <w:rFonts w:eastAsia="Times New Roman"/>
          <w:lang w:val="de-DE"/>
        </w:rPr>
        <w:t xml:space="preserve"> </w:t>
      </w:r>
      <w:r>
        <w:rPr>
          <w:rStyle w:val="actor-naam1"/>
          <w:rFonts w:eastAsia="Times New Roman"/>
          <w:lang w:val="de-DE"/>
        </w:rPr>
        <w:t>Vitaz</w:t>
      </w:r>
      <w:r>
        <w:rPr>
          <w:rFonts w:eastAsia="Times New Roman"/>
          <w:lang w:val="de-DE"/>
        </w:rPr>
        <w:br/>
      </w:r>
      <w:r>
        <w:rPr>
          <w:rStyle w:val="actor-naam1"/>
          <w:rFonts w:eastAsia="Times New Roman"/>
          <w:lang w:val="de-DE"/>
        </w:rPr>
        <w:t>–</w:t>
      </w:r>
      <w:r>
        <w:rPr>
          <w:rFonts w:eastAsia="Times New Roman"/>
          <w:lang w:val="de-DE"/>
        </w:rPr>
        <w:t xml:space="preserve"> Allgemeines Krankenhaus der zweiten Versorgungsstufe im Waasland, nahe der niederländisch-belgischen Grenze.</w:t>
      </w:r>
      <w:r>
        <w:rPr>
          <w:rFonts w:eastAsia="Times New Roman"/>
          <w:lang w:val="de-DE"/>
        </w:rPr>
        <w:br/>
      </w:r>
      <w:r>
        <w:rPr>
          <w:rStyle w:val="actor-rol1"/>
          <w:rFonts w:eastAsia="Times New Roman"/>
          <w:lang w:val="de-DE"/>
        </w:rPr>
        <w:t>Rolle in diesem Fall:</w:t>
      </w:r>
      <w:r>
        <w:rPr>
          <w:rFonts w:eastAsia="Times New Roman"/>
          <w:lang w:val="de-DE"/>
        </w:rPr>
        <w:t xml:space="preserve"> Erste medizinische Anlaufstelle in diesem Fall. Bietet akute Versorgung, jedoch keine administrative Datenübermittlung. Klinische Daten bleiben im eigenen System gespeichert. </w:t>
      </w:r>
    </w:p>
    <w:p w14:paraId="3CBB0F79" w14:textId="77777777" w:rsidR="00FA4EDF" w:rsidRDefault="00FA4EDF">
      <w:pPr>
        <w:divId w:val="529414320"/>
        <w:rPr>
          <w:rFonts w:eastAsia="Times New Roman"/>
          <w:lang w:val="de-DE"/>
        </w:rPr>
      </w:pPr>
      <w:r>
        <w:rPr>
          <w:rFonts w:eastAsia="Times New Roman"/>
          <w:b/>
          <w:bCs/>
          <w:color w:val="FFFFFF"/>
          <w:sz w:val="20"/>
          <w:szCs w:val="20"/>
          <w:shd w:val="clear" w:color="auto" w:fill="8B1E1E"/>
          <w:lang w:val="de-DE"/>
        </w:rPr>
        <w:t> 3 </w:t>
      </w:r>
      <w:r>
        <w:rPr>
          <w:rFonts w:eastAsia="Times New Roman"/>
          <w:lang w:val="de-DE"/>
        </w:rPr>
        <w:t xml:space="preserve"> </w:t>
      </w:r>
      <w:r>
        <w:rPr>
          <w:rStyle w:val="actor-naam1"/>
          <w:rFonts w:eastAsia="Times New Roman"/>
          <w:lang w:val="de-DE"/>
        </w:rPr>
        <w:t>Universitätsklinikum Gent (UZ Gent)</w:t>
      </w:r>
      <w:r>
        <w:rPr>
          <w:rFonts w:eastAsia="Times New Roman"/>
          <w:lang w:val="de-DE"/>
        </w:rPr>
        <w:br/>
        <w:t>Akademisches Tertiärkrankenhaus für hochspezialisierte und komplexe Diagnostik und Behandlung.</w:t>
      </w:r>
      <w:r>
        <w:rPr>
          <w:rFonts w:eastAsia="Times New Roman"/>
          <w:lang w:val="de-DE"/>
        </w:rPr>
        <w:br/>
      </w:r>
      <w:r>
        <w:rPr>
          <w:rStyle w:val="actor-rol1"/>
          <w:rFonts w:eastAsia="Times New Roman"/>
          <w:lang w:val="de-DE"/>
        </w:rPr>
        <w:t>Rolle in diesem Fall:</w:t>
      </w:r>
      <w:r>
        <w:rPr>
          <w:rFonts w:eastAsia="Times New Roman"/>
          <w:lang w:val="de-DE"/>
        </w:rPr>
        <w:t xml:space="preserve"> Akademische Dachorganisation. Erbringt jedoch die administrative Umsetzung, die die Primärversorgung verweigert, und veröffentlicht die Daten über das eHealth-Netzwerk. </w:t>
      </w:r>
    </w:p>
    <w:p w14:paraId="6F4D6175" w14:textId="77777777" w:rsidR="00FA4EDF" w:rsidRDefault="00FA4EDF">
      <w:pPr>
        <w:divId w:val="1568691244"/>
        <w:rPr>
          <w:rFonts w:eastAsia="Times New Roman"/>
          <w:lang w:val="de-DE"/>
        </w:rPr>
      </w:pPr>
      <w:r>
        <w:rPr>
          <w:rFonts w:eastAsia="Times New Roman"/>
          <w:b/>
          <w:bCs/>
          <w:color w:val="FFFFFF"/>
          <w:sz w:val="20"/>
          <w:szCs w:val="20"/>
          <w:shd w:val="clear" w:color="auto" w:fill="8B1E1E"/>
          <w:lang w:val="de-DE"/>
        </w:rPr>
        <w:t> 4 </w:t>
      </w:r>
      <w:r>
        <w:rPr>
          <w:rFonts w:eastAsia="Times New Roman"/>
          <w:lang w:val="de-DE"/>
        </w:rPr>
        <w:t xml:space="preserve"> </w:t>
      </w:r>
      <w:r>
        <w:rPr>
          <w:rStyle w:val="actor-naam1"/>
          <w:rFonts w:eastAsia="Times New Roman"/>
          <w:lang w:val="de-DE"/>
        </w:rPr>
        <w:t>Augenärzte in Sint-Niklaas</w:t>
      </w:r>
      <w:r>
        <w:rPr>
          <w:rFonts w:eastAsia="Times New Roman"/>
          <w:lang w:val="de-DE"/>
        </w:rPr>
        <w:br/>
        <w:t>Spezialisierte private Augenarztpraxis in Sint-Niklaas.</w:t>
      </w:r>
      <w:r>
        <w:rPr>
          <w:rFonts w:eastAsia="Times New Roman"/>
          <w:lang w:val="de-DE"/>
        </w:rPr>
        <w:br/>
      </w:r>
      <w:r>
        <w:rPr>
          <w:rStyle w:val="actor-rol1"/>
          <w:rFonts w:eastAsia="Times New Roman"/>
          <w:lang w:val="de-DE"/>
        </w:rPr>
        <w:t>Rolle in diesem Fall:</w:t>
      </w:r>
      <w:r>
        <w:rPr>
          <w:rFonts w:eastAsia="Times New Roman"/>
          <w:lang w:val="de-DE"/>
        </w:rPr>
        <w:t xml:space="preserve"> Führt invasive Behandlungen durch, erfasst die erzwungene Beendigung jedoch als Patientenverweigerung. Keine Anbindung an eine eHealth-Plattform. </w:t>
      </w:r>
    </w:p>
    <w:p w14:paraId="06A0B0CE" w14:textId="77777777" w:rsidR="00FA4EDF" w:rsidRDefault="00FA4EDF">
      <w:pPr>
        <w:divId w:val="847447587"/>
        <w:rPr>
          <w:rFonts w:eastAsia="Times New Roman"/>
          <w:lang w:val="de-DE"/>
        </w:rPr>
      </w:pPr>
      <w:r>
        <w:rPr>
          <w:rFonts w:eastAsia="Times New Roman"/>
          <w:b/>
          <w:bCs/>
          <w:color w:val="FFFFFF"/>
          <w:sz w:val="20"/>
          <w:szCs w:val="20"/>
          <w:shd w:val="clear" w:color="auto" w:fill="8B1E1E"/>
          <w:lang w:val="de-DE"/>
        </w:rPr>
        <w:t> 5 </w:t>
      </w:r>
      <w:r>
        <w:rPr>
          <w:rFonts w:eastAsia="Times New Roman"/>
          <w:lang w:val="de-DE"/>
        </w:rPr>
        <w:t xml:space="preserve"> </w:t>
      </w:r>
      <w:r>
        <w:rPr>
          <w:rStyle w:val="actor-naam1"/>
          <w:rFonts w:eastAsia="Times New Roman"/>
          <w:lang w:val="de-DE"/>
        </w:rPr>
        <w:t>Hausarztpraxis Ter Vierschaar</w:t>
      </w:r>
      <w:r>
        <w:rPr>
          <w:rFonts w:eastAsia="Times New Roman"/>
          <w:lang w:val="de-DE"/>
        </w:rPr>
        <w:br/>
        <w:t>Hausarztpraxis auf belgischer Seite.</w:t>
      </w:r>
      <w:r>
        <w:rPr>
          <w:rFonts w:eastAsia="Times New Roman"/>
          <w:lang w:val="de-DE"/>
        </w:rPr>
        <w:br/>
      </w:r>
      <w:r>
        <w:rPr>
          <w:rStyle w:val="actor-rol1"/>
          <w:rFonts w:eastAsia="Times New Roman"/>
          <w:lang w:val="de-DE"/>
        </w:rPr>
        <w:t>Rolle in diesem Projekt:</w:t>
      </w:r>
      <w:r>
        <w:rPr>
          <w:rFonts w:eastAsia="Times New Roman"/>
          <w:lang w:val="de-DE"/>
        </w:rPr>
        <w:t xml:space="preserve"> Übergeordneter medizinischer Koordinator, von Beginn an beteiligt. Übernimmt die Datenübertragung in die Verwaltungssysteme beider Länder. Arbeitet über Vitalink und SumEHR. </w:t>
      </w:r>
    </w:p>
    <w:p w14:paraId="5DAB8682" w14:textId="77777777" w:rsidR="00FA4EDF" w:rsidRDefault="00FA4EDF">
      <w:pPr>
        <w:divId w:val="1971012533"/>
        <w:rPr>
          <w:rFonts w:eastAsia="Times New Roman"/>
          <w:lang w:val="de-DE"/>
        </w:rPr>
      </w:pPr>
      <w:r>
        <w:rPr>
          <w:rFonts w:eastAsia="Times New Roman"/>
          <w:b/>
          <w:bCs/>
          <w:color w:val="FFFFFF"/>
          <w:sz w:val="20"/>
          <w:szCs w:val="20"/>
          <w:shd w:val="clear" w:color="auto" w:fill="8B1E1E"/>
          <w:lang w:val="de-DE"/>
        </w:rPr>
        <w:t> 6 </w:t>
      </w:r>
      <w:r>
        <w:rPr>
          <w:rFonts w:eastAsia="Times New Roman"/>
          <w:lang w:val="de-DE"/>
        </w:rPr>
        <w:t xml:space="preserve"> </w:t>
      </w:r>
      <w:r>
        <w:rPr>
          <w:rStyle w:val="actor-naam1"/>
          <w:rFonts w:eastAsia="Times New Roman"/>
          <w:lang w:val="de-DE"/>
        </w:rPr>
        <w:t>Unabhängige Sachverständige BE</w:t>
      </w:r>
      <w:r>
        <w:rPr>
          <w:rFonts w:eastAsia="Times New Roman"/>
          <w:lang w:val="de-DE"/>
        </w:rPr>
        <w:br/>
        <w:t>Selbstständige medizinische Sachverständige, die im Auftrag medizinische Schäden und Invaliditätsgrade feststellen.</w:t>
      </w:r>
      <w:r>
        <w:rPr>
          <w:rFonts w:eastAsia="Times New Roman"/>
          <w:lang w:val="de-DE"/>
        </w:rPr>
        <w:br/>
      </w:r>
      <w:r>
        <w:rPr>
          <w:rStyle w:val="actor-rol1"/>
          <w:rFonts w:eastAsia="Times New Roman"/>
          <w:lang w:val="de-DE"/>
        </w:rPr>
        <w:t>Rolle in dieser Angelegenheit:</w:t>
      </w:r>
      <w:r>
        <w:rPr>
          <w:rFonts w:eastAsia="Times New Roman"/>
          <w:lang w:val="de-DE"/>
        </w:rPr>
        <w:t xml:space="preserve"> Völliges Schweigen. Keiner der angeschriebenen Sachverständigen reagiert auf Anfragen nach einer unabhängigen Begutachtung. </w:t>
      </w:r>
    </w:p>
    <w:p w14:paraId="1854017F" w14:textId="77777777" w:rsidR="00FA4EDF" w:rsidRDefault="00FA4EDF">
      <w:pPr>
        <w:divId w:val="175583496"/>
        <w:rPr>
          <w:rFonts w:eastAsia="Times New Roman"/>
          <w:lang w:val="de-DE"/>
        </w:rPr>
      </w:pPr>
      <w:r>
        <w:rPr>
          <w:rFonts w:eastAsia="Times New Roman"/>
          <w:b/>
          <w:bCs/>
          <w:color w:val="FFFFFF"/>
          <w:sz w:val="20"/>
          <w:szCs w:val="20"/>
          <w:shd w:val="clear" w:color="auto" w:fill="8B1E1E"/>
          <w:lang w:val="de-DE"/>
        </w:rPr>
        <w:t> 7 </w:t>
      </w:r>
      <w:r>
        <w:rPr>
          <w:rFonts w:eastAsia="Times New Roman"/>
          <w:lang w:val="de-DE"/>
        </w:rPr>
        <w:t xml:space="preserve"> </w:t>
      </w:r>
      <w:r>
        <w:rPr>
          <w:rStyle w:val="actor-naam1"/>
          <w:rFonts w:eastAsia="Times New Roman"/>
          <w:lang w:val="de-DE"/>
        </w:rPr>
        <w:t>Vertico Business Solutions</w:t>
      </w:r>
      <w:r>
        <w:rPr>
          <w:rFonts w:eastAsia="Times New Roman"/>
          <w:lang w:val="de-DE"/>
        </w:rPr>
        <w:br/>
      </w:r>
      <w:r>
        <w:rPr>
          <w:rStyle w:val="actor-naam1"/>
          <w:rFonts w:eastAsia="Times New Roman"/>
          <w:lang w:val="de-DE"/>
        </w:rPr>
        <w:t>–</w:t>
      </w:r>
      <w:r>
        <w:rPr>
          <w:rFonts w:eastAsia="Times New Roman"/>
          <w:lang w:val="de-DE"/>
        </w:rPr>
        <w:t xml:space="preserve"> belgischer privater Arbeitgeber.</w:t>
      </w:r>
      <w:r>
        <w:rPr>
          <w:rFonts w:eastAsia="Times New Roman"/>
          <w:lang w:val="de-DE"/>
        </w:rPr>
        <w:br/>
      </w:r>
      <w:r>
        <w:rPr>
          <w:rStyle w:val="actor-rol1"/>
          <w:rFonts w:eastAsia="Times New Roman"/>
          <w:lang w:val="de-DE"/>
        </w:rPr>
        <w:t>Rolle in diesem Fall:</w:t>
      </w:r>
      <w:r>
        <w:rPr>
          <w:rFonts w:eastAsia="Times New Roman"/>
          <w:lang w:val="de-DE"/>
        </w:rPr>
        <w:t xml:space="preserve"> Sorgt für die ordnungsgemäße Fortzahlung des Lohns gemäß den gesetzlichen Bestimmungen. Liefert die Beschäftigungsbescheinigungen fristgerecht vor. Die Schwierigkeiten beginnen erst bei der Übergabe an die öffentlichen Behörden. </w:t>
      </w:r>
    </w:p>
    <w:p w14:paraId="69CA1790" w14:textId="77777777" w:rsidR="00FA4EDF" w:rsidRDefault="00FA4EDF">
      <w:pPr>
        <w:divId w:val="693306764"/>
        <w:rPr>
          <w:rFonts w:eastAsia="Times New Roman"/>
          <w:lang w:val="de-DE"/>
        </w:rPr>
      </w:pPr>
      <w:r>
        <w:rPr>
          <w:rFonts w:eastAsia="Times New Roman"/>
          <w:b/>
          <w:bCs/>
          <w:color w:val="FFFFFF"/>
          <w:sz w:val="20"/>
          <w:szCs w:val="20"/>
          <w:shd w:val="clear" w:color="auto" w:fill="8B1E1E"/>
          <w:lang w:val="de-DE"/>
        </w:rPr>
        <w:t> 8 </w:t>
      </w:r>
      <w:r>
        <w:rPr>
          <w:rFonts w:eastAsia="Times New Roman"/>
          <w:lang w:val="de-DE"/>
        </w:rPr>
        <w:t xml:space="preserve"> </w:t>
      </w:r>
      <w:r>
        <w:rPr>
          <w:rStyle w:val="actor-naam1"/>
          <w:rFonts w:eastAsia="Times New Roman"/>
          <w:lang w:val="de-DE"/>
        </w:rPr>
        <w:t>FÖD Soziale Sicherheit – DG HAN</w:t>
      </w:r>
      <w:r>
        <w:rPr>
          <w:rFonts w:eastAsia="Times New Roman"/>
          <w:lang w:val="de-DE"/>
        </w:rPr>
        <w:br/>
        <w:t>Das belgische Bundesministerium, das den Schweregrad einer Behinderung medizinisch begutachtet und offizielle Anerkennungsbescheinigungen ausstellt.</w:t>
      </w:r>
      <w:r>
        <w:rPr>
          <w:rFonts w:eastAsia="Times New Roman"/>
          <w:lang w:val="de-DE"/>
        </w:rPr>
        <w:br/>
      </w:r>
      <w:r>
        <w:rPr>
          <w:rStyle w:val="actor-rol1"/>
          <w:rFonts w:eastAsia="Times New Roman"/>
          <w:lang w:val="de-DE"/>
        </w:rPr>
        <w:t>Rolle in diesem Fall:</w:t>
      </w:r>
      <w:r>
        <w:rPr>
          <w:rFonts w:eastAsia="Times New Roman"/>
          <w:lang w:val="de-DE"/>
        </w:rPr>
        <w:t xml:space="preserve"> Erkennt die medizinischen Einschränkungen formell an, knüpft die Anerkennung jedoch an einen Wohnsitz im Inland. Verweigert sogar eine rein medizinische Anerkennung für steuerliche Zwecke, wenn der Bürger in den Niederlanden wohnt. </w:t>
      </w:r>
    </w:p>
    <w:p w14:paraId="08F6D285" w14:textId="77777777" w:rsidR="00FA4EDF" w:rsidRDefault="00FA4EDF">
      <w:pPr>
        <w:divId w:val="1206412689"/>
        <w:rPr>
          <w:rFonts w:eastAsia="Times New Roman"/>
          <w:lang w:val="de-DE"/>
        </w:rPr>
      </w:pPr>
      <w:r>
        <w:rPr>
          <w:rFonts w:eastAsia="Times New Roman"/>
          <w:b/>
          <w:bCs/>
          <w:color w:val="FFFFFF"/>
          <w:sz w:val="20"/>
          <w:szCs w:val="20"/>
          <w:shd w:val="clear" w:color="auto" w:fill="8B1E1E"/>
          <w:lang w:val="de-DE"/>
        </w:rPr>
        <w:t> 9 </w:t>
      </w:r>
      <w:r>
        <w:rPr>
          <w:rFonts w:eastAsia="Times New Roman"/>
          <w:lang w:val="de-DE"/>
        </w:rPr>
        <w:t xml:space="preserve"> </w:t>
      </w:r>
      <w:r>
        <w:rPr>
          <w:rStyle w:val="actor-naam1"/>
          <w:rFonts w:eastAsia="Times New Roman"/>
          <w:lang w:val="de-DE"/>
        </w:rPr>
        <w:t>FÖD Finanzen</w:t>
      </w:r>
      <w:r>
        <w:rPr>
          <w:rFonts w:eastAsia="Times New Roman"/>
          <w:lang w:val="de-DE"/>
        </w:rPr>
        <w:br/>
        <w:t>Die belgische nationale Steuerverwaltung.</w:t>
      </w:r>
      <w:r>
        <w:rPr>
          <w:rFonts w:eastAsia="Times New Roman"/>
          <w:lang w:val="de-DE"/>
        </w:rPr>
        <w:br/>
      </w:r>
      <w:r>
        <w:rPr>
          <w:rStyle w:val="actor-rol1"/>
          <w:rFonts w:eastAsia="Times New Roman"/>
          <w:lang w:val="de-DE"/>
        </w:rPr>
        <w:t>Rolle in diesem Fall:</w:t>
      </w:r>
      <w:r>
        <w:rPr>
          <w:rFonts w:eastAsia="Times New Roman"/>
          <w:lang w:val="de-DE"/>
        </w:rPr>
        <w:t xml:space="preserve"> Tauscht über den „grünen EU-Kanal“ automatisch Einkommensdaten mit den Niederlanden aus, entscheidet jedoch eigenständig über Steuerbefreiungen und verlangt eine Bescheinigung der DG HAN, die diese Behörde in diesem Fall nicht vorlegt. Anschließend erhöht sie die Schwelle (9 Punkte) über das von der DG HAN gewährte Maß (8 Punkte) hinaus. </w:t>
      </w:r>
    </w:p>
    <w:p w14:paraId="7FF6FEAC" w14:textId="77777777" w:rsidR="00FA4EDF" w:rsidRDefault="00FA4EDF">
      <w:pPr>
        <w:divId w:val="545721472"/>
        <w:rPr>
          <w:rFonts w:eastAsia="Times New Roman"/>
          <w:lang w:val="de-DE"/>
        </w:rPr>
      </w:pPr>
      <w:r>
        <w:rPr>
          <w:rFonts w:eastAsia="Times New Roman"/>
          <w:b/>
          <w:bCs/>
          <w:color w:val="FFFFFF"/>
          <w:sz w:val="20"/>
          <w:szCs w:val="20"/>
          <w:shd w:val="clear" w:color="auto" w:fill="8B1E1E"/>
          <w:lang w:val="de-DE"/>
        </w:rPr>
        <w:t> 10 </w:t>
      </w:r>
      <w:r>
        <w:rPr>
          <w:rFonts w:eastAsia="Times New Roman"/>
          <w:lang w:val="de-DE"/>
        </w:rPr>
        <w:t xml:space="preserve"> </w:t>
      </w:r>
      <w:r>
        <w:rPr>
          <w:rStyle w:val="actor-naam1"/>
          <w:rFonts w:eastAsia="Times New Roman"/>
          <w:lang w:val="de-DE"/>
        </w:rPr>
        <w:t>LfA</w:t>
      </w:r>
      <w:r>
        <w:rPr>
          <w:rFonts w:eastAsia="Times New Roman"/>
          <w:lang w:val="de-DE"/>
        </w:rPr>
        <w:br/>
        <w:t>Die belgische föderale Behörde, die die Arbeitslosenversicherung regelt und europäische Berufslaufbahnbescheinigungen (PD U1) ausstellt.</w:t>
      </w:r>
      <w:r>
        <w:rPr>
          <w:rFonts w:eastAsia="Times New Roman"/>
          <w:lang w:val="de-DE"/>
        </w:rPr>
        <w:br/>
      </w:r>
      <w:r>
        <w:rPr>
          <w:rStyle w:val="actor-rol1"/>
          <w:rFonts w:eastAsia="Times New Roman"/>
          <w:lang w:val="de-DE"/>
        </w:rPr>
        <w:t>Rolle in diesem Fall:</w:t>
      </w:r>
      <w:r>
        <w:rPr>
          <w:rFonts w:eastAsia="Times New Roman"/>
          <w:lang w:val="de-DE"/>
        </w:rPr>
        <w:t xml:space="preserve"> Weigert sich, ausländische Berufslaufbahndaten in das eigene System zu integrieren. Verlangt für Bildungslaufbahnen ein C4-Formular, das in diesem Rechtsstatus rechtlich nicht existiert. </w:t>
      </w:r>
    </w:p>
    <w:p w14:paraId="4194FBD4" w14:textId="77777777" w:rsidR="00FA4EDF" w:rsidRDefault="00FA4EDF">
      <w:pPr>
        <w:divId w:val="408428715"/>
        <w:rPr>
          <w:rFonts w:eastAsia="Times New Roman"/>
          <w:lang w:val="de-DE"/>
        </w:rPr>
      </w:pPr>
      <w:r>
        <w:rPr>
          <w:rFonts w:eastAsia="Times New Roman"/>
          <w:b/>
          <w:bCs/>
          <w:color w:val="FFFFFF"/>
          <w:sz w:val="20"/>
          <w:szCs w:val="20"/>
          <w:shd w:val="clear" w:color="auto" w:fill="8B1E1E"/>
          <w:lang w:val="de-DE"/>
        </w:rPr>
        <w:t> 11 </w:t>
      </w:r>
      <w:r>
        <w:rPr>
          <w:rFonts w:eastAsia="Times New Roman"/>
          <w:lang w:val="de-DE"/>
        </w:rPr>
        <w:t xml:space="preserve"> </w:t>
      </w:r>
      <w:r>
        <w:rPr>
          <w:rStyle w:val="actor-naam1"/>
          <w:rFonts w:eastAsia="Times New Roman"/>
          <w:lang w:val="de-DE"/>
        </w:rPr>
        <w:t>Parentia</w:t>
      </w:r>
      <w:r>
        <w:rPr>
          <w:rFonts w:eastAsia="Times New Roman"/>
          <w:lang w:val="de-DE"/>
        </w:rPr>
        <w:br/>
      </w:r>
      <w:r>
        <w:rPr>
          <w:rStyle w:val="actor-naam1"/>
          <w:rFonts w:eastAsia="Times New Roman"/>
          <w:lang w:val="de-DE"/>
        </w:rPr>
        <w:t>:</w:t>
      </w:r>
      <w:r>
        <w:rPr>
          <w:rFonts w:eastAsia="Times New Roman"/>
          <w:lang w:val="de-DE"/>
        </w:rPr>
        <w:t xml:space="preserve"> </w:t>
      </w:r>
      <w:r>
        <w:rPr>
          <w:rFonts w:eastAsia="Times New Roman"/>
          <w:lang w:val="de-DE"/>
        </w:rPr>
        <w:t>Anerkannte belgische Auszahlungsstelle für Familienbeihilfen und das flämische „Groeipakket“.</w:t>
      </w:r>
      <w:r>
        <w:rPr>
          <w:rFonts w:eastAsia="Times New Roman"/>
          <w:lang w:val="de-DE"/>
        </w:rPr>
        <w:br/>
      </w:r>
      <w:r>
        <w:rPr>
          <w:rStyle w:val="actor-rol1"/>
          <w:rFonts w:eastAsia="Times New Roman"/>
          <w:lang w:val="de-DE"/>
        </w:rPr>
        <w:t>Rolle in diesem Fall:</w:t>
      </w:r>
      <w:r>
        <w:rPr>
          <w:rFonts w:eastAsia="Times New Roman"/>
          <w:lang w:val="de-DE"/>
        </w:rPr>
        <w:t xml:space="preserve"> Liest Einkommensdaten über die Kruispuntbank (KSZ) aus und ist daher vollständig von den Angaben der Krankenkasse (CM) abhängig. Wenn die Krankenkasse (CM) den Krankheitsstatus nicht erfasst, wird der Sozialzuschlag ausgesetzt. </w:t>
      </w:r>
    </w:p>
    <w:p w14:paraId="0B8DCADC" w14:textId="77777777" w:rsidR="00FA4EDF" w:rsidRDefault="00FA4EDF">
      <w:pPr>
        <w:divId w:val="1445345108"/>
        <w:rPr>
          <w:rFonts w:eastAsia="Times New Roman"/>
          <w:lang w:val="de-DE"/>
        </w:rPr>
      </w:pPr>
      <w:r>
        <w:rPr>
          <w:rFonts w:eastAsia="Times New Roman"/>
          <w:b/>
          <w:bCs/>
          <w:color w:val="FFFFFF"/>
          <w:sz w:val="20"/>
          <w:szCs w:val="20"/>
          <w:shd w:val="clear" w:color="auto" w:fill="8B1E1E"/>
          <w:lang w:val="de-DE"/>
        </w:rPr>
        <w:t> 12 </w:t>
      </w:r>
      <w:r>
        <w:rPr>
          <w:rFonts w:eastAsia="Times New Roman"/>
          <w:lang w:val="de-DE"/>
        </w:rPr>
        <w:t xml:space="preserve"> </w:t>
      </w:r>
      <w:r>
        <w:rPr>
          <w:rStyle w:val="actor-naam1"/>
          <w:rFonts w:eastAsia="Times New Roman"/>
          <w:lang w:val="de-DE"/>
        </w:rPr>
        <w:t>Agentur für Bildungsdienstleistungen (AGODI)</w:t>
      </w:r>
      <w:r>
        <w:rPr>
          <w:rFonts w:eastAsia="Times New Roman"/>
          <w:lang w:val="de-DE"/>
        </w:rPr>
        <w:br/>
        <w:t>Exekutivagentur des flämischen Bildungsministeriums, die die Lohnabrechnung des Bildungspersonals übernimmt.</w:t>
      </w:r>
      <w:r>
        <w:rPr>
          <w:rFonts w:eastAsia="Times New Roman"/>
          <w:lang w:val="de-DE"/>
        </w:rPr>
        <w:br/>
      </w:r>
      <w:r>
        <w:rPr>
          <w:rStyle w:val="actor-rol1"/>
          <w:rFonts w:eastAsia="Times New Roman"/>
          <w:lang w:val="de-DE"/>
        </w:rPr>
        <w:t>Rolle in diesem Fall:</w:t>
      </w:r>
      <w:r>
        <w:rPr>
          <w:rFonts w:eastAsia="Times New Roman"/>
          <w:lang w:val="de-DE"/>
        </w:rPr>
        <w:t xml:space="preserve"> Führt die Lohnsteuer für die Mutter ab, lehnt jedoch rückwirkende steuerliche Korrekturen auf der Grundlage einer föderalen Behindertenbescheinigung ab. Versteckt sich hinter dem Schulsekretariat und der föderalen Steuerbehörde. </w:t>
      </w:r>
    </w:p>
    <w:p w14:paraId="59AC2167" w14:textId="77777777" w:rsidR="00FA4EDF" w:rsidRDefault="00FA4EDF">
      <w:pPr>
        <w:divId w:val="742526960"/>
        <w:rPr>
          <w:rFonts w:eastAsia="Times New Roman"/>
          <w:lang w:val="de-DE"/>
        </w:rPr>
      </w:pPr>
      <w:r>
        <w:rPr>
          <w:rFonts w:eastAsia="Times New Roman"/>
          <w:b/>
          <w:bCs/>
          <w:color w:val="FFFFFF"/>
          <w:sz w:val="20"/>
          <w:szCs w:val="20"/>
          <w:shd w:val="clear" w:color="auto" w:fill="8B1E1E"/>
          <w:lang w:val="de-DE"/>
        </w:rPr>
        <w:t> 13 </w:t>
      </w:r>
      <w:r>
        <w:rPr>
          <w:rFonts w:eastAsia="Times New Roman"/>
          <w:lang w:val="de-DE"/>
        </w:rPr>
        <w:t xml:space="preserve"> </w:t>
      </w:r>
      <w:r>
        <w:rPr>
          <w:rStyle w:val="actor-naam1"/>
          <w:rFonts w:eastAsia="Times New Roman"/>
          <w:lang w:val="de-DE"/>
        </w:rPr>
        <w:t>Allgemeiner Christlicher Gewerkschaftsverband (ACV)</w:t>
      </w:r>
      <w:r>
        <w:rPr>
          <w:rFonts w:eastAsia="Times New Roman"/>
          <w:lang w:val="de-DE"/>
        </w:rPr>
        <w:br/>
        <w:t>Die größte belgische Gewerkschaft, zugleich Auszahlungsstelle und Träger sozialrechtlicher Leistungen.</w:t>
      </w:r>
      <w:r>
        <w:rPr>
          <w:rFonts w:eastAsia="Times New Roman"/>
          <w:lang w:val="de-DE"/>
        </w:rPr>
        <w:br/>
      </w:r>
      <w:r>
        <w:rPr>
          <w:rStyle w:val="actor-rol1"/>
          <w:rFonts w:eastAsia="Times New Roman"/>
          <w:lang w:val="de-DE"/>
        </w:rPr>
        <w:t>Rolle in dieser Angelegenheit:</w:t>
      </w:r>
      <w:r>
        <w:rPr>
          <w:rFonts w:eastAsia="Times New Roman"/>
          <w:lang w:val="de-DE"/>
        </w:rPr>
        <w:t xml:space="preserve"> Erkennt den Systemfehler uneingeschränkt an, lehnt jedoch rechtliche Schritte gegen die CM ab, sobald der Patient selbst keine Mitgliedsnummer hat. Die Solidarität endet an der Grenze der individuellen Mitgliedschaft. </w:t>
      </w:r>
    </w:p>
    <w:p w14:paraId="3B8A5132" w14:textId="77777777" w:rsidR="00FA4EDF" w:rsidRDefault="00FA4EDF">
      <w:pPr>
        <w:pStyle w:val="Kop4"/>
        <w:divId w:val="982394320"/>
        <w:rPr>
          <w:rFonts w:eastAsia="Times New Roman"/>
          <w:lang w:val="de-DE"/>
        </w:rPr>
      </w:pPr>
      <w:r>
        <w:rPr>
          <w:rFonts w:eastAsia="Times New Roman"/>
          <w:lang w:val="de-DE"/>
        </w:rPr>
        <w:t>Aufsicht</w:t>
      </w:r>
    </w:p>
    <w:p w14:paraId="4459D0C4" w14:textId="77777777" w:rsidR="00FA4EDF" w:rsidRDefault="00FA4EDF">
      <w:pPr>
        <w:divId w:val="1930115596"/>
        <w:rPr>
          <w:rFonts w:eastAsia="Times New Roman"/>
          <w:lang w:val="de-DE"/>
        </w:rPr>
      </w:pPr>
      <w:r>
        <w:rPr>
          <w:rFonts w:eastAsia="Times New Roman"/>
          <w:b/>
          <w:bCs/>
          <w:color w:val="FFFFFF"/>
          <w:sz w:val="20"/>
          <w:szCs w:val="20"/>
          <w:shd w:val="clear" w:color="auto" w:fill="8B1E1E"/>
          <w:lang w:val="de-DE"/>
        </w:rPr>
        <w:t> 14 </w:t>
      </w:r>
      <w:r>
        <w:rPr>
          <w:rFonts w:eastAsia="Times New Roman"/>
          <w:lang w:val="de-DE"/>
        </w:rPr>
        <w:t xml:space="preserve"> </w:t>
      </w:r>
      <w:r>
        <w:rPr>
          <w:rStyle w:val="actor-naam1"/>
          <w:rFonts w:eastAsia="Times New Roman"/>
          <w:lang w:val="de-DE"/>
        </w:rPr>
        <w:t>Staatliches Institut für Kranken- und Invaliditätsversicherung (LIKIV)</w:t>
      </w:r>
      <w:r>
        <w:rPr>
          <w:rFonts w:eastAsia="Times New Roman"/>
          <w:lang w:val="de-DE"/>
        </w:rPr>
        <w:br/>
        <w:t>Die zentrale föderale Einrichtung, die die gesetzliche Kranken- und Invaliditätsversicherung steuert und finanziert.</w:t>
      </w:r>
      <w:r>
        <w:rPr>
          <w:rFonts w:eastAsia="Times New Roman"/>
          <w:lang w:val="de-DE"/>
        </w:rPr>
        <w:br/>
      </w:r>
      <w:r>
        <w:rPr>
          <w:rStyle w:val="actor-rol1"/>
          <w:rFonts w:eastAsia="Times New Roman"/>
          <w:lang w:val="de-DE"/>
        </w:rPr>
        <w:t>Rolle in dieser Angelegenheit:</w:t>
      </w:r>
      <w:r>
        <w:rPr>
          <w:rFonts w:eastAsia="Times New Roman"/>
          <w:lang w:val="de-DE"/>
        </w:rPr>
        <w:t xml:space="preserve"> Bestätigt schriftlich, dass die medizinische Anerkennung unabhängig von einem finanziellen Leistungsanspruch ist, weigert sich jedoch, in Einzelfällen zwingend in Entscheidungen der Krankenkasse einzugreifen. </w:t>
      </w:r>
    </w:p>
    <w:p w14:paraId="44AAD4BB" w14:textId="77777777" w:rsidR="00FA4EDF" w:rsidRDefault="00FA4EDF">
      <w:pPr>
        <w:divId w:val="82186103"/>
        <w:rPr>
          <w:rFonts w:eastAsia="Times New Roman"/>
          <w:lang w:val="de-DE"/>
        </w:rPr>
      </w:pPr>
      <w:r>
        <w:rPr>
          <w:rFonts w:eastAsia="Times New Roman"/>
          <w:b/>
          <w:bCs/>
          <w:color w:val="FFFFFF"/>
          <w:sz w:val="20"/>
          <w:szCs w:val="20"/>
          <w:shd w:val="clear" w:color="auto" w:fill="8B1E1E"/>
          <w:lang w:val="de-DE"/>
        </w:rPr>
        <w:t> 15 </w:t>
      </w:r>
      <w:r>
        <w:rPr>
          <w:rFonts w:eastAsia="Times New Roman"/>
          <w:lang w:val="de-DE"/>
        </w:rPr>
        <w:t xml:space="preserve"> </w:t>
      </w:r>
      <w:r>
        <w:rPr>
          <w:rStyle w:val="actor-naam1"/>
          <w:rFonts w:eastAsia="Times New Roman"/>
          <w:lang w:val="de-DE"/>
        </w:rPr>
        <w:t>Aufsichtsbehörde für die Krankenkassen (CDZ)</w:t>
      </w:r>
      <w:r>
        <w:rPr>
          <w:rFonts w:eastAsia="Times New Roman"/>
          <w:lang w:val="de-DE"/>
        </w:rPr>
        <w:br/>
        <w:t>Föderale Aufsichtsbehörde für die Krankenkassen.</w:t>
      </w:r>
      <w:r>
        <w:rPr>
          <w:rFonts w:eastAsia="Times New Roman"/>
          <w:lang w:val="de-DE"/>
        </w:rPr>
        <w:br/>
      </w:r>
      <w:r>
        <w:rPr>
          <w:rStyle w:val="actor-rol1"/>
          <w:rFonts w:eastAsia="Times New Roman"/>
          <w:lang w:val="de-DE"/>
        </w:rPr>
        <w:t>Rolle in dieser Angelegenheit:</w:t>
      </w:r>
      <w:r>
        <w:rPr>
          <w:rFonts w:eastAsia="Times New Roman"/>
          <w:lang w:val="de-DE"/>
        </w:rPr>
        <w:t xml:space="preserve"> Erklärt sich für unzuständig in Einzelfällen. Stuft einen strukturellen Verstoß gegen das Unionsrecht als individuellen medizinischen Streitfall ein und schließt den Fall ab. </w:t>
      </w:r>
    </w:p>
    <w:p w14:paraId="68AFE87E" w14:textId="77777777" w:rsidR="00FA4EDF" w:rsidRDefault="00FA4EDF">
      <w:pPr>
        <w:divId w:val="1705522545"/>
        <w:rPr>
          <w:rFonts w:eastAsia="Times New Roman"/>
          <w:lang w:val="de-DE"/>
        </w:rPr>
      </w:pPr>
      <w:r>
        <w:rPr>
          <w:rFonts w:eastAsia="Times New Roman"/>
          <w:b/>
          <w:bCs/>
          <w:color w:val="FFFFFF"/>
          <w:sz w:val="20"/>
          <w:szCs w:val="20"/>
          <w:shd w:val="clear" w:color="auto" w:fill="8B1E1E"/>
          <w:lang w:val="de-DE"/>
        </w:rPr>
        <w:t> 16 </w:t>
      </w:r>
      <w:r>
        <w:rPr>
          <w:rFonts w:eastAsia="Times New Roman"/>
          <w:lang w:val="de-DE"/>
        </w:rPr>
        <w:t xml:space="preserve"> </w:t>
      </w:r>
      <w:r>
        <w:rPr>
          <w:rStyle w:val="actor-naam1"/>
          <w:rFonts w:eastAsia="Times New Roman"/>
          <w:lang w:val="de-DE"/>
        </w:rPr>
        <w:t>Bundesombudsmann</w:t>
      </w:r>
      <w:r>
        <w:rPr>
          <w:rFonts w:eastAsia="Times New Roman"/>
          <w:lang w:val="de-DE"/>
        </w:rPr>
        <w:br/>
        <w:t>Unabhängige Beschwerdestelle der belgischen Bundesregierung.</w:t>
      </w:r>
      <w:r>
        <w:rPr>
          <w:rFonts w:eastAsia="Times New Roman"/>
          <w:lang w:val="de-DE"/>
        </w:rPr>
        <w:br/>
      </w:r>
      <w:r>
        <w:rPr>
          <w:rStyle w:val="actor-rol1"/>
          <w:rFonts w:eastAsia="Times New Roman"/>
          <w:lang w:val="de-DE"/>
        </w:rPr>
        <w:t>Rolle in dieser Angelegenheit:</w:t>
      </w:r>
      <w:r>
        <w:rPr>
          <w:rFonts w:eastAsia="Times New Roman"/>
          <w:lang w:val="de-DE"/>
        </w:rPr>
        <w:t xml:space="preserve"> Erreicht einen verfahrensrechtlichen Durchbruch bei der DG HAN, muss sich jedoch der administrativen Abwehr der CM beugen. Schließt den Fall endgültig ab, ohne die zugrunde liegende Pattsituation zu lösen. </w:t>
      </w:r>
    </w:p>
    <w:p w14:paraId="3F770C74" w14:textId="77777777" w:rsidR="00FA4EDF" w:rsidRDefault="00FA4EDF">
      <w:pPr>
        <w:divId w:val="1415710677"/>
        <w:rPr>
          <w:rFonts w:eastAsia="Times New Roman"/>
          <w:lang w:val="de-DE"/>
        </w:rPr>
      </w:pPr>
      <w:r>
        <w:rPr>
          <w:rFonts w:eastAsia="Times New Roman"/>
          <w:b/>
          <w:bCs/>
          <w:color w:val="FFFFFF"/>
          <w:sz w:val="20"/>
          <w:szCs w:val="20"/>
          <w:shd w:val="clear" w:color="auto" w:fill="8B1E1E"/>
          <w:lang w:val="de-DE"/>
        </w:rPr>
        <w:t> 17 </w:t>
      </w:r>
      <w:r>
        <w:rPr>
          <w:rFonts w:eastAsia="Times New Roman"/>
          <w:lang w:val="de-DE"/>
        </w:rPr>
        <w:t xml:space="preserve"> </w:t>
      </w:r>
      <w:r>
        <w:rPr>
          <w:rStyle w:val="actor-naam1"/>
          <w:rFonts w:eastAsia="Times New Roman"/>
          <w:lang w:val="de-DE"/>
        </w:rPr>
        <w:t>Arbeitsstaatsanwaltschaft Gent</w:t>
      </w:r>
      <w:r>
        <w:rPr>
          <w:rFonts w:eastAsia="Times New Roman"/>
          <w:lang w:val="de-DE"/>
        </w:rPr>
        <w:br/>
        <w:t>: Die spezialisierte Staatsanwaltschaft bei den Arbeitsgerichten, zuständig für das Sozialversicherungsrecht.</w:t>
      </w:r>
      <w:r>
        <w:rPr>
          <w:rFonts w:eastAsia="Times New Roman"/>
          <w:lang w:val="de-DE"/>
        </w:rPr>
        <w:br/>
      </w:r>
      <w:r>
        <w:rPr>
          <w:rStyle w:val="actor-rol1"/>
          <w:rFonts w:eastAsia="Times New Roman"/>
          <w:lang w:val="de-DE"/>
        </w:rPr>
        <w:t>Rolle in diesem Fall:</w:t>
      </w:r>
      <w:r>
        <w:rPr>
          <w:rFonts w:eastAsia="Times New Roman"/>
          <w:lang w:val="de-DE"/>
        </w:rPr>
        <w:t xml:space="preserve"> Erklärt sich für unzuständig hinsichtlich der Aufsicht über die Krankenkassen. Stuft die administrative Pattsituation als zivilrechtlichen Streitfall ein und verweist den Fall an das Arbeitsgericht. </w:t>
      </w:r>
    </w:p>
    <w:p w14:paraId="5525A072" w14:textId="77777777" w:rsidR="00FA4EDF" w:rsidRDefault="00FA4EDF">
      <w:pPr>
        <w:divId w:val="19206390"/>
        <w:rPr>
          <w:rFonts w:eastAsia="Times New Roman"/>
          <w:lang w:val="de-DE"/>
        </w:rPr>
      </w:pPr>
      <w:r>
        <w:rPr>
          <w:rFonts w:eastAsia="Times New Roman"/>
          <w:b/>
          <w:bCs/>
          <w:color w:val="FFFFFF"/>
          <w:sz w:val="20"/>
          <w:szCs w:val="20"/>
          <w:shd w:val="clear" w:color="auto" w:fill="8B1E1E"/>
          <w:lang w:val="de-DE"/>
        </w:rPr>
        <w:t> 18 </w:t>
      </w:r>
      <w:r>
        <w:rPr>
          <w:rFonts w:eastAsia="Times New Roman"/>
          <w:lang w:val="de-DE"/>
        </w:rPr>
        <w:t xml:space="preserve"> </w:t>
      </w:r>
      <w:r>
        <w:rPr>
          <w:rStyle w:val="actor-naam1"/>
          <w:rFonts w:eastAsia="Times New Roman"/>
          <w:lang w:val="de-DE"/>
        </w:rPr>
        <w:t>UNIA (Interföderales Zentrum für Chancengleichheit)</w:t>
      </w:r>
      <w:r>
        <w:rPr>
          <w:rFonts w:eastAsia="Times New Roman"/>
          <w:lang w:val="de-DE"/>
        </w:rPr>
        <w:br/>
        <w:t>Unabhängige Einrichtung zur Bekämpfung von Diskriminierung.</w:t>
      </w:r>
      <w:r>
        <w:rPr>
          <w:rFonts w:eastAsia="Times New Roman"/>
          <w:lang w:val="de-DE"/>
        </w:rPr>
        <w:br/>
      </w:r>
      <w:r>
        <w:rPr>
          <w:rStyle w:val="actor-rol1"/>
          <w:rFonts w:eastAsia="Times New Roman"/>
          <w:lang w:val="de-DE"/>
        </w:rPr>
        <w:t>Rolle in diesem Fall:</w:t>
      </w:r>
      <w:r>
        <w:rPr>
          <w:rFonts w:eastAsia="Times New Roman"/>
          <w:lang w:val="de-DE"/>
        </w:rPr>
        <w:t xml:space="preserve"> Erklärt sich für unzuständig, da der Wohnort kein geschütztes Kriterium im Antidiskriminierungsrecht ist. Ein Ausschluss, der sich unmittelbar aus einem Gesetz oder Erlass ergibt, fällt nicht in den Zuständigkeitsbereich. </w:t>
      </w:r>
    </w:p>
    <w:p w14:paraId="1F891B3E" w14:textId="77777777" w:rsidR="00FA4EDF" w:rsidRDefault="00FA4EDF">
      <w:pPr>
        <w:divId w:val="1170757999"/>
        <w:rPr>
          <w:rFonts w:eastAsia="Times New Roman"/>
          <w:lang w:val="de-DE"/>
        </w:rPr>
      </w:pPr>
      <w:r>
        <w:rPr>
          <w:rFonts w:eastAsia="Times New Roman"/>
          <w:b/>
          <w:bCs/>
          <w:color w:val="FFFFFF"/>
          <w:sz w:val="20"/>
          <w:szCs w:val="20"/>
          <w:shd w:val="clear" w:color="auto" w:fill="8B1E1E"/>
          <w:lang w:val="de-DE"/>
        </w:rPr>
        <w:t> 19 </w:t>
      </w:r>
      <w:r>
        <w:rPr>
          <w:rFonts w:eastAsia="Times New Roman"/>
          <w:lang w:val="de-DE"/>
        </w:rPr>
        <w:t xml:space="preserve"> </w:t>
      </w:r>
      <w:r>
        <w:rPr>
          <w:rStyle w:val="actor-naam1"/>
          <w:rFonts w:eastAsia="Times New Roman"/>
          <w:lang w:val="de-DE"/>
        </w:rPr>
        <w:t>Ärztekammer</w:t>
      </w:r>
      <w:r>
        <w:rPr>
          <w:rFonts w:eastAsia="Times New Roman"/>
          <w:lang w:val="de-DE"/>
        </w:rPr>
        <w:br/>
      </w:r>
      <w:r>
        <w:rPr>
          <w:rStyle w:val="actor-naam1"/>
          <w:rFonts w:eastAsia="Times New Roman"/>
          <w:lang w:val="de-DE"/>
        </w:rPr>
        <w:t>:</w:t>
      </w:r>
      <w:r>
        <w:rPr>
          <w:rFonts w:eastAsia="Times New Roman"/>
          <w:lang w:val="de-DE"/>
        </w:rPr>
        <w:t xml:space="preserve"> Öffentlich-rechtliche Berufsorganisation, die die Einhaltung der ärztlichen Berufsethik überwacht und das Disziplinarrecht ausübt.</w:t>
      </w:r>
      <w:r>
        <w:rPr>
          <w:rFonts w:eastAsia="Times New Roman"/>
          <w:lang w:val="de-DE"/>
        </w:rPr>
        <w:br/>
      </w:r>
      <w:r>
        <w:rPr>
          <w:rStyle w:val="actor-rol1"/>
          <w:rFonts w:eastAsia="Times New Roman"/>
          <w:lang w:val="de-DE"/>
        </w:rPr>
        <w:t>Rolle in diesem Fall:</w:t>
      </w:r>
      <w:r>
        <w:rPr>
          <w:rFonts w:eastAsia="Times New Roman"/>
          <w:lang w:val="de-DE"/>
        </w:rPr>
        <w:t xml:space="preserve"> Befasst sich mit Beschwerden über Kontroll- und Gutachterärzte im Rahmen eines nichtöffentlichen Disziplinarverfahrens. Der Patient ist keine Prozesspartei, und das Mandat beschränkt sich auf das individuelle Handeln des Arztes. </w:t>
      </w:r>
    </w:p>
    <w:p w14:paraId="69E6ED97" w14:textId="77777777" w:rsidR="00FA4EDF" w:rsidRDefault="00FA4EDF">
      <w:pPr>
        <w:pStyle w:val="Kop4"/>
        <w:divId w:val="982394320"/>
        <w:rPr>
          <w:rFonts w:eastAsia="Times New Roman"/>
          <w:lang w:val="de-DE"/>
        </w:rPr>
      </w:pPr>
      <w:r>
        <w:rPr>
          <w:rFonts w:eastAsia="Times New Roman"/>
          <w:lang w:val="de-DE"/>
        </w:rPr>
        <w:t>Politik</w:t>
      </w:r>
    </w:p>
    <w:p w14:paraId="5B35B26A" w14:textId="77777777" w:rsidR="00FA4EDF" w:rsidRDefault="00FA4EDF">
      <w:pPr>
        <w:divId w:val="522206347"/>
        <w:rPr>
          <w:rFonts w:eastAsia="Times New Roman"/>
          <w:lang w:val="de-DE"/>
        </w:rPr>
      </w:pPr>
      <w:r>
        <w:rPr>
          <w:rFonts w:eastAsia="Times New Roman"/>
          <w:b/>
          <w:bCs/>
          <w:color w:val="FFFFFF"/>
          <w:sz w:val="20"/>
          <w:szCs w:val="20"/>
          <w:shd w:val="clear" w:color="auto" w:fill="8B1E1E"/>
          <w:lang w:val="de-DE"/>
        </w:rPr>
        <w:t> 20 </w:t>
      </w:r>
      <w:r>
        <w:rPr>
          <w:rFonts w:eastAsia="Times New Roman"/>
          <w:lang w:val="de-DE"/>
        </w:rPr>
        <w:t xml:space="preserve"> </w:t>
      </w:r>
      <w:r>
        <w:rPr>
          <w:rStyle w:val="actor-naam1"/>
          <w:rFonts w:eastAsia="Times New Roman"/>
          <w:lang w:val="de-DE"/>
        </w:rPr>
        <w:t>Abgeordnetenhaus – Ausschuss für Soziales, Arbeit und Renten</w:t>
      </w:r>
      <w:r>
        <w:rPr>
          <w:rFonts w:eastAsia="Times New Roman"/>
          <w:lang w:val="de-DE"/>
        </w:rPr>
        <w:br/>
        <w:t>Der ständige Parlamentsausschuss, der die föderalen Sozialversicherungsgesetze ausarbeitet und die zuständigen Minister kontrolliert.</w:t>
      </w:r>
      <w:r>
        <w:rPr>
          <w:rFonts w:eastAsia="Times New Roman"/>
          <w:lang w:val="de-DE"/>
        </w:rPr>
        <w:br/>
      </w:r>
      <w:r>
        <w:rPr>
          <w:rStyle w:val="actor-rol1"/>
          <w:rFonts w:eastAsia="Times New Roman"/>
          <w:lang w:val="de-DE"/>
        </w:rPr>
        <w:t>Rolle in dieser Angelegenheit:</w:t>
      </w:r>
      <w:r>
        <w:rPr>
          <w:rFonts w:eastAsia="Times New Roman"/>
          <w:lang w:val="de-DE"/>
        </w:rPr>
        <w:t xml:space="preserve"> Erhält eine dokumentierte Meldung über einen Systemausfall, leitet jedoch keine parlamentarischen Maßnahmen ein. Keine Anfrage, keine Interpellation, keine Anhörung. </w:t>
      </w:r>
    </w:p>
    <w:p w14:paraId="360A7050" w14:textId="77777777" w:rsidR="00FA4EDF" w:rsidRDefault="00FA4EDF">
      <w:pPr>
        <w:divId w:val="671026529"/>
        <w:rPr>
          <w:rFonts w:eastAsia="Times New Roman"/>
          <w:lang w:val="de-DE"/>
        </w:rPr>
      </w:pPr>
      <w:r>
        <w:rPr>
          <w:rFonts w:eastAsia="Times New Roman"/>
          <w:b/>
          <w:bCs/>
          <w:color w:val="FFFFFF"/>
          <w:sz w:val="20"/>
          <w:szCs w:val="20"/>
          <w:shd w:val="clear" w:color="auto" w:fill="8B1E1E"/>
          <w:lang w:val="de-DE"/>
        </w:rPr>
        <w:t> 21 </w:t>
      </w:r>
      <w:r>
        <w:rPr>
          <w:rFonts w:eastAsia="Times New Roman"/>
          <w:lang w:val="de-DE"/>
        </w:rPr>
        <w:t xml:space="preserve"> </w:t>
      </w:r>
      <w:r>
        <w:rPr>
          <w:rStyle w:val="actor-naam1"/>
          <w:rFonts w:eastAsia="Times New Roman"/>
          <w:lang w:val="de-DE"/>
        </w:rPr>
        <w:t>Abgeordnetenhaus – Petitionsausschuss</w:t>
      </w:r>
      <w:r>
        <w:rPr>
          <w:rFonts w:eastAsia="Times New Roman"/>
          <w:lang w:val="de-DE"/>
        </w:rPr>
        <w:t xml:space="preserve"> </w:t>
      </w:r>
      <w:r>
        <w:rPr>
          <w:rFonts w:eastAsia="Times New Roman"/>
          <w:lang w:val="de-DE"/>
        </w:rPr>
        <w:br/>
        <w:t>Der parlamentarische Ausschuss, der sich mit dem verfassungsmäßigen Petitionsrecht befasst.</w:t>
      </w:r>
      <w:r>
        <w:rPr>
          <w:rFonts w:eastAsia="Times New Roman"/>
          <w:lang w:val="de-DE"/>
        </w:rPr>
        <w:br/>
      </w:r>
      <w:r>
        <w:rPr>
          <w:rStyle w:val="actor-rol1"/>
          <w:rFonts w:eastAsia="Times New Roman"/>
          <w:lang w:val="de-DE"/>
        </w:rPr>
        <w:t>Rolle in dieser Angelegenheit:</w:t>
      </w:r>
      <w:r>
        <w:rPr>
          <w:rFonts w:eastAsia="Times New Roman"/>
          <w:lang w:val="de-DE"/>
        </w:rPr>
        <w:t xml:space="preserve"> Erklärt die Petition für zulässig und leitet sie an den zuständigen Fachausschuss und den Minister weiter. Damit ist die Bearbeitung abgeschlossen. Formale Erledigung ohne inhaltliche Maßnahmen. </w:t>
      </w:r>
    </w:p>
    <w:p w14:paraId="498384CE" w14:textId="77777777" w:rsidR="00FA4EDF" w:rsidRDefault="00FA4EDF">
      <w:pPr>
        <w:divId w:val="1303465866"/>
        <w:rPr>
          <w:rFonts w:eastAsia="Times New Roman"/>
          <w:lang w:val="de-DE"/>
        </w:rPr>
      </w:pPr>
      <w:r>
        <w:rPr>
          <w:rFonts w:eastAsia="Times New Roman"/>
          <w:b/>
          <w:bCs/>
          <w:color w:val="FFFFFF"/>
          <w:sz w:val="20"/>
          <w:szCs w:val="20"/>
          <w:shd w:val="clear" w:color="auto" w:fill="8B1E1E"/>
          <w:lang w:val="de-DE"/>
        </w:rPr>
        <w:t> 22 </w:t>
      </w:r>
      <w:r>
        <w:rPr>
          <w:rFonts w:eastAsia="Times New Roman"/>
          <w:lang w:val="de-DE"/>
        </w:rPr>
        <w:t xml:space="preserve"> </w:t>
      </w:r>
      <w:r>
        <w:rPr>
          <w:rStyle w:val="actor-naam1"/>
          <w:rFonts w:eastAsia="Times New Roman"/>
          <w:lang w:val="de-DE"/>
        </w:rPr>
        <w:t>belgische politische Parteien</w:t>
      </w:r>
      <w:r>
        <w:rPr>
          <w:rFonts w:eastAsia="Times New Roman"/>
          <w:lang w:val="de-DE"/>
        </w:rPr>
        <w:br/>
      </w:r>
      <w:r>
        <w:rPr>
          <w:rFonts w:eastAsia="Times New Roman"/>
          <w:lang w:val="de-DE"/>
        </w:rPr>
        <w:t>Die Parteien, die die Legislative und die Exekutive bilden.</w:t>
      </w:r>
      <w:r>
        <w:rPr>
          <w:rFonts w:eastAsia="Times New Roman"/>
          <w:lang w:val="de-DE"/>
        </w:rPr>
        <w:br/>
      </w:r>
      <w:r>
        <w:rPr>
          <w:rStyle w:val="actor-rol1"/>
          <w:rFonts w:eastAsia="Times New Roman"/>
          <w:lang w:val="de-DE"/>
        </w:rPr>
        <w:t>Rolle in dieser Angelegenheit:</w:t>
      </w:r>
      <w:r>
        <w:rPr>
          <w:rFonts w:eastAsia="Times New Roman"/>
          <w:lang w:val="de-DE"/>
        </w:rPr>
        <w:t xml:space="preserve"> Neun Parteien wurden angeschrieben. Fünf haben nicht geantwortet. Die anderen vier verweisen auf Forschungsabteilungen oder erklären sich für unzuständig. Keine einzige Partei hat ein parlamentarisches Instrument in Gang gesetzt. </w:t>
      </w:r>
    </w:p>
    <w:p w14:paraId="558AA136" w14:textId="77777777" w:rsidR="00FA4EDF" w:rsidRDefault="00FA4EDF">
      <w:pPr>
        <w:pStyle w:val="Kop4"/>
        <w:divId w:val="982394320"/>
        <w:rPr>
          <w:rFonts w:eastAsia="Times New Roman"/>
          <w:lang w:val="de-DE"/>
        </w:rPr>
      </w:pPr>
      <w:r>
        <w:rPr>
          <w:rFonts w:eastAsia="Times New Roman"/>
          <w:lang w:val="de-DE"/>
        </w:rPr>
        <w:t>Symbolik</w:t>
      </w:r>
    </w:p>
    <w:p w14:paraId="42576E4E" w14:textId="77777777" w:rsidR="00FA4EDF" w:rsidRDefault="00FA4EDF">
      <w:pPr>
        <w:divId w:val="2079668601"/>
        <w:rPr>
          <w:rFonts w:eastAsia="Times New Roman"/>
          <w:lang w:val="de-DE"/>
        </w:rPr>
      </w:pPr>
      <w:r>
        <w:rPr>
          <w:rFonts w:eastAsia="Times New Roman"/>
          <w:b/>
          <w:bCs/>
          <w:color w:val="FFFFFF"/>
          <w:sz w:val="20"/>
          <w:szCs w:val="20"/>
          <w:shd w:val="clear" w:color="auto" w:fill="8B1E1E"/>
          <w:lang w:val="de-DE"/>
        </w:rPr>
        <w:t> 23 </w:t>
      </w:r>
      <w:r>
        <w:rPr>
          <w:rFonts w:eastAsia="Times New Roman"/>
          <w:lang w:val="de-DE"/>
        </w:rPr>
        <w:t xml:space="preserve"> </w:t>
      </w:r>
      <w:r>
        <w:rPr>
          <w:rStyle w:val="actor-naam1"/>
          <w:rFonts w:eastAsia="Times New Roman"/>
          <w:lang w:val="de-DE"/>
        </w:rPr>
        <w:t>Königlicher Palast von Belgien</w:t>
      </w:r>
      <w:r>
        <w:rPr>
          <w:rFonts w:eastAsia="Times New Roman"/>
          <w:lang w:val="de-DE"/>
        </w:rPr>
        <w:br/>
        <w:t>Das Kabinett des Königs, das Petitionen von Bürgern bearbeitet.</w:t>
      </w:r>
      <w:r>
        <w:rPr>
          <w:rFonts w:eastAsia="Times New Roman"/>
          <w:lang w:val="de-DE"/>
        </w:rPr>
        <w:br/>
      </w:r>
      <w:r>
        <w:rPr>
          <w:rStyle w:val="actor-rol1"/>
          <w:rFonts w:eastAsia="Times New Roman"/>
          <w:lang w:val="de-DE"/>
        </w:rPr>
        <w:t>Rolle in diesem Fall:</w:t>
      </w:r>
      <w:r>
        <w:rPr>
          <w:rFonts w:eastAsia="Times New Roman"/>
          <w:lang w:val="de-DE"/>
        </w:rPr>
        <w:t xml:space="preserve"> Symbolische Endstation. Bestätigt den Eingang und leitet die Petition an den zuständigen Minister weiter – womit der Bürger wieder auf der Ausführungsebene landet. Der Mailserver des Palastes ist technisch nicht erreichbar.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4EC4D3F5" w14:textId="77777777">
        <w:trPr>
          <w:divId w:val="982394320"/>
        </w:trPr>
        <w:tc>
          <w:tcPr>
            <w:tcW w:w="0" w:type="auto"/>
            <w:tcBorders>
              <w:top w:val="single" w:sz="6" w:space="0" w:color="D5D0C5"/>
              <w:left w:val="single" w:sz="36" w:space="0" w:color="1A3C6E"/>
              <w:bottom w:val="single" w:sz="6" w:space="0" w:color="D5D0C5"/>
              <w:right w:val="single" w:sz="6" w:space="0" w:color="D5D0C5"/>
            </w:tcBorders>
            <w:shd w:val="clear" w:color="auto" w:fill="EDF2F8"/>
            <w:tcMar>
              <w:top w:w="160" w:type="dxa"/>
              <w:left w:w="240" w:type="dxa"/>
              <w:bottom w:w="160" w:type="dxa"/>
              <w:right w:w="240" w:type="dxa"/>
            </w:tcMar>
            <w:hideMark/>
          </w:tcPr>
          <w:p w14:paraId="2F2F9070" w14:textId="77777777" w:rsidR="00FA4EDF" w:rsidRDefault="00FA4EDF">
            <w:pPr>
              <w:spacing w:before="240" w:after="240"/>
              <w:rPr>
                <w:rFonts w:eastAsia="Times New Roman"/>
                <w:sz w:val="21"/>
                <w:szCs w:val="21"/>
              </w:rPr>
            </w:pPr>
            <w:r>
              <w:rPr>
                <w:rStyle w:val="Zwaar"/>
                <w:rFonts w:eastAsia="Times New Roman"/>
                <w:sz w:val="21"/>
                <w:szCs w:val="21"/>
              </w:rPr>
              <w:t>WELT NIEDERLANDE</w:t>
            </w:r>
          </w:p>
        </w:tc>
      </w:tr>
    </w:tbl>
    <w:p w14:paraId="70042B7A" w14:textId="77777777" w:rsidR="00FA4EDF" w:rsidRDefault="00FA4EDF">
      <w:pPr>
        <w:pStyle w:val="Kop4"/>
        <w:divId w:val="982394320"/>
        <w:rPr>
          <w:rFonts w:eastAsia="Times New Roman"/>
          <w:lang w:val="de-DE"/>
        </w:rPr>
      </w:pPr>
      <w:r>
        <w:rPr>
          <w:rFonts w:eastAsia="Times New Roman"/>
          <w:lang w:val="de-DE"/>
        </w:rPr>
        <w:t>Ausführung</w:t>
      </w:r>
    </w:p>
    <w:p w14:paraId="6B04E07A" w14:textId="77777777" w:rsidR="00FA4EDF" w:rsidRDefault="00FA4EDF">
      <w:pPr>
        <w:divId w:val="1342511288"/>
        <w:rPr>
          <w:rFonts w:eastAsia="Times New Roman"/>
          <w:lang w:val="de-DE"/>
        </w:rPr>
      </w:pPr>
      <w:r>
        <w:rPr>
          <w:rFonts w:eastAsia="Times New Roman"/>
          <w:b/>
          <w:bCs/>
          <w:color w:val="FFFFFF"/>
          <w:sz w:val="20"/>
          <w:szCs w:val="20"/>
          <w:shd w:val="clear" w:color="auto" w:fill="1A3C6E"/>
          <w:lang w:val="de-DE"/>
        </w:rPr>
        <w:t> 24 </w:t>
      </w:r>
      <w:r>
        <w:rPr>
          <w:rFonts w:eastAsia="Times New Roman"/>
          <w:lang w:val="de-DE"/>
        </w:rPr>
        <w:t xml:space="preserve"> </w:t>
      </w:r>
      <w:r>
        <w:rPr>
          <w:rStyle w:val="actor-naam1"/>
          <w:rFonts w:eastAsia="Times New Roman"/>
          <w:lang w:val="de-DE"/>
        </w:rPr>
        <w:t>CZ (Centrale Zorgverzekeraar)</w:t>
      </w:r>
      <w:r>
        <w:rPr>
          <w:rFonts w:eastAsia="Times New Roman"/>
          <w:lang w:val="de-DE"/>
        </w:rPr>
        <w:br/>
        <w:t>Großer niederländischer Krankenversicherer, der die gesetzliche Grundversicherung durchführt und die Vertragspolice auf niederländischer Seite verwaltet.</w:t>
      </w:r>
      <w:r>
        <w:rPr>
          <w:rFonts w:eastAsia="Times New Roman"/>
          <w:lang w:val="de-DE"/>
        </w:rPr>
        <w:br/>
      </w:r>
      <w:r>
        <w:rPr>
          <w:rStyle w:val="actor-rol1"/>
          <w:rFonts w:eastAsia="Times New Roman"/>
          <w:lang w:val="de-DE"/>
        </w:rPr>
        <w:t>Rolle in diesem Fall:</w:t>
      </w:r>
      <w:r>
        <w:rPr>
          <w:rFonts w:eastAsia="Times New Roman"/>
          <w:lang w:val="de-DE"/>
        </w:rPr>
        <w:t xml:space="preserve"> Erstattet Arztrechnungen, lehnt jedoch den Krankentransport aufgrund einer Perimetrie-Anforderung ab, die in Belgien nicht standardmäßig gemessen wird. Versäumt es, die Vertragspolice im RIV-Register einzutragen. </w:t>
      </w:r>
    </w:p>
    <w:p w14:paraId="35249D96" w14:textId="77777777" w:rsidR="00FA4EDF" w:rsidRDefault="00FA4EDF">
      <w:pPr>
        <w:divId w:val="1809592265"/>
        <w:rPr>
          <w:rFonts w:eastAsia="Times New Roman"/>
          <w:lang w:val="de-DE"/>
        </w:rPr>
      </w:pPr>
      <w:r>
        <w:rPr>
          <w:rFonts w:eastAsia="Times New Roman"/>
          <w:b/>
          <w:bCs/>
          <w:color w:val="FFFFFF"/>
          <w:sz w:val="20"/>
          <w:szCs w:val="20"/>
          <w:shd w:val="clear" w:color="auto" w:fill="1A3C6E"/>
          <w:lang w:val="de-DE"/>
        </w:rPr>
        <w:t> 25 </w:t>
      </w:r>
      <w:r>
        <w:rPr>
          <w:rFonts w:eastAsia="Times New Roman"/>
          <w:lang w:val="de-DE"/>
        </w:rPr>
        <w:t xml:space="preserve"> </w:t>
      </w:r>
      <w:r>
        <w:rPr>
          <w:rStyle w:val="actor-naam1"/>
          <w:rFonts w:eastAsia="Times New Roman"/>
          <w:lang w:val="de-DE"/>
        </w:rPr>
        <w:t>ZorgSaam</w:t>
      </w:r>
      <w:r>
        <w:rPr>
          <w:rFonts w:eastAsia="Times New Roman"/>
          <w:lang w:val="de-DE"/>
        </w:rPr>
        <w:br/>
      </w:r>
      <w:r>
        <w:rPr>
          <w:rStyle w:val="actor-naam1"/>
          <w:rFonts w:eastAsia="Times New Roman"/>
          <w:lang w:val="de-DE"/>
        </w:rPr>
        <w:t>–</w:t>
      </w:r>
      <w:r>
        <w:rPr>
          <w:rFonts w:eastAsia="Times New Roman"/>
          <w:lang w:val="de-DE"/>
        </w:rPr>
        <w:t xml:space="preserve"> Regionaler Gesundheitsdienstleister in Zeeuws-Vlaanderen.</w:t>
      </w:r>
      <w:r>
        <w:rPr>
          <w:rFonts w:eastAsia="Times New Roman"/>
          <w:lang w:val="de-DE"/>
        </w:rPr>
        <w:br/>
      </w:r>
      <w:r>
        <w:rPr>
          <w:rStyle w:val="actor-rol1"/>
          <w:rFonts w:eastAsia="Times New Roman"/>
          <w:lang w:val="de-DE"/>
        </w:rPr>
        <w:t>Rolle in diesem Fall:</w:t>
      </w:r>
      <w:r>
        <w:rPr>
          <w:rFonts w:eastAsia="Times New Roman"/>
          <w:lang w:val="de-DE"/>
        </w:rPr>
        <w:t xml:space="preserve"> Erbringt über Monate hinweg komplexe Wundversorgung zu Hause und dokumentiert 126 klinische Einträge. Dieser Bericht ist für das UWV, CZ oder die belgische Sozialversicherung nicht automatisch einsehbar. Externe belgische Dokumente werden passiv unter einem Multimedia-Reiter archiviert. </w:t>
      </w:r>
    </w:p>
    <w:p w14:paraId="58BE414F" w14:textId="77777777" w:rsidR="00FA4EDF" w:rsidRDefault="00FA4EDF">
      <w:pPr>
        <w:divId w:val="1204177321"/>
        <w:rPr>
          <w:rFonts w:eastAsia="Times New Roman"/>
          <w:lang w:val="de-DE"/>
        </w:rPr>
      </w:pPr>
      <w:r>
        <w:rPr>
          <w:rFonts w:eastAsia="Times New Roman"/>
          <w:b/>
          <w:bCs/>
          <w:color w:val="FFFFFF"/>
          <w:sz w:val="20"/>
          <w:szCs w:val="20"/>
          <w:shd w:val="clear" w:color="auto" w:fill="1A3C6E"/>
          <w:lang w:val="de-DE"/>
        </w:rPr>
        <w:t> 26 </w:t>
      </w:r>
      <w:r>
        <w:rPr>
          <w:rFonts w:eastAsia="Times New Roman"/>
          <w:lang w:val="de-DE"/>
        </w:rPr>
        <w:t xml:space="preserve"> </w:t>
      </w:r>
      <w:r>
        <w:rPr>
          <w:rStyle w:val="actor-naam1"/>
          <w:rFonts w:eastAsia="Times New Roman"/>
          <w:lang w:val="de-DE"/>
        </w:rPr>
        <w:t>CAK (Centraal Administratie Kantoor)</w:t>
      </w:r>
      <w:r>
        <w:rPr>
          <w:rFonts w:eastAsia="Times New Roman"/>
          <w:lang w:val="de-DE"/>
        </w:rPr>
        <w:br/>
        <w:t>Unabhängige Verwaltungsbehörde, die das nationale Versicherungsregister (RIV) verwaltet und die Bestimmungen des Abkommens umsetzt.</w:t>
      </w:r>
      <w:r>
        <w:rPr>
          <w:rFonts w:eastAsia="Times New Roman"/>
          <w:lang w:val="de-DE"/>
        </w:rPr>
        <w:br/>
      </w:r>
      <w:r>
        <w:rPr>
          <w:rStyle w:val="actor-rol1"/>
          <w:rFonts w:eastAsia="Times New Roman"/>
          <w:lang w:val="de-DE"/>
        </w:rPr>
        <w:t>Rolle in diesem Fall:</w:t>
      </w:r>
      <w:r>
        <w:rPr>
          <w:rFonts w:eastAsia="Times New Roman"/>
          <w:lang w:val="de-DE"/>
        </w:rPr>
        <w:t xml:space="preserve"> Weigert sich, die Vertragspolice zu registrieren, und führt dabei ein verfahrensrechtliches Argument an: Das System kennt nur den „normalen“ Grenzgänger (Arbeiten in den Niederlanden, Wohnen im Ausland), nicht die umgekehrte Situation (Wohnen in den Niederlanden, Arbeiten in Belgien). Das System kennt dieses Feld nicht</w:t>
      </w:r>
      <w:r>
        <w:rPr>
          <w:rFonts w:eastAsia="Times New Roman"/>
          <w:lang w:val="de-DE"/>
        </w:rPr>
        <w:t xml:space="preserve">. </w:t>
      </w:r>
    </w:p>
    <w:p w14:paraId="15DC47EC" w14:textId="77777777" w:rsidR="00FA4EDF" w:rsidRDefault="00FA4EDF">
      <w:pPr>
        <w:divId w:val="1812867335"/>
        <w:rPr>
          <w:rFonts w:eastAsia="Times New Roman"/>
          <w:lang w:val="de-DE"/>
        </w:rPr>
      </w:pPr>
      <w:r>
        <w:rPr>
          <w:rFonts w:eastAsia="Times New Roman"/>
          <w:b/>
          <w:bCs/>
          <w:color w:val="FFFFFF"/>
          <w:sz w:val="20"/>
          <w:szCs w:val="20"/>
          <w:shd w:val="clear" w:color="auto" w:fill="1A3C6E"/>
          <w:lang w:val="de-DE"/>
        </w:rPr>
        <w:t> 27 </w:t>
      </w:r>
      <w:r>
        <w:rPr>
          <w:rFonts w:eastAsia="Times New Roman"/>
          <w:lang w:val="de-DE"/>
        </w:rPr>
        <w:t xml:space="preserve"> </w:t>
      </w:r>
      <w:r>
        <w:rPr>
          <w:rStyle w:val="actor-naam1"/>
          <w:rFonts w:eastAsia="Times New Roman"/>
          <w:lang w:val="de-DE"/>
        </w:rPr>
        <w:t>Zorginstituut Nederland (ZIN) – Umsetzung</w:t>
      </w:r>
      <w:r>
        <w:rPr>
          <w:rFonts w:eastAsia="Times New Roman"/>
          <w:lang w:val="de-DE"/>
        </w:rPr>
        <w:br/>
        <w:t>: Eigenständige Verwaltungsbehörde unter dem Ministerium für Gesundheit, Wohlfahrt und Sport (VWS).</w:t>
      </w:r>
      <w:r>
        <w:rPr>
          <w:rFonts w:eastAsia="Times New Roman"/>
          <w:lang w:val="de-DE"/>
        </w:rPr>
        <w:br/>
      </w:r>
      <w:r>
        <w:rPr>
          <w:rStyle w:val="actor-rol1"/>
          <w:rFonts w:eastAsia="Times New Roman"/>
          <w:lang w:val="de-DE"/>
        </w:rPr>
        <w:t>Rolle in dieser Angelegenheit:</w:t>
      </w:r>
      <w:r>
        <w:rPr>
          <w:rFonts w:eastAsia="Times New Roman"/>
          <w:lang w:val="de-DE"/>
        </w:rPr>
        <w:t xml:space="preserve"> Verwaltet und überwacht das RIV-Register auf Systemebene, verweigert jedoch die Einsicht in einzelne personenbezogene Daten. Verweist an CZ und das CAK zurück. </w:t>
      </w:r>
    </w:p>
    <w:p w14:paraId="3EBFE281" w14:textId="77777777" w:rsidR="00FA4EDF" w:rsidRDefault="00FA4EDF">
      <w:pPr>
        <w:divId w:val="2124764003"/>
        <w:rPr>
          <w:rFonts w:eastAsia="Times New Roman"/>
          <w:lang w:val="de-DE"/>
        </w:rPr>
      </w:pPr>
      <w:r>
        <w:rPr>
          <w:rFonts w:eastAsia="Times New Roman"/>
          <w:b/>
          <w:bCs/>
          <w:color w:val="FFFFFF"/>
          <w:sz w:val="20"/>
          <w:szCs w:val="20"/>
          <w:shd w:val="clear" w:color="auto" w:fill="1A3C6E"/>
          <w:lang w:val="de-DE"/>
        </w:rPr>
        <w:t> 28 </w:t>
      </w:r>
      <w:r>
        <w:rPr>
          <w:rFonts w:eastAsia="Times New Roman"/>
          <w:lang w:val="de-DE"/>
        </w:rPr>
        <w:t xml:space="preserve"> </w:t>
      </w:r>
      <w:r>
        <w:rPr>
          <w:rStyle w:val="actor-naam1"/>
          <w:rFonts w:eastAsia="Times New Roman"/>
          <w:lang w:val="de-DE"/>
        </w:rPr>
        <w:t>Pallion Hausarztpraxis</w:t>
      </w:r>
      <w:r>
        <w:rPr>
          <w:rFonts w:eastAsia="Times New Roman"/>
          <w:lang w:val="de-DE"/>
        </w:rPr>
        <w:br/>
        <w:t>Hausarztpraxis für die medizinische Grundversorgung in Hulst.</w:t>
      </w:r>
      <w:r>
        <w:rPr>
          <w:rFonts w:eastAsia="Times New Roman"/>
          <w:lang w:val="de-DE"/>
        </w:rPr>
        <w:br/>
      </w:r>
      <w:r>
        <w:rPr>
          <w:rStyle w:val="actor-rol1"/>
          <w:rFonts w:eastAsia="Times New Roman"/>
          <w:lang w:val="de-DE"/>
        </w:rPr>
        <w:t>Rolle in diesem Fall:</w:t>
      </w:r>
      <w:r>
        <w:rPr>
          <w:rFonts w:eastAsia="Times New Roman"/>
          <w:lang w:val="de-DE"/>
        </w:rPr>
        <w:t xml:space="preserve"> </w:t>
      </w:r>
      <w:r>
        <w:rPr>
          <w:rFonts w:eastAsia="Times New Roman"/>
          <w:lang w:val="de-DE"/>
        </w:rPr>
        <w:t xml:space="preserve">Lehnt eine informative Registrierung ab. Das niederländische Gesetz verbietet doppelte Registrierungen über die Grenze hinweg. Der Patient verfügt in seinem eigenen Wohnsitzland nicht über eine lokale medizinische Betreuung, die mit seiner belgischen Krankenakte vertraut ist. </w:t>
      </w:r>
    </w:p>
    <w:p w14:paraId="62614A6D" w14:textId="77777777" w:rsidR="00FA4EDF" w:rsidRDefault="00FA4EDF">
      <w:pPr>
        <w:divId w:val="470439068"/>
        <w:rPr>
          <w:rFonts w:eastAsia="Times New Roman"/>
          <w:lang w:val="de-DE"/>
        </w:rPr>
      </w:pPr>
      <w:r>
        <w:rPr>
          <w:rFonts w:eastAsia="Times New Roman"/>
          <w:b/>
          <w:bCs/>
          <w:color w:val="FFFFFF"/>
          <w:sz w:val="20"/>
          <w:szCs w:val="20"/>
          <w:shd w:val="clear" w:color="auto" w:fill="1A3C6E"/>
          <w:lang w:val="de-DE"/>
        </w:rPr>
        <w:t> 29 </w:t>
      </w:r>
      <w:r>
        <w:rPr>
          <w:rFonts w:eastAsia="Times New Roman"/>
          <w:lang w:val="de-DE"/>
        </w:rPr>
        <w:t xml:space="preserve"> </w:t>
      </w:r>
      <w:r>
        <w:rPr>
          <w:rStyle w:val="actor-naam1"/>
          <w:rFonts w:eastAsia="Times New Roman"/>
          <w:lang w:val="de-DE"/>
        </w:rPr>
        <w:t>Unabhängige Experten NL</w:t>
      </w:r>
      <w:r>
        <w:rPr>
          <w:rFonts w:eastAsia="Times New Roman"/>
          <w:lang w:val="de-DE"/>
        </w:rPr>
        <w:br/>
        <w:t>Öffentliche und private Untersuchungsärzte sowie medizinische Gutachter.</w:t>
      </w:r>
      <w:r>
        <w:rPr>
          <w:rFonts w:eastAsia="Times New Roman"/>
          <w:lang w:val="de-DE"/>
        </w:rPr>
        <w:br/>
      </w:r>
      <w:r>
        <w:rPr>
          <w:rStyle w:val="actor-rol1"/>
          <w:rFonts w:eastAsia="Times New Roman"/>
          <w:lang w:val="de-DE"/>
        </w:rPr>
        <w:t>Rolle in diesem Fall:</w:t>
      </w:r>
      <w:r>
        <w:rPr>
          <w:rFonts w:eastAsia="Times New Roman"/>
          <w:lang w:val="de-DE"/>
        </w:rPr>
        <w:t xml:space="preserve"> Das GGD lehnt Privatpersonen ab. Hausärzte lehnen Nicht-Patienten ab. Kommerzielle Agenturen verlangen exorbitante Gebühren für eine Fernuntersuchung. Das System verlangt eine niederländische medizinische Basismessung, bietet jedoch keinen zugänglichen Weg, diese zu erhalten. </w:t>
      </w:r>
    </w:p>
    <w:p w14:paraId="49711016" w14:textId="77777777" w:rsidR="00FA4EDF" w:rsidRDefault="00FA4EDF">
      <w:pPr>
        <w:divId w:val="131217715"/>
        <w:rPr>
          <w:rFonts w:eastAsia="Times New Roman"/>
          <w:lang w:val="de-DE"/>
        </w:rPr>
      </w:pPr>
      <w:r>
        <w:rPr>
          <w:rFonts w:eastAsia="Times New Roman"/>
          <w:b/>
          <w:bCs/>
          <w:color w:val="FFFFFF"/>
          <w:sz w:val="20"/>
          <w:szCs w:val="20"/>
          <w:shd w:val="clear" w:color="auto" w:fill="1A3C6E"/>
          <w:lang w:val="de-DE"/>
        </w:rPr>
        <w:t> 30 </w:t>
      </w:r>
      <w:r>
        <w:rPr>
          <w:rFonts w:eastAsia="Times New Roman"/>
          <w:lang w:val="de-DE"/>
        </w:rPr>
        <w:t xml:space="preserve"> </w:t>
      </w:r>
      <w:r>
        <w:rPr>
          <w:rStyle w:val="actor-naam1"/>
          <w:rFonts w:eastAsia="Times New Roman"/>
          <w:lang w:val="de-DE"/>
        </w:rPr>
        <w:t>Ausführungsbehörde für Arbeitnehmerversicherungen (UWV)</w:t>
      </w:r>
      <w:r>
        <w:rPr>
          <w:rFonts w:eastAsia="Times New Roman"/>
          <w:lang w:val="de-DE"/>
        </w:rPr>
        <w:br/>
        <w:t>Unabhängige Verwaltungsbehörde, die die Arbeitnehmerversicherungen (WIA, WW, Krankengeldgesetz) verwaltet und sozialmedizinische Begutachtungen durchführt.</w:t>
      </w:r>
      <w:r>
        <w:rPr>
          <w:rFonts w:eastAsia="Times New Roman"/>
          <w:lang w:val="de-DE"/>
        </w:rPr>
        <w:br/>
      </w:r>
      <w:r>
        <w:rPr>
          <w:rStyle w:val="actor-rol1"/>
          <w:rFonts w:eastAsia="Times New Roman"/>
          <w:lang w:val="de-DE"/>
        </w:rPr>
        <w:t>Rolle in diesem Fall:</w:t>
      </w:r>
      <w:r>
        <w:rPr>
          <w:rFonts w:eastAsia="Times New Roman"/>
          <w:lang w:val="de-DE"/>
        </w:rPr>
        <w:t xml:space="preserve"> Wendet das Vester-Urteil nicht an. Verwendet einen falschen Stichtag (11. Mai statt 11. April 2025) und weigert sich, die medizinische Situation inhaltlich zu beurteilen. Stellt ein fehlerhaftes PD U1 aus, in dem 21 Jahre belgische Berufslaufbahn gestrichen werden. </w:t>
      </w:r>
    </w:p>
    <w:p w14:paraId="118309B1" w14:textId="77777777" w:rsidR="00FA4EDF" w:rsidRDefault="00FA4EDF">
      <w:pPr>
        <w:divId w:val="2062709857"/>
        <w:rPr>
          <w:rFonts w:eastAsia="Times New Roman"/>
          <w:lang w:val="de-DE"/>
        </w:rPr>
      </w:pPr>
      <w:r>
        <w:rPr>
          <w:rFonts w:eastAsia="Times New Roman"/>
          <w:b/>
          <w:bCs/>
          <w:color w:val="FFFFFF"/>
          <w:sz w:val="20"/>
          <w:szCs w:val="20"/>
          <w:shd w:val="clear" w:color="auto" w:fill="1A3C6E"/>
          <w:lang w:val="de-DE"/>
        </w:rPr>
        <w:t> 31 </w:t>
      </w:r>
      <w:r>
        <w:rPr>
          <w:rFonts w:eastAsia="Times New Roman"/>
          <w:lang w:val="de-DE"/>
        </w:rPr>
        <w:t xml:space="preserve"> </w:t>
      </w:r>
      <w:r>
        <w:rPr>
          <w:rStyle w:val="actor-naam1"/>
          <w:rFonts w:eastAsia="Times New Roman"/>
          <w:lang w:val="de-DE"/>
        </w:rPr>
        <w:t>Sozialversicherungsbank (SVB) mit Büro für belgische Angelegenheiten (BBZ)</w:t>
      </w:r>
      <w:r>
        <w:rPr>
          <w:rFonts w:eastAsia="Times New Roman"/>
          <w:lang w:val="de-DE"/>
        </w:rPr>
        <w:br/>
        <w:t>Träger der niederländischen Sozialversicherungen mit einer speziellen Beratungsstelle für Grenzgänger.</w:t>
      </w:r>
      <w:r>
        <w:rPr>
          <w:rFonts w:eastAsia="Times New Roman"/>
          <w:lang w:val="de-DE"/>
        </w:rPr>
        <w:br/>
      </w:r>
      <w:r>
        <w:rPr>
          <w:rStyle w:val="actor-rol1"/>
          <w:rFonts w:eastAsia="Times New Roman"/>
          <w:lang w:val="de-DE"/>
        </w:rPr>
        <w:t>Rolle in diesem Fall:</w:t>
      </w:r>
      <w:r>
        <w:rPr>
          <w:rFonts w:eastAsia="Times New Roman"/>
          <w:lang w:val="de-DE"/>
        </w:rPr>
        <w:t xml:space="preserve"> Gewährt dem Vater das Kindergeld, da die Mutter in Belgien arbeitet, und aktiviert damit das kindgebundene Budget. Das BBZ vermittelt zwischen LIKIV und UWV, kann jedoch nichts erzwingen. Die Vermittlungsrolle wird ohne Ergebnis beendet. </w:t>
      </w:r>
    </w:p>
    <w:p w14:paraId="6B177BC7" w14:textId="77777777" w:rsidR="00FA4EDF" w:rsidRDefault="00FA4EDF">
      <w:pPr>
        <w:divId w:val="1668051657"/>
        <w:rPr>
          <w:rFonts w:eastAsia="Times New Roman"/>
          <w:lang w:val="de-DE"/>
        </w:rPr>
      </w:pPr>
      <w:r>
        <w:rPr>
          <w:rFonts w:eastAsia="Times New Roman"/>
          <w:b/>
          <w:bCs/>
          <w:color w:val="FFFFFF"/>
          <w:sz w:val="20"/>
          <w:szCs w:val="20"/>
          <w:shd w:val="clear" w:color="auto" w:fill="1A3C6E"/>
          <w:lang w:val="de-DE"/>
        </w:rPr>
        <w:t> 32 </w:t>
      </w:r>
      <w:r>
        <w:rPr>
          <w:rFonts w:eastAsia="Times New Roman"/>
          <w:lang w:val="de-DE"/>
        </w:rPr>
        <w:t xml:space="preserve"> </w:t>
      </w:r>
      <w:r>
        <w:rPr>
          <w:rStyle w:val="actor-naam1"/>
          <w:rFonts w:eastAsia="Times New Roman"/>
          <w:lang w:val="de-DE"/>
        </w:rPr>
        <w:t>Steuerbehörde (einschließlich Dienst Toeslagen)</w:t>
      </w:r>
      <w:r>
        <w:rPr>
          <w:rFonts w:eastAsia="Times New Roman"/>
          <w:lang w:val="de-DE"/>
        </w:rPr>
        <w:br/>
        <w:t>Die niederländische Steuerbehörde für die Erhebung von Einkommensteuer und Sozialversicherungsbeiträgen sowie die Auszahlung einkommensabhängiger Zulagen.</w:t>
      </w:r>
      <w:r>
        <w:rPr>
          <w:rFonts w:eastAsia="Times New Roman"/>
          <w:lang w:val="de-DE"/>
        </w:rPr>
        <w:br/>
      </w:r>
      <w:r>
        <w:rPr>
          <w:rStyle w:val="actor-rol1"/>
          <w:rFonts w:eastAsia="Times New Roman"/>
          <w:lang w:val="de-DE"/>
        </w:rPr>
        <w:t>Rolle in diesem Dossier:</w:t>
      </w:r>
      <w:r>
        <w:rPr>
          <w:rFonts w:eastAsia="Times New Roman"/>
          <w:lang w:val="de-DE"/>
        </w:rPr>
        <w:t xml:space="preserve"> Das Online-Portal für Steuererklärungen wurde für Haushalte mit steuerpflichtigem Einkommen in den Niederlanden entwickelt. Ein Grenzgängerhaushalt mit ausländischem Einkommen weist ein Nullergebnis auf. Der Pflegezuschlag bleibt aufgrund der RIV-Sperre bei null; Mietzuschlag und ki</w:t>
      </w:r>
      <w:r>
        <w:rPr>
          <w:rFonts w:eastAsia="Times New Roman"/>
          <w:lang w:val="de-DE"/>
        </w:rPr>
        <w:t xml:space="preserve">ndgebundenes Budget werden teilweise gewährt. </w:t>
      </w:r>
    </w:p>
    <w:p w14:paraId="7EF46F22" w14:textId="77777777" w:rsidR="00FA4EDF" w:rsidRDefault="00FA4EDF">
      <w:pPr>
        <w:divId w:val="1005790042"/>
        <w:rPr>
          <w:rFonts w:eastAsia="Times New Roman"/>
          <w:lang w:val="de-DE"/>
        </w:rPr>
      </w:pPr>
      <w:r>
        <w:rPr>
          <w:rFonts w:eastAsia="Times New Roman"/>
          <w:b/>
          <w:bCs/>
          <w:color w:val="FFFFFF"/>
          <w:sz w:val="20"/>
          <w:szCs w:val="20"/>
          <w:shd w:val="clear" w:color="auto" w:fill="1A3C6E"/>
          <w:lang w:val="de-DE"/>
        </w:rPr>
        <w:t> 33 </w:t>
      </w:r>
      <w:r>
        <w:rPr>
          <w:rFonts w:eastAsia="Times New Roman"/>
          <w:lang w:val="de-DE"/>
        </w:rPr>
        <w:t xml:space="preserve"> </w:t>
      </w:r>
      <w:r>
        <w:rPr>
          <w:rStyle w:val="actor-naam1"/>
          <w:rFonts w:eastAsia="Times New Roman"/>
          <w:lang w:val="de-DE"/>
        </w:rPr>
        <w:t>ING Nederland</w:t>
      </w:r>
      <w:r>
        <w:rPr>
          <w:rFonts w:eastAsia="Times New Roman"/>
          <w:lang w:val="de-DE"/>
        </w:rPr>
        <w:br/>
        <w:t>– Hausbank für gewerbliche Kunden.</w:t>
      </w:r>
      <w:r>
        <w:rPr>
          <w:rFonts w:eastAsia="Times New Roman"/>
          <w:lang w:val="de-DE"/>
        </w:rPr>
        <w:br/>
      </w:r>
      <w:r>
        <w:rPr>
          <w:rStyle w:val="actor-rol1"/>
          <w:rFonts w:eastAsia="Times New Roman"/>
          <w:lang w:val="de-DE"/>
        </w:rPr>
        <w:t>Rolle in diesem Fall:</w:t>
      </w:r>
      <w:r>
        <w:rPr>
          <w:rFonts w:eastAsia="Times New Roman"/>
          <w:lang w:val="de-DE"/>
        </w:rPr>
        <w:t xml:space="preserve"> Bietet eine Zahlungsvereinbarung für den aufgelaufenen Überziehungskredit und die Kreditkartenschulden (insgesamt ca. 6.709 €) mit strengen bankseitigen Auflagen an. Die Bank wird de facto zum Gläubiger des versagenden Sozialstaats. </w:t>
      </w:r>
    </w:p>
    <w:p w14:paraId="025876A6" w14:textId="77777777" w:rsidR="00FA4EDF" w:rsidRDefault="00FA4EDF">
      <w:pPr>
        <w:divId w:val="1072386593"/>
        <w:rPr>
          <w:rFonts w:eastAsia="Times New Roman"/>
          <w:lang w:val="de-DE"/>
        </w:rPr>
      </w:pPr>
      <w:r>
        <w:rPr>
          <w:rFonts w:eastAsia="Times New Roman"/>
          <w:b/>
          <w:bCs/>
          <w:color w:val="FFFFFF"/>
          <w:sz w:val="20"/>
          <w:szCs w:val="20"/>
          <w:shd w:val="clear" w:color="auto" w:fill="1A3C6E"/>
          <w:lang w:val="de-DE"/>
        </w:rPr>
        <w:t> 34 </w:t>
      </w:r>
      <w:r>
        <w:rPr>
          <w:rFonts w:eastAsia="Times New Roman"/>
          <w:lang w:val="de-DE"/>
        </w:rPr>
        <w:t xml:space="preserve"> </w:t>
      </w:r>
      <w:r>
        <w:rPr>
          <w:rStyle w:val="actor-naam1"/>
          <w:rFonts w:eastAsia="Times New Roman"/>
          <w:lang w:val="de-DE"/>
        </w:rPr>
        <w:t>Vattenfall</w:t>
      </w:r>
      <w:r>
        <w:rPr>
          <w:rFonts w:eastAsia="Times New Roman"/>
          <w:lang w:val="de-DE"/>
        </w:rPr>
        <w:br/>
      </w:r>
      <w:r>
        <w:rPr>
          <w:rStyle w:val="actor-naam1"/>
          <w:rFonts w:eastAsia="Times New Roman"/>
          <w:lang w:val="de-DE"/>
        </w:rPr>
        <w:t>–</w:t>
      </w:r>
      <w:r>
        <w:rPr>
          <w:rFonts w:eastAsia="Times New Roman"/>
          <w:lang w:val="de-DE"/>
        </w:rPr>
        <w:t xml:space="preserve"> Kommerzieller Energieversorger.</w:t>
      </w:r>
      <w:r>
        <w:rPr>
          <w:rFonts w:eastAsia="Times New Roman"/>
          <w:lang w:val="de-DE"/>
        </w:rPr>
        <w:br/>
      </w:r>
      <w:r>
        <w:rPr>
          <w:rStyle w:val="actor-rol1"/>
          <w:rFonts w:eastAsia="Times New Roman"/>
          <w:lang w:val="de-DE"/>
        </w:rPr>
        <w:t>Rolle in diesem Fall:</w:t>
      </w:r>
      <w:r>
        <w:rPr>
          <w:rFonts w:eastAsia="Times New Roman"/>
          <w:lang w:val="de-DE"/>
        </w:rPr>
        <w:t xml:space="preserve"> Verlangt ein ärztliches Attest eines unabhängigen niederländischen Arztes für den Status „medizinisch schutzbedürftiger Verbraucher“. Diese Anforderung ist für einen Grenzgänger nicht umsetzbar. Nach Monaten räumt der Versorger ein, dass die Anforderung unberechtigt war, und verweist an den Netzbetreiber. </w:t>
      </w:r>
    </w:p>
    <w:p w14:paraId="16CC6532" w14:textId="77777777" w:rsidR="00FA4EDF" w:rsidRDefault="00FA4EDF">
      <w:pPr>
        <w:divId w:val="1347292739"/>
        <w:rPr>
          <w:rFonts w:eastAsia="Times New Roman"/>
          <w:lang w:val="de-DE"/>
        </w:rPr>
      </w:pPr>
      <w:r>
        <w:rPr>
          <w:rFonts w:eastAsia="Times New Roman"/>
          <w:b/>
          <w:bCs/>
          <w:color w:val="FFFFFF"/>
          <w:sz w:val="20"/>
          <w:szCs w:val="20"/>
          <w:shd w:val="clear" w:color="auto" w:fill="1A3C6E"/>
          <w:lang w:val="de-DE"/>
        </w:rPr>
        <w:t> 35 </w:t>
      </w:r>
      <w:r>
        <w:rPr>
          <w:rFonts w:eastAsia="Times New Roman"/>
          <w:lang w:val="de-DE"/>
        </w:rPr>
        <w:t xml:space="preserve"> </w:t>
      </w:r>
      <w:r>
        <w:rPr>
          <w:rStyle w:val="actor-naam1"/>
          <w:rFonts w:eastAsia="Times New Roman"/>
          <w:lang w:val="de-DE"/>
        </w:rPr>
        <w:t>Stedin</w:t>
      </w:r>
      <w:r>
        <w:rPr>
          <w:rFonts w:eastAsia="Times New Roman"/>
          <w:lang w:val="de-DE"/>
        </w:rPr>
        <w:br/>
      </w:r>
      <w:r>
        <w:rPr>
          <w:rStyle w:val="actor-naam1"/>
          <w:rFonts w:eastAsia="Times New Roman"/>
          <w:lang w:val="de-DE"/>
        </w:rPr>
        <w:t>–</w:t>
      </w:r>
      <w:r>
        <w:rPr>
          <w:rFonts w:eastAsia="Times New Roman"/>
          <w:lang w:val="de-DE"/>
        </w:rPr>
        <w:t xml:space="preserve"> Regionaler Netzbetreiber für Gas und Strom in Zeeland.</w:t>
      </w:r>
      <w:r>
        <w:rPr>
          <w:rFonts w:eastAsia="Times New Roman"/>
          <w:lang w:val="de-DE"/>
        </w:rPr>
        <w:br/>
      </w:r>
      <w:r>
        <w:rPr>
          <w:rStyle w:val="actor-rol1"/>
          <w:rFonts w:eastAsia="Times New Roman"/>
          <w:lang w:val="de-DE"/>
        </w:rPr>
        <w:t>Rolle in diesem Fall:</w:t>
      </w:r>
      <w:r>
        <w:rPr>
          <w:rFonts w:eastAsia="Times New Roman"/>
          <w:lang w:val="de-DE"/>
        </w:rPr>
        <w:t xml:space="preserve"> Verantwortlich für die physische Liefer- und Abschaltgarantie. Es findet keine automatische Datenübermittlung zwischen Vattenfall und Stedin statt: Der Patient muss die gesamte medizinische Nachweislage bei diesem neuen privaten Anbieter erneut aufbauen. </w:t>
      </w:r>
    </w:p>
    <w:p w14:paraId="3A52ED0F" w14:textId="77777777" w:rsidR="00FA4EDF" w:rsidRDefault="00FA4EDF">
      <w:pPr>
        <w:divId w:val="555511291"/>
        <w:rPr>
          <w:rFonts w:eastAsia="Times New Roman"/>
          <w:lang w:val="de-DE"/>
        </w:rPr>
      </w:pPr>
      <w:r>
        <w:rPr>
          <w:rFonts w:eastAsia="Times New Roman"/>
          <w:b/>
          <w:bCs/>
          <w:color w:val="FFFFFF"/>
          <w:sz w:val="20"/>
          <w:szCs w:val="20"/>
          <w:shd w:val="clear" w:color="auto" w:fill="1A3C6E"/>
          <w:lang w:val="de-DE"/>
        </w:rPr>
        <w:t> 36 </w:t>
      </w:r>
      <w:r>
        <w:rPr>
          <w:rFonts w:eastAsia="Times New Roman"/>
          <w:lang w:val="de-DE"/>
        </w:rPr>
        <w:t xml:space="preserve"> </w:t>
      </w:r>
      <w:r>
        <w:rPr>
          <w:rStyle w:val="actor-naam1"/>
          <w:rFonts w:eastAsia="Times New Roman"/>
          <w:lang w:val="de-DE"/>
        </w:rPr>
        <w:t>Gemeinde Hulst (einschließlich der Stiftung „Hulst voor Elkaar“)</w:t>
      </w:r>
      <w:r>
        <w:rPr>
          <w:rFonts w:eastAsia="Times New Roman"/>
          <w:lang w:val="de-DE"/>
        </w:rPr>
        <w:br/>
      </w:r>
      <w:r>
        <w:rPr>
          <w:rStyle w:val="actor-naam1"/>
          <w:rFonts w:eastAsia="Times New Roman"/>
          <w:lang w:val="de-DE"/>
        </w:rPr>
        <w:t>–</w:t>
      </w:r>
      <w:r>
        <w:rPr>
          <w:rFonts w:eastAsia="Times New Roman"/>
          <w:lang w:val="de-DE"/>
        </w:rPr>
        <w:t xml:space="preserve"> niederländische Grenzgemeinde und ihre Durchführungsorganisation für den Sozialbereich (Wmo, Jugendgesetz, Teilhabegesetz).</w:t>
      </w:r>
      <w:r>
        <w:rPr>
          <w:rFonts w:eastAsia="Times New Roman"/>
          <w:lang w:val="de-DE"/>
        </w:rPr>
        <w:br/>
      </w:r>
      <w:r>
        <w:rPr>
          <w:rStyle w:val="actor-rol1"/>
          <w:rFonts w:eastAsia="Times New Roman"/>
          <w:lang w:val="de-DE"/>
        </w:rPr>
        <w:t>Rolle in diesem Fall:</w:t>
      </w:r>
      <w:r>
        <w:rPr>
          <w:rFonts w:eastAsia="Times New Roman"/>
          <w:lang w:val="de-DE"/>
        </w:rPr>
        <w:t xml:space="preserve"> E-Mails und Auskunftsersuchen gemäß DSGVO scheitern systematisch an DNS-Fehlern. Hilfeersuchen werden nach Monaten ungelesen gelöscht. Die Gemeinde lehnt eine administrative Übernahme des europäischen Behindertenparkausweises ab und verlangt eine neue lokale Prüfung. </w:t>
      </w:r>
    </w:p>
    <w:p w14:paraId="1A5D2447" w14:textId="77777777" w:rsidR="00FA4EDF" w:rsidRDefault="00FA4EDF">
      <w:pPr>
        <w:divId w:val="1765414998"/>
        <w:rPr>
          <w:rFonts w:eastAsia="Times New Roman"/>
          <w:lang w:val="de-DE"/>
        </w:rPr>
      </w:pPr>
      <w:r>
        <w:rPr>
          <w:rFonts w:eastAsia="Times New Roman"/>
          <w:b/>
          <w:bCs/>
          <w:color w:val="FFFFFF"/>
          <w:sz w:val="20"/>
          <w:szCs w:val="20"/>
          <w:shd w:val="clear" w:color="auto" w:fill="1A3C6E"/>
          <w:lang w:val="de-DE"/>
        </w:rPr>
        <w:t> 37 </w:t>
      </w:r>
      <w:r>
        <w:rPr>
          <w:rFonts w:eastAsia="Times New Roman"/>
          <w:lang w:val="de-DE"/>
        </w:rPr>
        <w:t xml:space="preserve"> </w:t>
      </w:r>
      <w:r>
        <w:rPr>
          <w:rStyle w:val="actor-naam1"/>
          <w:rFonts w:eastAsia="Times New Roman"/>
          <w:lang w:val="de-DE"/>
        </w:rPr>
        <w:t>Reisen durch Zeeland</w:t>
      </w:r>
      <w:r>
        <w:rPr>
          <w:rFonts w:eastAsia="Times New Roman"/>
          <w:lang w:val="de-DE"/>
        </w:rPr>
        <w:br/>
      </w:r>
      <w:r>
        <w:rPr>
          <w:rStyle w:val="actor-naam1"/>
          <w:rFonts w:eastAsia="Times New Roman"/>
          <w:lang w:val="de-DE"/>
        </w:rPr>
        <w:t>–</w:t>
      </w:r>
      <w:r>
        <w:rPr>
          <w:rFonts w:eastAsia="Times New Roman"/>
          <w:lang w:val="de-DE"/>
        </w:rPr>
        <w:t xml:space="preserve"> Regionale Verkehrszentrale für Wmo-Beförderung.</w:t>
      </w:r>
      <w:r>
        <w:rPr>
          <w:rFonts w:eastAsia="Times New Roman"/>
          <w:lang w:val="de-DE"/>
        </w:rPr>
        <w:br/>
      </w:r>
      <w:r>
        <w:rPr>
          <w:rStyle w:val="actor-rol1"/>
          <w:rFonts w:eastAsia="Times New Roman"/>
          <w:lang w:val="de-DE"/>
        </w:rPr>
        <w:t>Rolle in diesem Fall:</w:t>
      </w:r>
      <w:r>
        <w:rPr>
          <w:rFonts w:eastAsia="Times New Roman"/>
          <w:lang w:val="de-DE"/>
        </w:rPr>
        <w:t xml:space="preserve"> Lehnt Fahrten zu belgischen Behörden (z. B. FOD-Untersuchung) ab, akzeptiert jedoch Fahrten zu Universitätskliniken jenseits der Grenze. Das System unterscheidet nach Zielort, nicht nach Entfernung. Die Abrechnungsfrist berücksichtigt nicht den Lohnzahlungsrhythmus von Grenzgängern. </w:t>
      </w:r>
    </w:p>
    <w:p w14:paraId="02458ABE" w14:textId="77777777" w:rsidR="00FA4EDF" w:rsidRDefault="00FA4EDF">
      <w:pPr>
        <w:pStyle w:val="Kop4"/>
        <w:divId w:val="982394320"/>
        <w:rPr>
          <w:rFonts w:eastAsia="Times New Roman"/>
          <w:lang w:val="de-DE"/>
        </w:rPr>
      </w:pPr>
      <w:r>
        <w:rPr>
          <w:rFonts w:eastAsia="Times New Roman"/>
          <w:lang w:val="de-DE"/>
        </w:rPr>
        <w:t>Aufsicht</w:t>
      </w:r>
    </w:p>
    <w:p w14:paraId="40E8516C" w14:textId="77777777" w:rsidR="00FA4EDF" w:rsidRDefault="00FA4EDF">
      <w:pPr>
        <w:divId w:val="692268582"/>
        <w:rPr>
          <w:rFonts w:eastAsia="Times New Roman"/>
          <w:lang w:val="de-DE"/>
        </w:rPr>
      </w:pPr>
      <w:r>
        <w:rPr>
          <w:rFonts w:eastAsia="Times New Roman"/>
          <w:b/>
          <w:bCs/>
          <w:color w:val="FFFFFF"/>
          <w:sz w:val="20"/>
          <w:szCs w:val="20"/>
          <w:shd w:val="clear" w:color="auto" w:fill="1A3C6E"/>
          <w:lang w:val="de-DE"/>
        </w:rPr>
        <w:t> 38 </w:t>
      </w:r>
      <w:r>
        <w:rPr>
          <w:rFonts w:eastAsia="Times New Roman"/>
          <w:lang w:val="de-DE"/>
        </w:rPr>
        <w:t xml:space="preserve"> </w:t>
      </w:r>
      <w:r>
        <w:rPr>
          <w:rStyle w:val="actor-naam1"/>
          <w:rFonts w:eastAsia="Times New Roman"/>
          <w:lang w:val="de-DE"/>
        </w:rPr>
        <w:t>Der Nationale Ombudsmann (NL)</w:t>
      </w:r>
      <w:r>
        <w:rPr>
          <w:rFonts w:eastAsia="Times New Roman"/>
          <w:lang w:val="de-DE"/>
        </w:rPr>
        <w:br/>
      </w:r>
      <w:r>
        <w:rPr>
          <w:rStyle w:val="actor-naam1"/>
          <w:rFonts w:eastAsia="Times New Roman"/>
          <w:lang w:val="de-DE"/>
        </w:rPr>
        <w:t>–</w:t>
      </w:r>
      <w:r>
        <w:rPr>
          <w:rFonts w:eastAsia="Times New Roman"/>
          <w:lang w:val="de-DE"/>
        </w:rPr>
        <w:t xml:space="preserve"> ein unabhängiges hohes Staatsgremium, das das Handeln niederländischer Behörden überprüft.</w:t>
      </w:r>
      <w:r>
        <w:rPr>
          <w:rFonts w:eastAsia="Times New Roman"/>
          <w:lang w:val="de-DE"/>
        </w:rPr>
        <w:br/>
      </w:r>
      <w:r>
        <w:rPr>
          <w:rStyle w:val="actor-rol1"/>
          <w:rFonts w:eastAsia="Times New Roman"/>
          <w:lang w:val="de-DE"/>
        </w:rPr>
        <w:t>Rolle in diesem Fall:</w:t>
      </w:r>
      <w:r>
        <w:rPr>
          <w:rFonts w:eastAsia="Times New Roman"/>
          <w:lang w:val="de-DE"/>
        </w:rPr>
        <w:t xml:space="preserve"> </w:t>
      </w:r>
      <w:r>
        <w:rPr>
          <w:rFonts w:eastAsia="Times New Roman"/>
          <w:lang w:val="de-DE"/>
        </w:rPr>
        <w:t xml:space="preserve">Er nimmt die Beschwerde entgegen, weist auf Kapazitätsprobleme hin und lehnt eine aktive Intervention ab, solange Widerspruchs- oder Berufungsverfahren laufen. Schließt den Fall endgültig ab und registriert ihn als passives Signal. </w:t>
      </w:r>
    </w:p>
    <w:p w14:paraId="2B887122" w14:textId="77777777" w:rsidR="00FA4EDF" w:rsidRDefault="00FA4EDF">
      <w:pPr>
        <w:divId w:val="1905409536"/>
        <w:rPr>
          <w:rFonts w:eastAsia="Times New Roman"/>
          <w:lang w:val="de-DE"/>
        </w:rPr>
      </w:pPr>
      <w:r>
        <w:rPr>
          <w:rFonts w:eastAsia="Times New Roman"/>
          <w:b/>
          <w:bCs/>
          <w:color w:val="FFFFFF"/>
          <w:sz w:val="20"/>
          <w:szCs w:val="20"/>
          <w:shd w:val="clear" w:color="auto" w:fill="1A3C6E"/>
          <w:lang w:val="de-DE"/>
        </w:rPr>
        <w:t> 39 </w:t>
      </w:r>
      <w:r>
        <w:rPr>
          <w:rFonts w:eastAsia="Times New Roman"/>
          <w:lang w:val="de-DE"/>
        </w:rPr>
        <w:t xml:space="preserve"> </w:t>
      </w:r>
      <w:r>
        <w:rPr>
          <w:rStyle w:val="actor-naam1"/>
          <w:rFonts w:eastAsia="Times New Roman"/>
          <w:lang w:val="de-DE"/>
        </w:rPr>
        <w:t>Zorginstituut Nederland (ZIN) – Aufsicht</w:t>
      </w:r>
      <w:r>
        <w:rPr>
          <w:rFonts w:eastAsia="Times New Roman"/>
          <w:lang w:val="de-DE"/>
        </w:rPr>
        <w:br/>
      </w:r>
      <w:r>
        <w:rPr>
          <w:rStyle w:val="actor-naam1"/>
          <w:rFonts w:eastAsia="Times New Roman"/>
          <w:lang w:val="de-DE"/>
        </w:rPr>
        <w:t>:</w:t>
      </w:r>
      <w:r>
        <w:rPr>
          <w:rFonts w:eastAsia="Times New Roman"/>
          <w:lang w:val="de-DE"/>
        </w:rPr>
        <w:t xml:space="preserve"> Übt die systemische Aufsicht über die ordnungsgemäße Umsetzung des Krankenversicherungsgesetzes aus.</w:t>
      </w:r>
      <w:r>
        <w:rPr>
          <w:rFonts w:eastAsia="Times New Roman"/>
          <w:lang w:val="de-DE"/>
        </w:rPr>
        <w:br/>
      </w:r>
      <w:r>
        <w:rPr>
          <w:rStyle w:val="actor-rol1"/>
          <w:rFonts w:eastAsia="Times New Roman"/>
          <w:lang w:val="de-DE"/>
        </w:rPr>
        <w:t>Rolle in dieser Angelegenheit:</w:t>
      </w:r>
      <w:r>
        <w:rPr>
          <w:rFonts w:eastAsia="Times New Roman"/>
          <w:lang w:val="de-DE"/>
        </w:rPr>
        <w:t xml:space="preserve"> Die für die Verwaltung des RIV-Registers zuständige Stelle erklärt, keinen Einblick in einzelne personenbezogene Daten zu haben, und weigert sich, das Register zu überprüfen. Das Dreieck aus CZ, CAK und ZIN bleibt geschlossen. </w:t>
      </w:r>
    </w:p>
    <w:p w14:paraId="2C68E81D" w14:textId="77777777" w:rsidR="00FA4EDF" w:rsidRDefault="00FA4EDF">
      <w:pPr>
        <w:pStyle w:val="Kop4"/>
        <w:divId w:val="982394320"/>
        <w:rPr>
          <w:rFonts w:eastAsia="Times New Roman"/>
          <w:lang w:val="de-DE"/>
        </w:rPr>
      </w:pPr>
      <w:r>
        <w:rPr>
          <w:rFonts w:eastAsia="Times New Roman"/>
          <w:lang w:val="de-DE"/>
        </w:rPr>
        <w:t>Politik</w:t>
      </w:r>
    </w:p>
    <w:p w14:paraId="4F9D744E" w14:textId="77777777" w:rsidR="00FA4EDF" w:rsidRDefault="00FA4EDF">
      <w:pPr>
        <w:divId w:val="642396335"/>
        <w:rPr>
          <w:rFonts w:eastAsia="Times New Roman"/>
          <w:lang w:val="de-DE"/>
        </w:rPr>
      </w:pPr>
      <w:r>
        <w:rPr>
          <w:rFonts w:eastAsia="Times New Roman"/>
          <w:b/>
          <w:bCs/>
          <w:color w:val="FFFFFF"/>
          <w:sz w:val="20"/>
          <w:szCs w:val="20"/>
          <w:shd w:val="clear" w:color="auto" w:fill="1A3C6E"/>
          <w:lang w:val="de-DE"/>
        </w:rPr>
        <w:t> 40 </w:t>
      </w:r>
      <w:r>
        <w:rPr>
          <w:rFonts w:eastAsia="Times New Roman"/>
          <w:lang w:val="de-DE"/>
        </w:rPr>
        <w:t xml:space="preserve"> </w:t>
      </w:r>
      <w:r>
        <w:rPr>
          <w:rStyle w:val="actor-naam1"/>
          <w:rFonts w:eastAsia="Times New Roman"/>
          <w:lang w:val="de-DE"/>
        </w:rPr>
        <w:t>Zweite Kammer – Ständiger Ausschuss für Soziales, Arbeit und Wohlfahrt (SZW</w:t>
      </w:r>
      <w:r>
        <w:rPr>
          <w:rFonts w:eastAsia="Times New Roman"/>
          <w:lang w:val="de-DE"/>
        </w:rPr>
        <w:br/>
      </w:r>
      <w:r>
        <w:rPr>
          <w:rStyle w:val="actor-naam1"/>
          <w:rFonts w:eastAsia="Times New Roman"/>
          <w:lang w:val="de-DE"/>
        </w:rPr>
        <w:t>)</w:t>
      </w:r>
      <w:r>
        <w:rPr>
          <w:rFonts w:eastAsia="Times New Roman"/>
          <w:lang w:val="de-DE"/>
        </w:rPr>
        <w:t xml:space="preserve"> Der parlamentarische Ausschuss, der die niederländische Sozialversicherung überwacht.</w:t>
      </w:r>
      <w:r>
        <w:rPr>
          <w:rFonts w:eastAsia="Times New Roman"/>
          <w:lang w:val="de-DE"/>
        </w:rPr>
        <w:br/>
      </w:r>
      <w:r>
        <w:rPr>
          <w:rStyle w:val="actor-rol1"/>
          <w:rFonts w:eastAsia="Times New Roman"/>
          <w:lang w:val="de-DE"/>
        </w:rPr>
        <w:t>Rolle in dieser Angelegenheit:</w:t>
      </w:r>
      <w:r>
        <w:rPr>
          <w:rFonts w:eastAsia="Times New Roman"/>
          <w:lang w:val="de-DE"/>
        </w:rPr>
        <w:t xml:space="preserve"> Nimmt den Brandbrief offiziell zur Kenntnis und legt die Angelegenheit zur Aussprache im Ausschuss zurück. Schließt eine individuelle Behandlung ausdrücklich aus. </w:t>
      </w:r>
    </w:p>
    <w:p w14:paraId="6683B105" w14:textId="77777777" w:rsidR="00FA4EDF" w:rsidRDefault="00FA4EDF">
      <w:pPr>
        <w:divId w:val="1061099401"/>
        <w:rPr>
          <w:rFonts w:eastAsia="Times New Roman"/>
          <w:lang w:val="de-DE"/>
        </w:rPr>
      </w:pPr>
      <w:r>
        <w:rPr>
          <w:rFonts w:eastAsia="Times New Roman"/>
          <w:b/>
          <w:bCs/>
          <w:color w:val="FFFFFF"/>
          <w:sz w:val="20"/>
          <w:szCs w:val="20"/>
          <w:shd w:val="clear" w:color="auto" w:fill="1A3C6E"/>
          <w:lang w:val="de-DE"/>
        </w:rPr>
        <w:t> 41 </w:t>
      </w:r>
      <w:r>
        <w:rPr>
          <w:rFonts w:eastAsia="Times New Roman"/>
          <w:lang w:val="de-DE"/>
        </w:rPr>
        <w:t xml:space="preserve"> </w:t>
      </w:r>
      <w:r>
        <w:rPr>
          <w:rStyle w:val="actor-naam1"/>
          <w:rFonts w:eastAsia="Times New Roman"/>
          <w:lang w:val="de-DE"/>
        </w:rPr>
        <w:t>niederländische politische Parteien</w:t>
      </w:r>
      <w:r>
        <w:rPr>
          <w:rFonts w:eastAsia="Times New Roman"/>
          <w:lang w:val="de-DE"/>
        </w:rPr>
        <w:br/>
        <w:t>Die im niederländischen Parlament vertretenen Parteien.</w:t>
      </w:r>
      <w:r>
        <w:rPr>
          <w:rFonts w:eastAsia="Times New Roman"/>
          <w:lang w:val="de-DE"/>
        </w:rPr>
        <w:br/>
      </w:r>
      <w:r>
        <w:rPr>
          <w:rStyle w:val="actor-rol1"/>
          <w:rFonts w:eastAsia="Times New Roman"/>
          <w:lang w:val="de-DE"/>
        </w:rPr>
        <w:t>Rolle in dieser Angelegenheit:</w:t>
      </w:r>
      <w:r>
        <w:rPr>
          <w:rFonts w:eastAsia="Times New Roman"/>
          <w:lang w:val="de-DE"/>
        </w:rPr>
        <w:t xml:space="preserve"> Die Regierungsparteien verweisen an den Nationalen Ombudsmann. Die Oppositionsparteien leiten die Angelegenheit an ihre politischen Referenten weiter. Keine der Parteien greift auf ein parlamentarisches Instrument zurück. </w:t>
      </w:r>
    </w:p>
    <w:p w14:paraId="652B011A" w14:textId="77777777" w:rsidR="00FA4EDF" w:rsidRDefault="00FA4EDF">
      <w:pPr>
        <w:pStyle w:val="Kop4"/>
        <w:divId w:val="982394320"/>
        <w:rPr>
          <w:rFonts w:eastAsia="Times New Roman"/>
          <w:lang w:val="de-DE"/>
        </w:rPr>
      </w:pPr>
      <w:r>
        <w:rPr>
          <w:rFonts w:eastAsia="Times New Roman"/>
          <w:lang w:val="de-DE"/>
        </w:rPr>
        <w:t>Symbolik</w:t>
      </w:r>
    </w:p>
    <w:p w14:paraId="3DD63F0D" w14:textId="77777777" w:rsidR="00FA4EDF" w:rsidRDefault="00FA4EDF">
      <w:pPr>
        <w:divId w:val="1616594473"/>
        <w:rPr>
          <w:rFonts w:eastAsia="Times New Roman"/>
          <w:lang w:val="de-DE"/>
        </w:rPr>
      </w:pPr>
      <w:r>
        <w:rPr>
          <w:rFonts w:eastAsia="Times New Roman"/>
          <w:b/>
          <w:bCs/>
          <w:color w:val="FFFFFF"/>
          <w:sz w:val="20"/>
          <w:szCs w:val="20"/>
          <w:shd w:val="clear" w:color="auto" w:fill="1A3C6E"/>
          <w:lang w:val="de-DE"/>
        </w:rPr>
        <w:t> 42 </w:t>
      </w:r>
      <w:r>
        <w:rPr>
          <w:rFonts w:eastAsia="Times New Roman"/>
          <w:lang w:val="de-DE"/>
        </w:rPr>
        <w:t xml:space="preserve"> </w:t>
      </w:r>
      <w:r>
        <w:rPr>
          <w:rStyle w:val="actor-naam1"/>
          <w:rFonts w:eastAsia="Times New Roman"/>
          <w:lang w:val="de-DE"/>
        </w:rPr>
        <w:t>Königshaus</w:t>
      </w:r>
      <w:r>
        <w:rPr>
          <w:rFonts w:eastAsia="Times New Roman"/>
          <w:lang w:val="de-DE"/>
        </w:rPr>
        <w:br/>
        <w:t>Das verfassungsmäßige Amt des niederländischen Staatsoberhauptes.</w:t>
      </w:r>
      <w:r>
        <w:rPr>
          <w:rFonts w:eastAsia="Times New Roman"/>
          <w:lang w:val="de-DE"/>
        </w:rPr>
        <w:br/>
      </w:r>
      <w:r>
        <w:rPr>
          <w:rStyle w:val="actor-rol1"/>
          <w:rFonts w:eastAsia="Times New Roman"/>
          <w:lang w:val="de-DE"/>
        </w:rPr>
        <w:t>Rolle in dieser Angelegenheit:</w:t>
      </w:r>
      <w:r>
        <w:rPr>
          <w:rFonts w:eastAsia="Times New Roman"/>
          <w:lang w:val="de-DE"/>
        </w:rPr>
        <w:t xml:space="preserve"> Die Regierung bestätigt, dass ein Eingreifen nicht möglich ist, und bietet an, die Petition an den zuständigen Minister weiterzuleiten. Die nationale Eskalationsleiter wurde ausgeschöpft, ohne dass eine inhaltliche Lösung gefunden wurde. </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CE99475" w14:textId="77777777">
        <w:trPr>
          <w:divId w:val="982394320"/>
        </w:trPr>
        <w:tc>
          <w:tcPr>
            <w:tcW w:w="0" w:type="auto"/>
            <w:tcBorders>
              <w:top w:val="single" w:sz="6" w:space="0" w:color="D5D0C5"/>
              <w:left w:val="single" w:sz="36" w:space="0" w:color="0D7377"/>
              <w:bottom w:val="single" w:sz="6" w:space="0" w:color="D5D0C5"/>
              <w:right w:val="single" w:sz="6" w:space="0" w:color="D5D0C5"/>
            </w:tcBorders>
            <w:shd w:val="clear" w:color="auto" w:fill="EAF4F4"/>
            <w:tcMar>
              <w:top w:w="160" w:type="dxa"/>
              <w:left w:w="240" w:type="dxa"/>
              <w:bottom w:w="160" w:type="dxa"/>
              <w:right w:w="240" w:type="dxa"/>
            </w:tcMar>
            <w:hideMark/>
          </w:tcPr>
          <w:p w14:paraId="5F3DB22F" w14:textId="77777777" w:rsidR="00FA4EDF" w:rsidRDefault="00FA4EDF">
            <w:pPr>
              <w:spacing w:before="240" w:after="240"/>
              <w:rPr>
                <w:rFonts w:eastAsia="Times New Roman"/>
                <w:sz w:val="21"/>
                <w:szCs w:val="21"/>
              </w:rPr>
            </w:pPr>
            <w:r>
              <w:rPr>
                <w:rStyle w:val="Zwaar"/>
                <w:rFonts w:eastAsia="Times New Roman"/>
                <w:sz w:val="21"/>
                <w:szCs w:val="21"/>
              </w:rPr>
              <w:t>EU-Außenhülle</w:t>
            </w:r>
          </w:p>
        </w:tc>
      </w:tr>
    </w:tbl>
    <w:p w14:paraId="07F12F1D" w14:textId="77777777" w:rsidR="00FA4EDF" w:rsidRDefault="00FA4EDF">
      <w:pPr>
        <w:pStyle w:val="Kop4"/>
        <w:divId w:val="982394320"/>
        <w:rPr>
          <w:rFonts w:eastAsia="Times New Roman"/>
          <w:lang w:val="de-DE"/>
        </w:rPr>
      </w:pPr>
      <w:r>
        <w:rPr>
          <w:rFonts w:eastAsia="Times New Roman"/>
          <w:lang w:val="de-DE"/>
        </w:rPr>
        <w:t>Einstellungen</w:t>
      </w:r>
    </w:p>
    <w:p w14:paraId="4AA92082" w14:textId="77777777" w:rsidR="00FA4EDF" w:rsidRDefault="00FA4EDF">
      <w:pPr>
        <w:divId w:val="480000956"/>
        <w:rPr>
          <w:rFonts w:eastAsia="Times New Roman"/>
          <w:lang w:val="de-DE"/>
        </w:rPr>
      </w:pPr>
      <w:r>
        <w:rPr>
          <w:rFonts w:eastAsia="Times New Roman"/>
          <w:b/>
          <w:bCs/>
          <w:color w:val="FFFFFF"/>
          <w:sz w:val="20"/>
          <w:szCs w:val="20"/>
          <w:shd w:val="clear" w:color="auto" w:fill="0D7377"/>
          <w:lang w:val="de-DE"/>
        </w:rPr>
        <w:t> 43 </w:t>
      </w:r>
      <w:r>
        <w:rPr>
          <w:rFonts w:eastAsia="Times New Roman"/>
          <w:lang w:val="de-DE"/>
        </w:rPr>
        <w:t xml:space="preserve"> </w:t>
      </w:r>
      <w:r>
        <w:rPr>
          <w:rStyle w:val="actor-naam1"/>
          <w:rFonts w:eastAsia="Times New Roman"/>
          <w:lang w:val="de-DE"/>
        </w:rPr>
        <w:t>Europäische Kommission – GD EMPL</w:t>
      </w:r>
      <w:r>
        <w:rPr>
          <w:rFonts w:eastAsia="Times New Roman"/>
          <w:lang w:val="de-DE"/>
        </w:rPr>
        <w:br/>
        <w:t>Das Exekutivorgan der EU, das die Anwendung des Unionsrechts überwacht.</w:t>
      </w:r>
      <w:r>
        <w:rPr>
          <w:rFonts w:eastAsia="Times New Roman"/>
          <w:lang w:val="de-DE"/>
        </w:rPr>
        <w:br/>
      </w:r>
      <w:r>
        <w:rPr>
          <w:rStyle w:val="actor-rol1"/>
          <w:rFonts w:eastAsia="Times New Roman"/>
          <w:lang w:val="de-DE"/>
        </w:rPr>
        <w:t>Rolle in dieser Angelegenheit:</w:t>
      </w:r>
      <w:r>
        <w:rPr>
          <w:rFonts w:eastAsia="Times New Roman"/>
          <w:lang w:val="de-DE"/>
        </w:rPr>
        <w:t xml:space="preserve"> Nimmt die Beschwerde entgegen, fasst mehrere Beschwerden zusammen, verfügt jedoch in Einzelfällen über keine Durchsetzungsbefugnisse. Kann lediglich ein Vertragsverletzungsverfahren einleiten – ein Prozess, der sich über Jahre hinziehen kann. </w:t>
      </w:r>
    </w:p>
    <w:p w14:paraId="5551052D" w14:textId="77777777" w:rsidR="00FA4EDF" w:rsidRDefault="00FA4EDF">
      <w:pPr>
        <w:divId w:val="1191912088"/>
        <w:rPr>
          <w:rFonts w:eastAsia="Times New Roman"/>
          <w:lang w:val="de-DE"/>
        </w:rPr>
      </w:pPr>
      <w:r>
        <w:rPr>
          <w:rFonts w:eastAsia="Times New Roman"/>
          <w:b/>
          <w:bCs/>
          <w:color w:val="FFFFFF"/>
          <w:sz w:val="20"/>
          <w:szCs w:val="20"/>
          <w:shd w:val="clear" w:color="auto" w:fill="0D7377"/>
          <w:lang w:val="de-DE"/>
        </w:rPr>
        <w:t> 44 </w:t>
      </w:r>
      <w:r>
        <w:rPr>
          <w:rFonts w:eastAsia="Times New Roman"/>
          <w:lang w:val="de-DE"/>
        </w:rPr>
        <w:t xml:space="preserve"> </w:t>
      </w:r>
      <w:r>
        <w:rPr>
          <w:rStyle w:val="actor-naam1"/>
          <w:rFonts w:eastAsia="Times New Roman"/>
          <w:lang w:val="de-DE"/>
        </w:rPr>
        <w:t>Europäisches Parlament – Petitionsausschuss (PETI)</w:t>
      </w:r>
      <w:r>
        <w:rPr>
          <w:rFonts w:eastAsia="Times New Roman"/>
          <w:lang w:val="de-DE"/>
        </w:rPr>
        <w:br/>
        <w:t>Der Ausschuss, der Petitionen von EU-Bürgern bearbeitet.</w:t>
      </w:r>
      <w:r>
        <w:rPr>
          <w:rFonts w:eastAsia="Times New Roman"/>
          <w:lang w:val="de-DE"/>
        </w:rPr>
        <w:br/>
      </w:r>
      <w:r>
        <w:rPr>
          <w:rStyle w:val="actor-rol1"/>
          <w:rFonts w:eastAsia="Times New Roman"/>
          <w:lang w:val="de-DE"/>
        </w:rPr>
        <w:t>Rolle in dieser Angelegenheit:</w:t>
      </w:r>
      <w:r>
        <w:rPr>
          <w:rFonts w:eastAsia="Times New Roman"/>
          <w:lang w:val="de-DE"/>
        </w:rPr>
        <w:t xml:space="preserve"> </w:t>
      </w:r>
      <w:r>
        <w:rPr>
          <w:rFonts w:eastAsia="Times New Roman"/>
          <w:lang w:val="de-DE"/>
        </w:rPr>
        <w:t xml:space="preserve">Erklärt eine Petition für zulässig, veröffentlicht eine Zusammenfassung und öffnet die Petition für Mitunterzeichner. Kann jedoch keine nationalen Durchführungsbeschlüsse rückgängig machen. </w:t>
      </w:r>
    </w:p>
    <w:p w14:paraId="2040630B" w14:textId="77777777" w:rsidR="00FA4EDF" w:rsidRDefault="00FA4EDF">
      <w:pPr>
        <w:divId w:val="573205046"/>
        <w:rPr>
          <w:rFonts w:eastAsia="Times New Roman"/>
          <w:lang w:val="de-DE"/>
        </w:rPr>
      </w:pPr>
      <w:r>
        <w:rPr>
          <w:rFonts w:eastAsia="Times New Roman"/>
          <w:b/>
          <w:bCs/>
          <w:color w:val="FFFFFF"/>
          <w:sz w:val="20"/>
          <w:szCs w:val="20"/>
          <w:shd w:val="clear" w:color="auto" w:fill="0D7377"/>
          <w:lang w:val="de-DE"/>
        </w:rPr>
        <w:t> 45 </w:t>
      </w:r>
      <w:r>
        <w:rPr>
          <w:rFonts w:eastAsia="Times New Roman"/>
          <w:lang w:val="de-DE"/>
        </w:rPr>
        <w:t xml:space="preserve"> </w:t>
      </w:r>
      <w:r>
        <w:rPr>
          <w:rStyle w:val="actor-naam1"/>
          <w:rFonts w:eastAsia="Times New Roman"/>
          <w:lang w:val="de-DE"/>
        </w:rPr>
        <w:t>Europäischer Bürgerbeauftragter</w:t>
      </w:r>
      <w:r>
        <w:rPr>
          <w:rFonts w:eastAsia="Times New Roman"/>
          <w:lang w:val="de-DE"/>
        </w:rPr>
        <w:br/>
      </w:r>
      <w:r>
        <w:rPr>
          <w:rStyle w:val="actor-naam1"/>
          <w:rFonts w:eastAsia="Times New Roman"/>
          <w:lang w:val="de-DE"/>
        </w:rPr>
        <w:t>–</w:t>
      </w:r>
      <w:r>
        <w:rPr>
          <w:rFonts w:eastAsia="Times New Roman"/>
          <w:lang w:val="de-DE"/>
        </w:rPr>
        <w:t xml:space="preserve"> Unabhängige Beschwerdestelle für EU-Institutionen.</w:t>
      </w:r>
      <w:r>
        <w:rPr>
          <w:rFonts w:eastAsia="Times New Roman"/>
          <w:lang w:val="de-DE"/>
        </w:rPr>
        <w:br/>
      </w:r>
      <w:r>
        <w:rPr>
          <w:rStyle w:val="actor-rol1"/>
          <w:rFonts w:eastAsia="Times New Roman"/>
          <w:lang w:val="de-DE"/>
        </w:rPr>
        <w:t>Rolle in diesem Fall:</w:t>
      </w:r>
      <w:r>
        <w:rPr>
          <w:rFonts w:eastAsia="Times New Roman"/>
          <w:lang w:val="de-DE"/>
        </w:rPr>
        <w:t xml:space="preserve"> Erklärt eine Beschwerde über SOLVIT für unzulässig: SOLVIT ist eine nationale Stelle, keine EU-Institution. Das Versagen von SOLVIT fällt in ein rechtliches Vakuum. </w:t>
      </w:r>
    </w:p>
    <w:p w14:paraId="612472B6" w14:textId="77777777" w:rsidR="00FA4EDF" w:rsidRDefault="00FA4EDF">
      <w:pPr>
        <w:divId w:val="838152598"/>
        <w:rPr>
          <w:rFonts w:eastAsia="Times New Roman"/>
          <w:lang w:val="de-DE"/>
        </w:rPr>
      </w:pPr>
      <w:r>
        <w:rPr>
          <w:rFonts w:eastAsia="Times New Roman"/>
          <w:b/>
          <w:bCs/>
          <w:color w:val="FFFFFF"/>
          <w:sz w:val="20"/>
          <w:szCs w:val="20"/>
          <w:shd w:val="clear" w:color="auto" w:fill="0D7377"/>
          <w:lang w:val="de-DE"/>
        </w:rPr>
        <w:t> 46 </w:t>
      </w:r>
      <w:r>
        <w:rPr>
          <w:rFonts w:eastAsia="Times New Roman"/>
          <w:lang w:val="de-DE"/>
        </w:rPr>
        <w:t xml:space="preserve"> </w:t>
      </w:r>
      <w:r>
        <w:rPr>
          <w:rStyle w:val="actor-naam1"/>
          <w:rFonts w:eastAsia="Times New Roman"/>
          <w:lang w:val="de-DE"/>
        </w:rPr>
        <w:t>Europäischer Rat (EUCO)</w:t>
      </w:r>
      <w:r>
        <w:rPr>
          <w:rFonts w:eastAsia="Times New Roman"/>
          <w:lang w:val="de-DE"/>
        </w:rPr>
        <w:br/>
        <w:t>Das höchste politische Gremium der EU, bestehend aus den Staats- und Regierungschefs.</w:t>
      </w:r>
      <w:r>
        <w:rPr>
          <w:rFonts w:eastAsia="Times New Roman"/>
          <w:lang w:val="de-DE"/>
        </w:rPr>
        <w:br/>
      </w:r>
      <w:r>
        <w:rPr>
          <w:rStyle w:val="actor-rol1"/>
          <w:rFonts w:eastAsia="Times New Roman"/>
          <w:lang w:val="de-DE"/>
        </w:rPr>
        <w:t>Rolle in dieser Angelegenheit:</w:t>
      </w:r>
      <w:r>
        <w:rPr>
          <w:rFonts w:eastAsia="Times New Roman"/>
          <w:lang w:val="de-DE"/>
        </w:rPr>
        <w:t xml:space="preserve"> Legt den langfristigen strategischen Kurs fest, verfügt jedoch über keinen Kontaktmechanismus für einzelne Bürger. Ist zu weit von der praktischen Umsetzung entfernt, um eine Rolle zu spielen. </w:t>
      </w:r>
    </w:p>
    <w:p w14:paraId="4E51A887" w14:textId="77777777" w:rsidR="00FA4EDF" w:rsidRDefault="00FA4EDF">
      <w:pPr>
        <w:divId w:val="1489054844"/>
        <w:rPr>
          <w:rFonts w:eastAsia="Times New Roman"/>
          <w:lang w:val="de-DE"/>
        </w:rPr>
      </w:pPr>
      <w:r>
        <w:rPr>
          <w:rFonts w:eastAsia="Times New Roman"/>
          <w:b/>
          <w:bCs/>
          <w:color w:val="FFFFFF"/>
          <w:sz w:val="20"/>
          <w:szCs w:val="20"/>
          <w:shd w:val="clear" w:color="auto" w:fill="0D7377"/>
          <w:lang w:val="de-DE"/>
        </w:rPr>
        <w:t> 47 </w:t>
      </w:r>
      <w:r>
        <w:rPr>
          <w:rFonts w:eastAsia="Times New Roman"/>
          <w:lang w:val="de-DE"/>
        </w:rPr>
        <w:t xml:space="preserve"> </w:t>
      </w:r>
      <w:r>
        <w:rPr>
          <w:rStyle w:val="actor-naam1"/>
          <w:rFonts w:eastAsia="Times New Roman"/>
          <w:lang w:val="de-DE"/>
        </w:rPr>
        <w:t>Europäischer Gerichtshof für Menschenrechte (EGMR)</w:t>
      </w:r>
      <w:r>
        <w:rPr>
          <w:rFonts w:eastAsia="Times New Roman"/>
          <w:lang w:val="de-DE"/>
        </w:rPr>
        <w:br/>
      </w:r>
      <w:r>
        <w:rPr>
          <w:rStyle w:val="actor-naam1"/>
          <w:rFonts w:eastAsia="Times New Roman"/>
          <w:lang w:val="de-DE"/>
        </w:rPr>
        <w:t>–</w:t>
      </w:r>
      <w:r>
        <w:rPr>
          <w:rFonts w:eastAsia="Times New Roman"/>
          <w:lang w:val="de-DE"/>
        </w:rPr>
        <w:t xml:space="preserve"> Internationaler Gerichtshof des Europarats.</w:t>
      </w:r>
      <w:r>
        <w:rPr>
          <w:rFonts w:eastAsia="Times New Roman"/>
          <w:lang w:val="de-DE"/>
        </w:rPr>
        <w:br/>
      </w:r>
      <w:r>
        <w:rPr>
          <w:rStyle w:val="actor-rol1"/>
          <w:rFonts w:eastAsia="Times New Roman"/>
          <w:lang w:val="de-DE"/>
        </w:rPr>
        <w:t>Rolle in diesem Fall:</w:t>
      </w:r>
      <w:r>
        <w:rPr>
          <w:rFonts w:eastAsia="Times New Roman"/>
          <w:lang w:val="de-DE"/>
        </w:rPr>
        <w:t xml:space="preserve"> Erklärt die Beschwerde für unzulässig, da die innerstaatlichen Rechtsmittel nicht vollständig ausgeschöpft wurden. Reduziert das grenzüberschreitende Problem auf einen Rechtsstreit ausschließlich gegen den belgischen Staat. </w:t>
      </w:r>
    </w:p>
    <w:p w14:paraId="2DBB18EA" w14:textId="77777777" w:rsidR="00FA4EDF" w:rsidRDefault="00FA4EDF">
      <w:pPr>
        <w:divId w:val="606697789"/>
        <w:rPr>
          <w:rFonts w:eastAsia="Times New Roman"/>
          <w:lang w:val="de-DE"/>
        </w:rPr>
      </w:pPr>
      <w:r>
        <w:rPr>
          <w:rFonts w:eastAsia="Times New Roman"/>
          <w:b/>
          <w:bCs/>
          <w:color w:val="FFFFFF"/>
          <w:sz w:val="20"/>
          <w:szCs w:val="20"/>
          <w:shd w:val="clear" w:color="auto" w:fill="0D7377"/>
          <w:lang w:val="de-DE"/>
        </w:rPr>
        <w:t> 48 </w:t>
      </w:r>
      <w:r>
        <w:rPr>
          <w:rFonts w:eastAsia="Times New Roman"/>
          <w:lang w:val="de-DE"/>
        </w:rPr>
        <w:t xml:space="preserve"> </w:t>
      </w:r>
      <w:r>
        <w:rPr>
          <w:rStyle w:val="actor-naam1"/>
          <w:rFonts w:eastAsia="Times New Roman"/>
          <w:lang w:val="de-DE"/>
        </w:rPr>
        <w:t>Europäische Arbeitsbehörde (ELA)</w:t>
      </w:r>
      <w:r>
        <w:rPr>
          <w:rFonts w:eastAsia="Times New Roman"/>
          <w:lang w:val="de-DE"/>
        </w:rPr>
        <w:br/>
      </w:r>
      <w:r>
        <w:rPr>
          <w:rStyle w:val="actor-naam1"/>
          <w:rFonts w:eastAsia="Times New Roman"/>
          <w:lang w:val="de-DE"/>
        </w:rPr>
        <w:t>–</w:t>
      </w:r>
      <w:r>
        <w:rPr>
          <w:rFonts w:eastAsia="Times New Roman"/>
          <w:lang w:val="de-DE"/>
        </w:rPr>
        <w:t xml:space="preserve"> </w:t>
      </w:r>
      <w:r>
        <w:rPr>
          <w:rFonts w:eastAsia="Times New Roman"/>
          <w:lang w:val="de-DE"/>
        </w:rPr>
        <w:t>Spezialisierte EU-Agentur für faire Arbeitsmobilität und die Koordinierung der sozialen Sicherheit.</w:t>
      </w:r>
      <w:r>
        <w:rPr>
          <w:rFonts w:eastAsia="Times New Roman"/>
          <w:lang w:val="de-DE"/>
        </w:rPr>
        <w:br/>
      </w:r>
      <w:r>
        <w:rPr>
          <w:rStyle w:val="actor-rol1"/>
          <w:rFonts w:eastAsia="Times New Roman"/>
          <w:lang w:val="de-DE"/>
        </w:rPr>
        <w:t>Rolle in dieser Angelegenheit:</w:t>
      </w:r>
      <w:r>
        <w:rPr>
          <w:rFonts w:eastAsia="Times New Roman"/>
          <w:lang w:val="de-DE"/>
        </w:rPr>
        <w:t xml:space="preserve"> Vermittelt ausschließlich auf Antrag der nationalen Behörden selbst, nicht auf Antrag einzelner Bürger. Der spezielle Notausgang bleibt für diejenigen geschlossen, die ihn am dringendsten benötigen. </w:t>
      </w:r>
    </w:p>
    <w:p w14:paraId="7DB782A0" w14:textId="77777777" w:rsidR="00FA4EDF" w:rsidRDefault="00FA4EDF">
      <w:pPr>
        <w:pStyle w:val="Kop4"/>
        <w:divId w:val="982394320"/>
        <w:rPr>
          <w:rFonts w:eastAsia="Times New Roman"/>
          <w:lang w:val="de-DE"/>
        </w:rPr>
      </w:pPr>
      <w:r>
        <w:rPr>
          <w:rFonts w:eastAsia="Times New Roman"/>
          <w:lang w:val="de-DE"/>
        </w:rPr>
        <w:t>Mediation</w:t>
      </w:r>
    </w:p>
    <w:p w14:paraId="041B281E" w14:textId="77777777" w:rsidR="00FA4EDF" w:rsidRDefault="00FA4EDF">
      <w:pPr>
        <w:divId w:val="1379472291"/>
        <w:rPr>
          <w:rFonts w:eastAsia="Times New Roman"/>
          <w:lang w:val="de-DE"/>
        </w:rPr>
      </w:pPr>
      <w:r>
        <w:rPr>
          <w:rFonts w:eastAsia="Times New Roman"/>
          <w:b/>
          <w:bCs/>
          <w:color w:val="FFFFFF"/>
          <w:sz w:val="20"/>
          <w:szCs w:val="20"/>
          <w:shd w:val="clear" w:color="auto" w:fill="0D7377"/>
          <w:lang w:val="de-DE"/>
        </w:rPr>
        <w:t> 49 </w:t>
      </w:r>
      <w:r>
        <w:rPr>
          <w:rFonts w:eastAsia="Times New Roman"/>
          <w:lang w:val="de-DE"/>
        </w:rPr>
        <w:t xml:space="preserve"> </w:t>
      </w:r>
      <w:r>
        <w:rPr>
          <w:rStyle w:val="actor-naam1"/>
          <w:rFonts w:eastAsia="Times New Roman"/>
          <w:lang w:val="de-DE"/>
        </w:rPr>
        <w:t>SOLVIT Niederlande</w:t>
      </w:r>
      <w:r>
        <w:rPr>
          <w:rFonts w:eastAsia="Times New Roman"/>
          <w:lang w:val="de-DE"/>
        </w:rPr>
        <w:br/>
        <w:t>Die niederländische nationale Stelle des europäischen informellen Netzwerks zur Problemlösung.</w:t>
      </w:r>
      <w:r>
        <w:rPr>
          <w:rFonts w:eastAsia="Times New Roman"/>
          <w:lang w:val="de-DE"/>
        </w:rPr>
        <w:br/>
      </w:r>
      <w:r>
        <w:rPr>
          <w:rStyle w:val="actor-rol1"/>
          <w:rFonts w:eastAsia="Times New Roman"/>
          <w:lang w:val="de-DE"/>
        </w:rPr>
        <w:t>Rolle in diesem Fall:</w:t>
      </w:r>
      <w:r>
        <w:rPr>
          <w:rFonts w:eastAsia="Times New Roman"/>
          <w:lang w:val="de-DE"/>
        </w:rPr>
        <w:t xml:space="preserve"> Schließt beide Fälle mit der Feststellung ab, dass die nationalen Bezugszeiträume korrekt angewendet wurden. Weigert sich, das Vester-Urteil zu prüfen. Lehnt eine Weiterleitung an die ELA ab. </w:t>
      </w:r>
    </w:p>
    <w:p w14:paraId="20DEC145" w14:textId="77777777" w:rsidR="00FA4EDF" w:rsidRDefault="00FA4EDF">
      <w:pPr>
        <w:divId w:val="1578132735"/>
        <w:rPr>
          <w:rFonts w:eastAsia="Times New Roman"/>
          <w:lang w:val="de-DE"/>
        </w:rPr>
      </w:pPr>
      <w:r>
        <w:rPr>
          <w:rFonts w:eastAsia="Times New Roman"/>
          <w:b/>
          <w:bCs/>
          <w:color w:val="FFFFFF"/>
          <w:sz w:val="20"/>
          <w:szCs w:val="20"/>
          <w:shd w:val="clear" w:color="auto" w:fill="0D7377"/>
          <w:lang w:val="de-DE"/>
        </w:rPr>
        <w:t> 50 </w:t>
      </w:r>
      <w:r>
        <w:rPr>
          <w:rFonts w:eastAsia="Times New Roman"/>
          <w:lang w:val="de-DE"/>
        </w:rPr>
        <w:t xml:space="preserve"> </w:t>
      </w:r>
      <w:r>
        <w:rPr>
          <w:rStyle w:val="actor-naam1"/>
          <w:rFonts w:eastAsia="Times New Roman"/>
          <w:lang w:val="de-DE"/>
        </w:rPr>
        <w:t>SOLVIT Belgien</w:t>
      </w:r>
      <w:r>
        <w:rPr>
          <w:rFonts w:eastAsia="Times New Roman"/>
          <w:lang w:val="de-DE"/>
        </w:rPr>
        <w:br/>
        <w:t>Das belgische nationale SOLVIT-Zentrum.</w:t>
      </w:r>
      <w:r>
        <w:rPr>
          <w:rFonts w:eastAsia="Times New Roman"/>
          <w:lang w:val="de-DE"/>
        </w:rPr>
        <w:br/>
      </w:r>
      <w:r>
        <w:rPr>
          <w:rStyle w:val="actor-rol1"/>
          <w:rFonts w:eastAsia="Times New Roman"/>
          <w:lang w:val="de-DE"/>
        </w:rPr>
        <w:t>Rolle in diesem Fall:</w:t>
      </w:r>
      <w:r>
        <w:rPr>
          <w:rFonts w:eastAsia="Times New Roman"/>
          <w:lang w:val="de-DE"/>
        </w:rPr>
        <w:t xml:space="preserve"> Erklärt sich für eine inhaltliche Analyse für unzuständig und verweist an SOLVIT Niederlande zurück. Lehnt zudem eine Weiterleitung an die ELA ab. Zirkuläre Verweisung zwischen zwei nationalen SOLVIT-Zentren. </w:t>
      </w:r>
    </w:p>
    <w:p w14:paraId="1CA93AA7" w14:textId="77777777" w:rsidR="00FA4EDF" w:rsidRDefault="00FA4EDF">
      <w:pPr>
        <w:divId w:val="777602497"/>
        <w:rPr>
          <w:rFonts w:eastAsia="Times New Roman"/>
          <w:lang w:val="de-DE"/>
        </w:rPr>
      </w:pPr>
      <w:r>
        <w:rPr>
          <w:rFonts w:eastAsia="Times New Roman"/>
          <w:b/>
          <w:bCs/>
          <w:color w:val="FFFFFF"/>
          <w:sz w:val="20"/>
          <w:szCs w:val="20"/>
          <w:shd w:val="clear" w:color="auto" w:fill="0D7377"/>
          <w:lang w:val="de-DE"/>
        </w:rPr>
        <w:t> 51 </w:t>
      </w:r>
      <w:r>
        <w:rPr>
          <w:rFonts w:eastAsia="Times New Roman"/>
          <w:lang w:val="de-DE"/>
        </w:rPr>
        <w:t xml:space="preserve"> </w:t>
      </w:r>
      <w:r>
        <w:rPr>
          <w:rStyle w:val="actor-naam1"/>
          <w:rFonts w:eastAsia="Times New Roman"/>
          <w:lang w:val="de-DE"/>
        </w:rPr>
        <w:t>Benelux-Union</w:t>
      </w:r>
      <w:r>
        <w:rPr>
          <w:rFonts w:eastAsia="Times New Roman"/>
          <w:lang w:val="de-DE"/>
        </w:rPr>
        <w:br/>
      </w:r>
      <w:r>
        <w:rPr>
          <w:rStyle w:val="actor-naam1"/>
          <w:rFonts w:eastAsia="Times New Roman"/>
          <w:lang w:val="de-DE"/>
        </w:rPr>
        <w:t>:</w:t>
      </w:r>
      <w:r>
        <w:rPr>
          <w:rFonts w:eastAsia="Times New Roman"/>
          <w:lang w:val="de-DE"/>
        </w:rPr>
        <w:t xml:space="preserve"> Zwischenstaatliches Kooperationsgremium zwischen Belgien, den Niederlanden und Luxemburg.</w:t>
      </w:r>
      <w:r>
        <w:rPr>
          <w:rFonts w:eastAsia="Times New Roman"/>
          <w:lang w:val="de-DE"/>
        </w:rPr>
        <w:br/>
      </w:r>
      <w:r>
        <w:rPr>
          <w:rStyle w:val="actor-rol1"/>
          <w:rFonts w:eastAsia="Times New Roman"/>
          <w:lang w:val="de-DE"/>
        </w:rPr>
        <w:t>Rolle in dieser Angelegenheit:</w:t>
      </w:r>
      <w:r>
        <w:rPr>
          <w:rFonts w:eastAsia="Times New Roman"/>
          <w:lang w:val="de-DE"/>
        </w:rPr>
        <w:t xml:space="preserve"> Bestätigt nach sorgfältiger Prüfung die Problematik, befasst sich jedoch nicht mit Einzelfällen und ist nicht befugt, EU-Rechtsvorschriften zu ändern. </w:t>
      </w:r>
    </w:p>
    <w:p w14:paraId="233BD031" w14:textId="77777777" w:rsidR="00FA4EDF" w:rsidRDefault="00FA4EDF">
      <w:pPr>
        <w:divId w:val="141433380"/>
        <w:rPr>
          <w:rFonts w:eastAsia="Times New Roman"/>
          <w:lang w:val="de-DE"/>
        </w:rPr>
      </w:pPr>
      <w:r>
        <w:rPr>
          <w:rFonts w:eastAsia="Times New Roman"/>
          <w:b/>
          <w:bCs/>
          <w:color w:val="FFFFFF"/>
          <w:sz w:val="20"/>
          <w:szCs w:val="20"/>
          <w:shd w:val="clear" w:color="auto" w:fill="0D7377"/>
          <w:lang w:val="de-DE"/>
        </w:rPr>
        <w:t> 52 </w:t>
      </w:r>
      <w:r>
        <w:rPr>
          <w:rFonts w:eastAsia="Times New Roman"/>
          <w:lang w:val="de-DE"/>
        </w:rPr>
        <w:t xml:space="preserve"> </w:t>
      </w:r>
      <w:r>
        <w:rPr>
          <w:rStyle w:val="actor-naam1"/>
          <w:rFonts w:eastAsia="Times New Roman"/>
          <w:lang w:val="de-DE"/>
        </w:rPr>
        <w:t>GrensInfoPunt (GIP)</w:t>
      </w:r>
      <w:r>
        <w:rPr>
          <w:rFonts w:eastAsia="Times New Roman"/>
          <w:lang w:val="de-DE"/>
        </w:rPr>
        <w:br/>
      </w:r>
      <w:r>
        <w:rPr>
          <w:rStyle w:val="actor-naam1"/>
          <w:rFonts w:eastAsia="Times New Roman"/>
          <w:lang w:val="de-DE"/>
        </w:rPr>
        <w:t>–</w:t>
      </w:r>
      <w:r>
        <w:rPr>
          <w:rFonts w:eastAsia="Times New Roman"/>
          <w:lang w:val="de-DE"/>
        </w:rPr>
        <w:t xml:space="preserve"> Euregionaler Informationsdienst für Grenzgänger.</w:t>
      </w:r>
      <w:r>
        <w:rPr>
          <w:rFonts w:eastAsia="Times New Roman"/>
          <w:lang w:val="de-DE"/>
        </w:rPr>
        <w:br/>
      </w:r>
      <w:r>
        <w:rPr>
          <w:rStyle w:val="actor-rol1"/>
          <w:rFonts w:eastAsia="Times New Roman"/>
          <w:lang w:val="de-DE"/>
        </w:rPr>
        <w:t>Rolle in dieser Angelegenheit:</w:t>
      </w:r>
      <w:r>
        <w:rPr>
          <w:rFonts w:eastAsia="Times New Roman"/>
          <w:lang w:val="de-DE"/>
        </w:rPr>
        <w:t xml:space="preserve"> Liefert präzise theoretische Informationen, verfügt jedoch über keinerlei Durchsetzungsbefugnisse. Weigert sich unter Berufung auf Neutralität, einen dokumentierten Systemfehler als Grenzhindernis zu melden. </w:t>
      </w:r>
    </w:p>
    <w:p w14:paraId="48AEB221" w14:textId="77777777" w:rsidR="00FA4EDF" w:rsidRDefault="00FA4EDF">
      <w:pPr>
        <w:pStyle w:val="Kop4"/>
        <w:divId w:val="982394320"/>
        <w:rPr>
          <w:rFonts w:eastAsia="Times New Roman"/>
          <w:lang w:val="de-DE"/>
        </w:rPr>
      </w:pPr>
      <w:r>
        <w:rPr>
          <w:rFonts w:eastAsia="Times New Roman"/>
          <w:lang w:val="de-DE"/>
        </w:rPr>
        <w:t>Gesellschaftliche Resonanz</w:t>
      </w:r>
    </w:p>
    <w:p w14:paraId="70F47D05" w14:textId="77777777" w:rsidR="00FA4EDF" w:rsidRDefault="00FA4EDF">
      <w:pPr>
        <w:divId w:val="1481270018"/>
        <w:rPr>
          <w:rFonts w:eastAsia="Times New Roman"/>
          <w:lang w:val="de-DE"/>
        </w:rPr>
      </w:pPr>
      <w:r>
        <w:rPr>
          <w:rFonts w:eastAsia="Times New Roman"/>
          <w:b/>
          <w:bCs/>
          <w:color w:val="FFFFFF"/>
          <w:sz w:val="20"/>
          <w:szCs w:val="20"/>
          <w:shd w:val="clear" w:color="auto" w:fill="0D7377"/>
          <w:lang w:val="de-DE"/>
        </w:rPr>
        <w:t> 53 </w:t>
      </w:r>
      <w:r>
        <w:rPr>
          <w:rFonts w:eastAsia="Times New Roman"/>
          <w:lang w:val="de-DE"/>
        </w:rPr>
        <w:t xml:space="preserve"> </w:t>
      </w:r>
      <w:r>
        <w:rPr>
          <w:rStyle w:val="actor-naam1"/>
          <w:rFonts w:eastAsia="Times New Roman"/>
          <w:lang w:val="de-DE"/>
        </w:rPr>
        <w:t>Strategische Interessenvertretung (PILP u. a.)</w:t>
      </w:r>
      <w:r>
        <w:rPr>
          <w:rFonts w:eastAsia="Times New Roman"/>
          <w:lang w:val="de-DE"/>
        </w:rPr>
        <w:br/>
        <w:t>Menschenrechtsorganisationen und Rechtshilfeinitiativen.</w:t>
      </w:r>
      <w:r>
        <w:rPr>
          <w:rFonts w:eastAsia="Times New Roman"/>
          <w:lang w:val="de-DE"/>
        </w:rPr>
        <w:br/>
      </w:r>
      <w:r>
        <w:rPr>
          <w:rStyle w:val="actor-rol1"/>
          <w:rFonts w:eastAsia="Times New Roman"/>
          <w:lang w:val="de-DE"/>
        </w:rPr>
        <w:t>Rolle in diesem Fall:</w:t>
      </w:r>
      <w:r>
        <w:rPr>
          <w:rFonts w:eastAsia="Times New Roman"/>
          <w:lang w:val="de-DE"/>
        </w:rPr>
        <w:t xml:space="preserve"> Nehmen den Fall entgegen, erkennen dessen Bedeutung an und nutzen ihn als Grundlage für künftige Verfahren. Bieten keine unmittelbare Lösung für den Einzelfall. </w:t>
      </w:r>
    </w:p>
    <w:p w14:paraId="6E6D0B45" w14:textId="77777777" w:rsidR="00FA4EDF" w:rsidRDefault="00FA4EDF">
      <w:pPr>
        <w:divId w:val="1512254108"/>
        <w:rPr>
          <w:rFonts w:eastAsia="Times New Roman"/>
          <w:lang w:val="de-DE"/>
        </w:rPr>
      </w:pPr>
      <w:r>
        <w:rPr>
          <w:rFonts w:eastAsia="Times New Roman"/>
          <w:b/>
          <w:bCs/>
          <w:color w:val="FFFFFF"/>
          <w:sz w:val="20"/>
          <w:szCs w:val="20"/>
          <w:shd w:val="clear" w:color="auto" w:fill="0D7377"/>
          <w:lang w:val="de-DE"/>
        </w:rPr>
        <w:t> 54 </w:t>
      </w:r>
      <w:r>
        <w:rPr>
          <w:rFonts w:eastAsia="Times New Roman"/>
          <w:lang w:val="de-DE"/>
        </w:rPr>
        <w:t xml:space="preserve"> </w:t>
      </w:r>
      <w:r>
        <w:rPr>
          <w:rStyle w:val="actor-naam1"/>
          <w:rFonts w:eastAsia="Times New Roman"/>
          <w:lang w:val="de-DE"/>
        </w:rPr>
        <w:t>Akademische Beobachtungsebene (ITEM u. a.)</w:t>
      </w:r>
      <w:r>
        <w:rPr>
          <w:rFonts w:eastAsia="Times New Roman"/>
          <w:lang w:val="de-DE"/>
        </w:rPr>
        <w:br/>
        <w:t>Wissenschaftliche Forschungsinstitute für grenzüberschreitende Zusammenarbeit.</w:t>
      </w:r>
      <w:r>
        <w:rPr>
          <w:rFonts w:eastAsia="Times New Roman"/>
          <w:lang w:val="de-DE"/>
        </w:rPr>
        <w:br/>
      </w:r>
      <w:r>
        <w:rPr>
          <w:rStyle w:val="actor-rol1"/>
          <w:rFonts w:eastAsia="Times New Roman"/>
          <w:lang w:val="de-DE"/>
        </w:rPr>
        <w:t>Rolle in diesem Dossier:</w:t>
      </w:r>
      <w:r>
        <w:rPr>
          <w:rFonts w:eastAsia="Times New Roman"/>
          <w:lang w:val="de-DE"/>
        </w:rPr>
        <w:t xml:space="preserve"> Kontinuierliche Veröffentlichungen über grenzüberschreitendes Versagen, jedoch monatelang keine Reaktion auf einen aktuellen Fall. Als der Fall im Herbst 2026 die akademische Schwelle überschreitet, leitet das Institut eine inhaltliche Untersuchung ein. </w:t>
      </w:r>
    </w:p>
    <w:p w14:paraId="685649FA" w14:textId="77777777" w:rsidR="00FA4EDF" w:rsidRDefault="00FA4EDF">
      <w:pPr>
        <w:divId w:val="927808153"/>
        <w:rPr>
          <w:rFonts w:eastAsia="Times New Roman"/>
          <w:lang w:val="de-DE"/>
        </w:rPr>
      </w:pPr>
      <w:r>
        <w:rPr>
          <w:rFonts w:eastAsia="Times New Roman"/>
          <w:b/>
          <w:bCs/>
          <w:color w:val="FFFFFF"/>
          <w:sz w:val="20"/>
          <w:szCs w:val="20"/>
          <w:shd w:val="clear" w:color="auto" w:fill="0D7377"/>
          <w:lang w:val="de-DE"/>
        </w:rPr>
        <w:t> 55 </w:t>
      </w:r>
      <w:r>
        <w:rPr>
          <w:rFonts w:eastAsia="Times New Roman"/>
          <w:lang w:val="de-DE"/>
        </w:rPr>
        <w:t xml:space="preserve"> </w:t>
      </w:r>
      <w:r>
        <w:rPr>
          <w:rStyle w:val="actor-naam1"/>
          <w:rFonts w:eastAsia="Times New Roman"/>
          <w:lang w:val="de-DE"/>
        </w:rPr>
        <w:t>Medien und öffentliche Intellektuelle</w:t>
      </w:r>
      <w:r>
        <w:rPr>
          <w:rFonts w:eastAsia="Times New Roman"/>
          <w:lang w:val="de-DE"/>
        </w:rPr>
        <w:br/>
      </w:r>
      <w:r>
        <w:rPr>
          <w:rStyle w:val="actor-naam1"/>
          <w:rFonts w:eastAsia="Times New Roman"/>
          <w:lang w:val="de-DE"/>
        </w:rPr>
        <w:t>:</w:t>
      </w:r>
      <w:r>
        <w:rPr>
          <w:rFonts w:eastAsia="Times New Roman"/>
          <w:lang w:val="de-DE"/>
        </w:rPr>
        <w:t xml:space="preserve"> Investigativer Journalismus und Meinungsbildner.</w:t>
      </w:r>
      <w:r>
        <w:rPr>
          <w:rFonts w:eastAsia="Times New Roman"/>
          <w:lang w:val="de-DE"/>
        </w:rPr>
        <w:br/>
      </w:r>
      <w:r>
        <w:rPr>
          <w:rStyle w:val="actor-rol1"/>
          <w:rFonts w:eastAsia="Times New Roman"/>
          <w:lang w:val="de-DE"/>
        </w:rPr>
        <w:t>Rolle in dieser Angelegenheit:</w:t>
      </w:r>
      <w:r>
        <w:rPr>
          <w:rFonts w:eastAsia="Times New Roman"/>
          <w:lang w:val="de-DE"/>
        </w:rPr>
        <w:t xml:space="preserve"> Ihnen wird die Angelegenheit vorgelegt. Die Resonanz ist flüchtig: Ein Artikel erzeugt kurzfristigen Druck, verändert aber nichts an der Struktur. Algorithmen lesen keine Zeitungen. </w:t>
      </w:r>
    </w:p>
    <w:p w14:paraId="5160FC06" w14:textId="77777777" w:rsidR="00FA4EDF" w:rsidRDefault="00FA4EDF">
      <w:pPr>
        <w:divId w:val="336469264"/>
        <w:rPr>
          <w:rFonts w:eastAsia="Times New Roman"/>
          <w:lang w:val="de-DE"/>
        </w:rPr>
      </w:pPr>
      <w:r>
        <w:rPr>
          <w:rFonts w:eastAsia="Times New Roman"/>
          <w:b/>
          <w:bCs/>
          <w:color w:val="FFFFFF"/>
          <w:sz w:val="20"/>
          <w:szCs w:val="20"/>
          <w:shd w:val="clear" w:color="auto" w:fill="0D7377"/>
          <w:lang w:val="de-DE"/>
        </w:rPr>
        <w:t> 56 </w:t>
      </w:r>
      <w:r>
        <w:rPr>
          <w:rFonts w:eastAsia="Times New Roman"/>
          <w:lang w:val="de-DE"/>
        </w:rPr>
        <w:t xml:space="preserve"> </w:t>
      </w:r>
      <w:r>
        <w:rPr>
          <w:rStyle w:val="actor-naam1"/>
          <w:rFonts w:eastAsia="Times New Roman"/>
          <w:lang w:val="de-DE"/>
        </w:rPr>
        <w:t>OHCHR / Vereinte Nationen</w:t>
      </w:r>
      <w:r>
        <w:rPr>
          <w:rFonts w:eastAsia="Times New Roman"/>
          <w:lang w:val="de-DE"/>
        </w:rPr>
        <w:br/>
        <w:t>Das Menschenrechtsgremium der Vereinten Nationen, einschließlich des CRPD-Ausschusses.</w:t>
      </w:r>
      <w:r>
        <w:rPr>
          <w:rFonts w:eastAsia="Times New Roman"/>
          <w:lang w:val="de-DE"/>
        </w:rPr>
        <w:br/>
      </w:r>
      <w:r>
        <w:rPr>
          <w:rStyle w:val="actor-rol1"/>
          <w:rFonts w:eastAsia="Times New Roman"/>
          <w:lang w:val="de-DE"/>
        </w:rPr>
        <w:t>Rolle in dieser Angelegenheit:</w:t>
      </w:r>
      <w:r>
        <w:rPr>
          <w:rFonts w:eastAsia="Times New Roman"/>
          <w:lang w:val="de-DE"/>
        </w:rPr>
        <w:t xml:space="preserve"> Legt die internationalen Menschenrechtsnormen fest, zu deren Einhaltung sich Belgien und die Niederlande verpflichtet haben. Verfügt über keine Kontrollbefugnisse, um eine versagende nationale Durchführungsbehörde zu korrigieren. </w:t>
      </w:r>
    </w:p>
    <w:p w14:paraId="10B143DB" w14:textId="77777777" w:rsidR="00FA4EDF" w:rsidRDefault="00FA4EDF">
      <w:pPr>
        <w:pStyle w:val="Kop3"/>
        <w:divId w:val="982394320"/>
        <w:rPr>
          <w:rFonts w:eastAsia="Times New Roman"/>
          <w:lang w:val="de-DE"/>
        </w:rPr>
      </w:pPr>
      <w:bookmarkStart w:id="17" w:name="_Toc242103053"/>
      <w:r>
        <w:rPr>
          <w:rFonts w:eastAsia="Times New Roman"/>
          <w:lang w:val="de-DE"/>
        </w:rPr>
        <w:t>Teil I-C – Die Verhältnisse</w:t>
      </w:r>
      <w:bookmarkEnd w:id="17"/>
    </w:p>
    <w:p w14:paraId="7B84DB95" w14:textId="77777777" w:rsidR="00FA4EDF" w:rsidRDefault="00FA4EDF">
      <w:pPr>
        <w:pStyle w:val="Normaalweb"/>
        <w:divId w:val="982394320"/>
        <w:rPr>
          <w:lang w:val="de-DE"/>
        </w:rPr>
      </w:pPr>
      <w:r>
        <w:rPr>
          <w:lang w:val="de-DE"/>
        </w:rPr>
        <w:t>Die Akteure auf dem Spielfeld sind keine isolierten Einheiten. Sie stehen in festen Macht- und Datenbeziehungen zueinander, die den Raum bestimmen, in dem die Familie agieren muss. Der Kern des Kompetenzvakuums besteht darin, dass diese Beziehungen so gestaltet sind, dass kein einzelner Akteur die letztendliche Verantwortung für das Ganze trägt.</w:t>
      </w:r>
    </w:p>
    <w:tbl>
      <w:tblPr>
        <w:tblW w:w="5000" w:type="pct"/>
        <w:tblCellMar>
          <w:top w:w="15" w:type="dxa"/>
          <w:left w:w="15" w:type="dxa"/>
          <w:bottom w:w="15" w:type="dxa"/>
          <w:right w:w="15" w:type="dxa"/>
        </w:tblCellMar>
        <w:tblLook w:val="04A0" w:firstRow="1" w:lastRow="0" w:firstColumn="1" w:lastColumn="0" w:noHBand="0" w:noVBand="1"/>
      </w:tblPr>
      <w:tblGrid>
        <w:gridCol w:w="2337"/>
        <w:gridCol w:w="2300"/>
        <w:gridCol w:w="2300"/>
        <w:gridCol w:w="2119"/>
      </w:tblGrid>
      <w:tr w:rsidR="00000000" w14:paraId="6DAAB3E5" w14:textId="77777777">
        <w:trPr>
          <w:divId w:val="982394320"/>
          <w:tblHeader/>
        </w:trPr>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2E8D7B8"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Verhältnis</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9A87999"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Formelle Autorität</w:t>
            </w:r>
          </w:p>
        </w:tc>
        <w:tc>
          <w:tcPr>
            <w:tcW w:w="13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F4DAE8F"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Tatsächliche Praxis</w:t>
            </w:r>
          </w:p>
        </w:tc>
        <w:tc>
          <w:tcPr>
            <w:tcW w:w="12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22E84D5"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Auswirkungen auf die Familie</w:t>
            </w:r>
          </w:p>
        </w:tc>
      </w:tr>
      <w:tr w:rsidR="00000000" w14:paraId="4F6E4FB1"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C45433" w14:textId="77777777" w:rsidR="00FA4EDF" w:rsidRDefault="00FA4EDF">
            <w:pPr>
              <w:spacing w:before="200" w:after="360"/>
              <w:rPr>
                <w:rFonts w:eastAsia="Times New Roman"/>
                <w:sz w:val="21"/>
                <w:szCs w:val="21"/>
              </w:rPr>
            </w:pPr>
            <w:r>
              <w:rPr>
                <w:rStyle w:val="Zwaar"/>
                <w:rFonts w:eastAsia="Times New Roman"/>
                <w:sz w:val="21"/>
                <w:szCs w:val="21"/>
              </w:rPr>
              <w:t>Aufsichtsbehörde ↔ Durchführungsstelle</w:t>
            </w:r>
            <w:r>
              <w:rPr>
                <w:rFonts w:eastAsia="Times New Roman"/>
                <w:sz w:val="21"/>
                <w:szCs w:val="21"/>
              </w:rPr>
              <w:br/>
            </w:r>
            <w:r>
              <w:rPr>
                <w:rStyle w:val="badge-be1"/>
                <w:rFonts w:eastAsia="Times New Roman"/>
                <w:sz w:val="21"/>
                <w:szCs w:val="21"/>
              </w:rPr>
              <w:t>BE</w:t>
            </w:r>
            <w:r>
              <w:rPr>
                <w:rFonts w:eastAsia="Times New Roman"/>
                <w:sz w:val="21"/>
                <w:szCs w:val="21"/>
              </w:rPr>
              <w:t xml:space="preserve"> LIKIV, CDZ → CM</w:t>
            </w:r>
            <w:r>
              <w:rPr>
                <w:rFonts w:eastAsia="Times New Roman"/>
                <w:sz w:val="21"/>
                <w:szCs w:val="21"/>
              </w:rPr>
              <w:br/>
            </w:r>
            <w:r>
              <w:rPr>
                <w:rStyle w:val="badge-nl1"/>
                <w:rFonts w:eastAsia="Times New Roman"/>
                <w:sz w:val="21"/>
                <w:szCs w:val="21"/>
              </w:rPr>
              <w:t>NL</w:t>
            </w:r>
            <w:r>
              <w:rPr>
                <w:rFonts w:eastAsia="Times New Roman"/>
                <w:sz w:val="21"/>
                <w:szCs w:val="21"/>
              </w:rPr>
              <w:t xml:space="preserve"> ZIN → CZ</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DEF3AF" w14:textId="77777777" w:rsidR="00FA4EDF" w:rsidRDefault="00FA4EDF">
            <w:pPr>
              <w:spacing w:before="200" w:after="360"/>
              <w:rPr>
                <w:rFonts w:eastAsia="Times New Roman"/>
                <w:sz w:val="21"/>
                <w:szCs w:val="21"/>
              </w:rPr>
            </w:pPr>
            <w:r>
              <w:rPr>
                <w:rFonts w:eastAsia="Times New Roman"/>
                <w:sz w:val="21"/>
                <w:szCs w:val="21"/>
              </w:rPr>
              <w:t>Die Aufsichtsbehörden regulieren die Ausführenden und können Richtlinien erlassen.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373B2B" w14:textId="77777777" w:rsidR="00FA4EDF" w:rsidRDefault="00FA4EDF">
            <w:pPr>
              <w:spacing w:before="200" w:after="360"/>
              <w:rPr>
                <w:rFonts w:eastAsia="Times New Roman"/>
                <w:sz w:val="21"/>
                <w:szCs w:val="21"/>
              </w:rPr>
            </w:pPr>
            <w:r>
              <w:rPr>
                <w:rFonts w:eastAsia="Times New Roman"/>
                <w:sz w:val="21"/>
                <w:szCs w:val="21"/>
              </w:rPr>
              <w:t>Kein verbindliches Interventionsmandat in Einzelfällen. Der Sachbearbeiter entscheidet eigenständig am Schalter.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E5BC1B" w14:textId="77777777" w:rsidR="00FA4EDF" w:rsidRDefault="00FA4EDF">
            <w:pPr>
              <w:spacing w:before="200" w:after="360"/>
              <w:rPr>
                <w:rFonts w:eastAsia="Times New Roman"/>
                <w:sz w:val="21"/>
                <w:szCs w:val="21"/>
              </w:rPr>
            </w:pPr>
            <w:r>
              <w:rPr>
                <w:rFonts w:eastAsia="Times New Roman"/>
                <w:sz w:val="21"/>
                <w:szCs w:val="21"/>
              </w:rPr>
              <w:t>Beschwerden bei der Aufsichtsbehörde beseitigen keine konkreten Hindernisse.</w:t>
            </w:r>
          </w:p>
        </w:tc>
      </w:tr>
      <w:tr w:rsidR="00000000" w14:paraId="1FD8A12B"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F42B1E" w14:textId="77777777" w:rsidR="00FA4EDF" w:rsidRDefault="00FA4EDF">
            <w:pPr>
              <w:spacing w:before="200" w:after="360"/>
              <w:rPr>
                <w:rFonts w:eastAsia="Times New Roman"/>
                <w:sz w:val="21"/>
                <w:szCs w:val="21"/>
              </w:rPr>
            </w:pPr>
            <w:r>
              <w:rPr>
                <w:rStyle w:val="Zwaar"/>
                <w:rFonts w:eastAsia="Times New Roman"/>
                <w:sz w:val="21"/>
                <w:szCs w:val="21"/>
              </w:rPr>
              <w:t>Bundesministerien ↔ Bundesministerien</w:t>
            </w:r>
            <w:r>
              <w:rPr>
                <w:rFonts w:eastAsia="Times New Roman"/>
                <w:sz w:val="21"/>
                <w:szCs w:val="21"/>
              </w:rPr>
              <w:br/>
            </w:r>
            <w:r>
              <w:rPr>
                <w:rStyle w:val="badge-be1"/>
                <w:rFonts w:eastAsia="Times New Roman"/>
                <w:sz w:val="21"/>
                <w:szCs w:val="21"/>
              </w:rPr>
              <w:t>BE</w:t>
            </w:r>
            <w:r>
              <w:rPr>
                <w:rFonts w:eastAsia="Times New Roman"/>
                <w:sz w:val="21"/>
                <w:szCs w:val="21"/>
              </w:rPr>
              <w:t xml:space="preserve"> FÖD SZ → FÖD Fin</w:t>
            </w:r>
            <w:r>
              <w:rPr>
                <w:rFonts w:eastAsia="Times New Roman"/>
                <w:sz w:val="21"/>
                <w:szCs w:val="21"/>
              </w:rPr>
              <w:br/>
            </w:r>
            <w:r>
              <w:rPr>
                <w:rStyle w:val="badge-nl1"/>
                <w:rFonts w:eastAsia="Times New Roman"/>
                <w:sz w:val="21"/>
                <w:szCs w:val="21"/>
              </w:rPr>
              <w:t>NL</w:t>
            </w:r>
            <w:r>
              <w:rPr>
                <w:rFonts w:eastAsia="Times New Roman"/>
                <w:sz w:val="21"/>
                <w:szCs w:val="21"/>
              </w:rPr>
              <w:t xml:space="preserve"> SVB → Zulagen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326F45E" w14:textId="77777777" w:rsidR="00FA4EDF" w:rsidRDefault="00FA4EDF">
            <w:pPr>
              <w:spacing w:before="200" w:after="360"/>
              <w:rPr>
                <w:rFonts w:eastAsia="Times New Roman"/>
                <w:sz w:val="21"/>
                <w:szCs w:val="21"/>
              </w:rPr>
            </w:pPr>
            <w:r>
              <w:rPr>
                <w:rFonts w:eastAsia="Times New Roman"/>
                <w:sz w:val="21"/>
                <w:szCs w:val="21"/>
              </w:rPr>
              <w:t>Nebenleistungen mit eigenen gesetzlichen Aufträgen.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798527" w14:textId="77777777" w:rsidR="00FA4EDF" w:rsidRDefault="00FA4EDF">
            <w:pPr>
              <w:spacing w:before="200" w:after="360"/>
              <w:rPr>
                <w:rFonts w:eastAsia="Times New Roman"/>
                <w:sz w:val="21"/>
                <w:szCs w:val="21"/>
              </w:rPr>
            </w:pPr>
            <w:r>
              <w:rPr>
                <w:rFonts w:eastAsia="Times New Roman"/>
                <w:sz w:val="21"/>
                <w:szCs w:val="21"/>
              </w:rPr>
              <w:t>Jede Behörde entscheidet eigenständig innerhalb ihres jeweiligen rechtlichen Rahmens. Bescheinigungen einer Behörde sind für eine andere nicht bindend.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F5FC30" w14:textId="77777777" w:rsidR="00FA4EDF" w:rsidRDefault="00FA4EDF">
            <w:pPr>
              <w:spacing w:before="200" w:after="360"/>
              <w:rPr>
                <w:rFonts w:eastAsia="Times New Roman"/>
                <w:sz w:val="21"/>
                <w:szCs w:val="21"/>
              </w:rPr>
            </w:pPr>
            <w:r>
              <w:rPr>
                <w:rFonts w:eastAsia="Times New Roman"/>
                <w:sz w:val="21"/>
                <w:szCs w:val="21"/>
              </w:rPr>
              <w:t>Eine medizinische Anerkennung führt nicht automatisch zu steuerlichem Schutz.</w:t>
            </w:r>
          </w:p>
        </w:tc>
      </w:tr>
      <w:tr w:rsidR="00000000" w14:paraId="15F4A56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4ABBF65" w14:textId="77777777" w:rsidR="00FA4EDF" w:rsidRDefault="00FA4EDF">
            <w:pPr>
              <w:spacing w:before="200" w:after="360"/>
              <w:rPr>
                <w:rFonts w:eastAsia="Times New Roman"/>
                <w:sz w:val="21"/>
                <w:szCs w:val="21"/>
              </w:rPr>
            </w:pPr>
            <w:r>
              <w:rPr>
                <w:rStyle w:val="Zwaar"/>
                <w:rFonts w:eastAsia="Times New Roman"/>
                <w:sz w:val="21"/>
                <w:szCs w:val="21"/>
              </w:rPr>
              <w:t>Datenkette</w:t>
            </w:r>
            <w:r>
              <w:rPr>
                <w:rFonts w:eastAsia="Times New Roman"/>
                <w:sz w:val="21"/>
                <w:szCs w:val="21"/>
              </w:rPr>
              <w:br/>
              <w:t>CM → KSZ → Parentia / 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DA5830" w14:textId="77777777" w:rsidR="00FA4EDF" w:rsidRDefault="00FA4EDF">
            <w:pPr>
              <w:spacing w:before="200" w:after="360"/>
              <w:rPr>
                <w:rFonts w:eastAsia="Times New Roman"/>
                <w:sz w:val="21"/>
                <w:szCs w:val="21"/>
              </w:rPr>
            </w:pPr>
            <w:r>
              <w:rPr>
                <w:rFonts w:eastAsia="Times New Roman"/>
                <w:sz w:val="21"/>
                <w:szCs w:val="21"/>
              </w:rPr>
              <w:t>Gesetzlich vorgeschriebener Datenaustausch über die Kruispuntbank und das europäische EESSI-Netzwerk.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7602C0" w14:textId="77777777" w:rsidR="00FA4EDF" w:rsidRDefault="00FA4EDF">
            <w:pPr>
              <w:spacing w:before="200" w:after="360"/>
              <w:rPr>
                <w:rFonts w:eastAsia="Times New Roman"/>
                <w:sz w:val="21"/>
                <w:szCs w:val="21"/>
              </w:rPr>
            </w:pPr>
            <w:r>
              <w:rPr>
                <w:rFonts w:eastAsia="Times New Roman"/>
                <w:sz w:val="21"/>
                <w:szCs w:val="21"/>
              </w:rPr>
              <w:t>Parentia und SVB sind vollständig vom Quellcode abhängig, den CM bereitstellt. Wenn CM diesen nicht liefert, kommt die gesamte Kette zum Stillstand.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4546D5E" w14:textId="77777777" w:rsidR="00FA4EDF" w:rsidRDefault="00FA4EDF">
            <w:pPr>
              <w:spacing w:before="200" w:after="360"/>
              <w:rPr>
                <w:rFonts w:eastAsia="Times New Roman"/>
                <w:sz w:val="21"/>
                <w:szCs w:val="21"/>
              </w:rPr>
            </w:pPr>
            <w:r>
              <w:rPr>
                <w:rFonts w:eastAsia="Times New Roman"/>
                <w:sz w:val="21"/>
                <w:szCs w:val="21"/>
              </w:rPr>
              <w:t>Familienbeihilfen und Sozialzuschläge werden eingefroren, ohne dass der Begünstigte etwas dagegen unternehmen kann.</w:t>
            </w:r>
          </w:p>
        </w:tc>
      </w:tr>
      <w:tr w:rsidR="00000000" w14:paraId="4DB3A0EB"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5799291" w14:textId="77777777" w:rsidR="00FA4EDF" w:rsidRDefault="00FA4EDF">
            <w:pPr>
              <w:spacing w:before="200" w:after="360"/>
              <w:rPr>
                <w:rFonts w:eastAsia="Times New Roman"/>
                <w:sz w:val="21"/>
                <w:szCs w:val="21"/>
              </w:rPr>
            </w:pPr>
            <w:r>
              <w:rPr>
                <w:rStyle w:val="Zwaar"/>
                <w:rFonts w:eastAsia="Times New Roman"/>
                <w:sz w:val="21"/>
                <w:szCs w:val="21"/>
              </w:rPr>
              <w:t>EU-Infrastruktur</w:t>
            </w:r>
            <w:r>
              <w:rPr>
                <w:rFonts w:eastAsia="Times New Roman"/>
                <w:sz w:val="21"/>
                <w:szCs w:val="21"/>
              </w:rPr>
              <w:br/>
            </w:r>
            <w:r>
              <w:rPr>
                <w:rStyle w:val="badge-eu1"/>
                <w:rFonts w:eastAsia="Times New Roman"/>
                <w:sz w:val="21"/>
                <w:szCs w:val="21"/>
              </w:rPr>
              <w:t>Kanal 1</w:t>
            </w:r>
            <w:r>
              <w:rPr>
                <w:rFonts w:eastAsia="Times New Roman"/>
                <w:sz w:val="21"/>
                <w:szCs w:val="21"/>
              </w:rPr>
              <w:t xml:space="preserve"> FÖD Fin ↔ Steuerbehörde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F8A915" w14:textId="77777777" w:rsidR="00FA4EDF" w:rsidRDefault="00FA4EDF">
            <w:pPr>
              <w:spacing w:before="200" w:after="360"/>
              <w:rPr>
                <w:rFonts w:eastAsia="Times New Roman"/>
                <w:sz w:val="21"/>
                <w:szCs w:val="21"/>
              </w:rPr>
            </w:pPr>
            <w:r>
              <w:rPr>
                <w:rFonts w:eastAsia="Times New Roman"/>
                <w:sz w:val="21"/>
                <w:szCs w:val="21"/>
              </w:rPr>
              <w:t>Auf der Grundlage der EU-Richtlinien (DAC) und des bilateralen Steuerabkommens.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7B4D63" w14:textId="77777777" w:rsidR="00FA4EDF" w:rsidRDefault="00FA4EDF">
            <w:pPr>
              <w:spacing w:before="200" w:after="360"/>
              <w:rPr>
                <w:rFonts w:eastAsia="Times New Roman"/>
                <w:sz w:val="21"/>
                <w:szCs w:val="21"/>
              </w:rPr>
            </w:pPr>
            <w:r>
              <w:rPr>
                <w:rFonts w:eastAsia="Times New Roman"/>
                <w:sz w:val="21"/>
                <w:szCs w:val="21"/>
              </w:rPr>
              <w:t>Vollständig automatisierter Austausch von Informationen über weltweite Einkünfte. Maximale Transparenz bei der Besteuerung und Rückforderung.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54C91A" w14:textId="77777777" w:rsidR="00FA4EDF" w:rsidRDefault="00FA4EDF">
            <w:pPr>
              <w:spacing w:before="200" w:after="360"/>
              <w:rPr>
                <w:rFonts w:eastAsia="Times New Roman"/>
                <w:sz w:val="21"/>
                <w:szCs w:val="21"/>
              </w:rPr>
            </w:pPr>
            <w:r>
              <w:rPr>
                <w:rFonts w:eastAsia="Times New Roman"/>
                <w:sz w:val="21"/>
                <w:szCs w:val="21"/>
              </w:rPr>
              <w:t>Die EU weiß alles über Einkünfte, bietet aber kein Sicherheitsnetz für den Fall, dass diese wegfallen.</w:t>
            </w:r>
          </w:p>
        </w:tc>
      </w:tr>
      <w:tr w:rsidR="00000000" w14:paraId="354756A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F31333B" w14:textId="77777777" w:rsidR="00FA4EDF" w:rsidRDefault="00FA4EDF">
            <w:pPr>
              <w:spacing w:before="200" w:after="360"/>
              <w:rPr>
                <w:rFonts w:eastAsia="Times New Roman"/>
                <w:sz w:val="21"/>
                <w:szCs w:val="21"/>
              </w:rPr>
            </w:pPr>
            <w:r>
              <w:rPr>
                <w:rStyle w:val="Zwaar"/>
                <w:rFonts w:eastAsia="Times New Roman"/>
                <w:sz w:val="21"/>
                <w:szCs w:val="21"/>
              </w:rPr>
              <w:t>Vertragskanal</w:t>
            </w:r>
            <w:r>
              <w:rPr>
                <w:rFonts w:eastAsia="Times New Roman"/>
                <w:sz w:val="21"/>
                <w:szCs w:val="21"/>
              </w:rPr>
              <w:br/>
            </w:r>
            <w:r>
              <w:rPr>
                <w:rStyle w:val="badge-mem1"/>
                <w:rFonts w:eastAsia="Times New Roman"/>
                <w:sz w:val="21"/>
                <w:szCs w:val="21"/>
              </w:rPr>
              <w:t>Kanal 2</w:t>
            </w:r>
            <w:r>
              <w:rPr>
                <w:rFonts w:eastAsia="Times New Roman"/>
                <w:sz w:val="21"/>
                <w:szCs w:val="21"/>
              </w:rPr>
              <w:t xml:space="preserve"> CM ↔ CZ / CAK</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D8752CD" w14:textId="77777777" w:rsidR="00FA4EDF" w:rsidRDefault="00FA4EDF">
            <w:pPr>
              <w:spacing w:before="200" w:after="360"/>
              <w:rPr>
                <w:rFonts w:eastAsia="Times New Roman"/>
                <w:sz w:val="21"/>
                <w:szCs w:val="21"/>
              </w:rPr>
            </w:pPr>
            <w:r>
              <w:rPr>
                <w:rFonts w:eastAsia="Times New Roman"/>
                <w:sz w:val="21"/>
                <w:szCs w:val="21"/>
              </w:rPr>
              <w:t>Verknüpft über das Formular S072 (Verordnung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803965" w14:textId="77777777" w:rsidR="00FA4EDF" w:rsidRDefault="00FA4EDF">
            <w:pPr>
              <w:spacing w:before="200" w:after="360"/>
              <w:rPr>
                <w:rFonts w:eastAsia="Times New Roman"/>
                <w:sz w:val="21"/>
                <w:szCs w:val="21"/>
              </w:rPr>
            </w:pPr>
            <w:r>
              <w:rPr>
                <w:rFonts w:eastAsia="Times New Roman"/>
                <w:sz w:val="21"/>
                <w:szCs w:val="21"/>
              </w:rPr>
              <w:t>Enger, einmaliger Kanal. Es kommt zu Schwierigkeiten, sobald die Versorgung oder der Status über das Standardformular hinausgeht.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26B700" w14:textId="77777777" w:rsidR="00FA4EDF" w:rsidRDefault="00FA4EDF">
            <w:pPr>
              <w:spacing w:before="200" w:after="360"/>
              <w:rPr>
                <w:rFonts w:eastAsia="Times New Roman"/>
                <w:sz w:val="21"/>
                <w:szCs w:val="21"/>
              </w:rPr>
            </w:pPr>
            <w:r>
              <w:rPr>
                <w:rFonts w:eastAsia="Times New Roman"/>
                <w:sz w:val="21"/>
                <w:szCs w:val="21"/>
              </w:rPr>
              <w:t>Anhaltende Unstimmigkeiten bezüglich Genehmigungen, Paketgrenzen und Eigenanteilen.</w:t>
            </w:r>
          </w:p>
        </w:tc>
      </w:tr>
      <w:tr w:rsidR="00000000" w14:paraId="1D6BA9E1"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D38AAD" w14:textId="77777777" w:rsidR="00FA4EDF" w:rsidRDefault="00FA4EDF">
            <w:pPr>
              <w:spacing w:before="200" w:after="360"/>
              <w:rPr>
                <w:rFonts w:eastAsia="Times New Roman"/>
                <w:sz w:val="21"/>
                <w:szCs w:val="21"/>
              </w:rPr>
            </w:pPr>
            <w:r>
              <w:rPr>
                <w:rStyle w:val="Zwaar"/>
                <w:rFonts w:eastAsia="Times New Roman"/>
                <w:sz w:val="21"/>
                <w:szCs w:val="21"/>
              </w:rPr>
              <w:t>Medizinischer Bereich</w:t>
            </w:r>
            <w:r>
              <w:rPr>
                <w:rFonts w:eastAsia="Times New Roman"/>
                <w:sz w:val="21"/>
                <w:szCs w:val="21"/>
              </w:rPr>
              <w:br/>
            </w:r>
            <w:r>
              <w:rPr>
                <w:rStyle w:val="badge-mem1"/>
                <w:rFonts w:eastAsia="Times New Roman"/>
                <w:sz w:val="21"/>
                <w:szCs w:val="21"/>
              </w:rPr>
              <w:t>Kanal 3</w:t>
            </w:r>
            <w:r>
              <w:rPr>
                <w:rFonts w:eastAsia="Times New Roman"/>
                <w:sz w:val="21"/>
                <w:szCs w:val="21"/>
              </w:rPr>
              <w:t xml:space="preserve"> Vitaz · UZ Gent ↔ ZorgSaam · Pallion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A7BD20F" w14:textId="77777777" w:rsidR="00FA4EDF" w:rsidRDefault="00FA4EDF">
            <w:pPr>
              <w:spacing w:before="200" w:after="360"/>
              <w:rPr>
                <w:rFonts w:eastAsia="Times New Roman"/>
                <w:sz w:val="21"/>
                <w:szCs w:val="21"/>
              </w:rPr>
            </w:pPr>
            <w:r>
              <w:rPr>
                <w:rFonts w:eastAsia="Times New Roman"/>
                <w:sz w:val="21"/>
                <w:szCs w:val="21"/>
              </w:rPr>
              <w:t>Keine Verbindung über die Landesgrenze hinweg.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3660AA" w14:textId="77777777" w:rsidR="00FA4EDF" w:rsidRDefault="00FA4EDF">
            <w:pPr>
              <w:spacing w:before="200" w:after="360"/>
              <w:rPr>
                <w:rFonts w:eastAsia="Times New Roman"/>
                <w:sz w:val="21"/>
                <w:szCs w:val="21"/>
              </w:rPr>
            </w:pPr>
            <w:r>
              <w:rPr>
                <w:rFonts w:eastAsia="Times New Roman"/>
                <w:sz w:val="21"/>
                <w:szCs w:val="21"/>
              </w:rPr>
              <w:t>Nationale EPD-Systeme sind an der Staatsgrenze hermetisch abgeschottet.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0274415" w14:textId="77777777" w:rsidR="00FA4EDF" w:rsidRDefault="00FA4EDF">
            <w:pPr>
              <w:spacing w:before="200" w:after="360"/>
              <w:rPr>
                <w:rFonts w:eastAsia="Times New Roman"/>
                <w:sz w:val="21"/>
                <w:szCs w:val="21"/>
              </w:rPr>
            </w:pPr>
            <w:r>
              <w:rPr>
                <w:rFonts w:eastAsia="Times New Roman"/>
                <w:sz w:val="21"/>
                <w:szCs w:val="21"/>
              </w:rPr>
              <w:t>Die Familie kümmert sich selbst um die Unterlagen. Der Patient wird zum einzigen Bindeglied zwischen zwei Systemen.</w:t>
            </w:r>
          </w:p>
        </w:tc>
      </w:tr>
      <w:tr w:rsidR="00000000" w14:paraId="724BC725"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60E4D2" w14:textId="77777777" w:rsidR="00FA4EDF" w:rsidRDefault="00FA4EDF">
            <w:pPr>
              <w:spacing w:before="200" w:after="360"/>
              <w:rPr>
                <w:rFonts w:eastAsia="Times New Roman"/>
                <w:sz w:val="21"/>
                <w:szCs w:val="21"/>
              </w:rPr>
            </w:pPr>
            <w:r>
              <w:rPr>
                <w:rStyle w:val="Zwaar"/>
                <w:rFonts w:eastAsia="Times New Roman"/>
                <w:sz w:val="21"/>
                <w:szCs w:val="21"/>
              </w:rPr>
              <w:t>Politik ↔ Umsetzung</w:t>
            </w:r>
            <w:r>
              <w:rPr>
                <w:rFonts w:eastAsia="Times New Roman"/>
                <w:sz w:val="21"/>
                <w:szCs w:val="21"/>
              </w:rPr>
              <w:br/>
            </w:r>
            <w:r>
              <w:rPr>
                <w:rStyle w:val="Zwaar"/>
                <w:rFonts w:eastAsia="Times New Roman"/>
                <w:sz w:val="21"/>
                <w:szCs w:val="21"/>
              </w:rPr>
              <w:t>:</w:t>
            </w:r>
            <w:r>
              <w:rPr>
                <w:rFonts w:eastAsia="Times New Roman"/>
                <w:sz w:val="21"/>
                <w:szCs w:val="21"/>
              </w:rPr>
              <w:t xml:space="preserve"> Bundesparlament (BE) &amp; Zweite Kammer (NL)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371C17" w14:textId="77777777" w:rsidR="00FA4EDF" w:rsidRDefault="00FA4EDF">
            <w:pPr>
              <w:spacing w:before="200" w:after="360"/>
              <w:rPr>
                <w:rFonts w:eastAsia="Times New Roman"/>
                <w:sz w:val="21"/>
                <w:szCs w:val="21"/>
              </w:rPr>
            </w:pPr>
            <w:r>
              <w:rPr>
                <w:rFonts w:eastAsia="Times New Roman"/>
                <w:sz w:val="21"/>
                <w:szCs w:val="21"/>
              </w:rPr>
              <w:t>Die Parlamente sind die oberste gesetzgebende Gewalt und üben die Kontrolle über die Regierung aus.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3D62FD" w14:textId="77777777" w:rsidR="00FA4EDF" w:rsidRDefault="00FA4EDF">
            <w:pPr>
              <w:spacing w:before="200" w:after="360"/>
              <w:rPr>
                <w:rFonts w:eastAsia="Times New Roman"/>
                <w:sz w:val="21"/>
                <w:szCs w:val="21"/>
              </w:rPr>
            </w:pPr>
            <w:r>
              <w:rPr>
                <w:rFonts w:eastAsia="Times New Roman"/>
                <w:sz w:val="21"/>
                <w:szCs w:val="21"/>
              </w:rPr>
              <w:t>Die Politik greift nicht in einzelne Durchführungsfälle ein.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50B6C70" w14:textId="77777777" w:rsidR="00FA4EDF" w:rsidRDefault="00FA4EDF">
            <w:pPr>
              <w:spacing w:before="200" w:after="360"/>
              <w:rPr>
                <w:rFonts w:eastAsia="Times New Roman"/>
                <w:sz w:val="21"/>
                <w:szCs w:val="21"/>
              </w:rPr>
            </w:pPr>
            <w:r>
              <w:rPr>
                <w:rFonts w:eastAsia="Times New Roman"/>
                <w:sz w:val="21"/>
                <w:szCs w:val="21"/>
              </w:rPr>
              <w:t>Strukturelle Mängel im Gesetz bleiben auch bei der Umsetzung bestehen.</w:t>
            </w:r>
          </w:p>
        </w:tc>
      </w:tr>
      <w:tr w:rsidR="00000000" w14:paraId="35BD3195"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23DB10" w14:textId="77777777" w:rsidR="00FA4EDF" w:rsidRDefault="00FA4EDF">
            <w:pPr>
              <w:spacing w:before="200" w:after="360"/>
              <w:rPr>
                <w:rFonts w:eastAsia="Times New Roman"/>
                <w:sz w:val="21"/>
                <w:szCs w:val="21"/>
              </w:rPr>
            </w:pPr>
            <w:r>
              <w:rPr>
                <w:rStyle w:val="Zwaar"/>
                <w:rFonts w:eastAsia="Times New Roman"/>
                <w:sz w:val="21"/>
                <w:szCs w:val="21"/>
              </w:rPr>
              <w:t>EU ↔ Mitgliedstaaten</w:t>
            </w:r>
            <w:r>
              <w:rPr>
                <w:rFonts w:eastAsia="Times New Roman"/>
                <w:sz w:val="21"/>
                <w:szCs w:val="21"/>
              </w:rPr>
              <w:br/>
            </w:r>
            <w:r>
              <w:rPr>
                <w:rStyle w:val="badge-eu1"/>
                <w:rFonts w:eastAsia="Times New Roman"/>
                <w:sz w:val="21"/>
                <w:szCs w:val="21"/>
              </w:rPr>
              <w:t>EU-Außenhülle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97E222" w14:textId="77777777" w:rsidR="00FA4EDF" w:rsidRDefault="00FA4EDF">
            <w:pPr>
              <w:spacing w:before="200" w:after="360"/>
              <w:rPr>
                <w:rFonts w:eastAsia="Times New Roman"/>
                <w:sz w:val="21"/>
                <w:szCs w:val="21"/>
              </w:rPr>
            </w:pPr>
            <w:r>
              <w:rPr>
                <w:rFonts w:eastAsia="Times New Roman"/>
                <w:sz w:val="21"/>
                <w:szCs w:val="21"/>
              </w:rPr>
              <w:t>Das Unionsrecht hat Vorrang vor nationalem Recht (Verordnung 883/2004).</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CB0CB8" w14:textId="77777777" w:rsidR="00FA4EDF" w:rsidRDefault="00FA4EDF">
            <w:pPr>
              <w:spacing w:before="200" w:after="360"/>
              <w:rPr>
                <w:rFonts w:eastAsia="Times New Roman"/>
                <w:sz w:val="21"/>
                <w:szCs w:val="21"/>
              </w:rPr>
            </w:pPr>
            <w:r>
              <w:rPr>
                <w:rFonts w:eastAsia="Times New Roman"/>
                <w:sz w:val="21"/>
                <w:szCs w:val="21"/>
              </w:rPr>
              <w:t>Der EU fehlt eine eigene Anlaufstelle für die Umsetzung. SOLVIT ist unverbindlich. ELA lehnt Bürger ab.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BB3A490" w14:textId="77777777" w:rsidR="00FA4EDF" w:rsidRDefault="00FA4EDF">
            <w:pPr>
              <w:spacing w:before="200" w:after="360"/>
              <w:rPr>
                <w:rFonts w:eastAsia="Times New Roman"/>
                <w:sz w:val="21"/>
                <w:szCs w:val="21"/>
              </w:rPr>
            </w:pPr>
            <w:r>
              <w:rPr>
                <w:rFonts w:eastAsia="Times New Roman"/>
                <w:sz w:val="21"/>
                <w:szCs w:val="21"/>
              </w:rPr>
              <w:t>Zirkelschluss zwischen Brüssel und den nationalen Hauptstädten.</w:t>
            </w:r>
          </w:p>
        </w:tc>
      </w:tr>
      <w:tr w:rsidR="00000000" w14:paraId="4D4906E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23F1FA" w14:textId="77777777" w:rsidR="00FA4EDF" w:rsidRDefault="00FA4EDF">
            <w:pPr>
              <w:spacing w:before="200" w:after="360"/>
              <w:rPr>
                <w:rFonts w:eastAsia="Times New Roman"/>
                <w:sz w:val="21"/>
                <w:szCs w:val="21"/>
              </w:rPr>
            </w:pPr>
            <w:r>
              <w:rPr>
                <w:rStyle w:val="Zwaar"/>
                <w:rFonts w:eastAsia="Times New Roman"/>
                <w:sz w:val="21"/>
                <w:szCs w:val="21"/>
              </w:rPr>
              <w:t>Symbolik</w:t>
            </w:r>
            <w:r>
              <w:rPr>
                <w:rFonts w:eastAsia="Times New Roman"/>
                <w:sz w:val="21"/>
                <w:szCs w:val="21"/>
              </w:rPr>
              <w:br/>
              <w:t>des Königlichen Palasts in Belgien und des Königshauses in den Niederlanden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06DD4A" w14:textId="77777777" w:rsidR="00FA4EDF" w:rsidRDefault="00FA4EDF">
            <w:pPr>
              <w:spacing w:before="200" w:after="360"/>
              <w:rPr>
                <w:rFonts w:eastAsia="Times New Roman"/>
                <w:sz w:val="21"/>
                <w:szCs w:val="21"/>
              </w:rPr>
            </w:pPr>
            <w:r>
              <w:rPr>
                <w:rFonts w:eastAsia="Times New Roman"/>
                <w:sz w:val="21"/>
                <w:szCs w:val="21"/>
              </w:rPr>
              <w:t>Verfassungsmäßiges Staatsoberhaupt, keine Exekutivgewalt.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640EB6" w14:textId="77777777" w:rsidR="00FA4EDF" w:rsidRDefault="00FA4EDF">
            <w:pPr>
              <w:spacing w:before="200" w:after="360"/>
              <w:rPr>
                <w:rFonts w:eastAsia="Times New Roman"/>
                <w:sz w:val="21"/>
                <w:szCs w:val="21"/>
              </w:rPr>
            </w:pPr>
            <w:r>
              <w:rPr>
                <w:rFonts w:eastAsia="Times New Roman"/>
                <w:sz w:val="21"/>
                <w:szCs w:val="21"/>
              </w:rPr>
              <w:t>Offizieller Briefkasten. Eingaben werden an den Minister weitergeleitet.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954A1C" w14:textId="77777777" w:rsidR="00FA4EDF" w:rsidRDefault="00FA4EDF">
            <w:pPr>
              <w:spacing w:before="200" w:after="360"/>
              <w:rPr>
                <w:rFonts w:eastAsia="Times New Roman"/>
                <w:sz w:val="21"/>
                <w:szCs w:val="21"/>
              </w:rPr>
            </w:pPr>
            <w:r>
              <w:rPr>
                <w:rFonts w:eastAsia="Times New Roman"/>
                <w:sz w:val="21"/>
                <w:szCs w:val="21"/>
              </w:rPr>
              <w:t>Die Endhaltestelle leitet die Briefe zurück an die Startposition in Ebene 1.</w:t>
            </w:r>
          </w:p>
        </w:tc>
      </w:tr>
    </w:tbl>
    <w:p w14:paraId="059A0FE8" w14:textId="77777777" w:rsidR="00FA4EDF" w:rsidRDefault="00FA4EDF">
      <w:pPr>
        <w:pStyle w:val="noot"/>
        <w:spacing w:after="120" w:afterAutospacing="0"/>
        <w:divId w:val="982394320"/>
        <w:rPr>
          <w:lang w:val="de-DE"/>
        </w:rPr>
      </w:pPr>
      <w:r>
        <w:rPr>
          <w:lang w:val="de-DE"/>
        </w:rPr>
        <w:t>Alle in diesem Kapitel genannten Organisationen sind juristische Personen; ihre Namen sind öffentlich und werden in Dokument B aufgeführt. Natürliche Personen werden ausschließlich mit ihrer Funktion oder einem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xml:space="preserve">, kleines </w:t>
      </w:r>
      <w:r>
        <w:rPr>
          <w:rFonts w:ascii="Segoe UI Symbol" w:hAnsi="Segoe UI Symbol" w:cs="Segoe UI Symbol"/>
          <w:lang w:val="de-DE"/>
        </w:rPr>
        <w:t>♂</w:t>
      </w:r>
      <w:r>
        <w:rPr>
          <w:lang w:val="de-DE"/>
        </w:rPr>
        <w:t>) bezeichnet. Dies ist sowohl eine methodische Entscheidung als auch eine Verpflichtung gem</w:t>
      </w:r>
      <w:r>
        <w:rPr>
          <w:rFonts w:cs="Aptos"/>
          <w:lang w:val="de-DE"/>
        </w:rPr>
        <w:t>äß</w:t>
      </w:r>
      <w:r>
        <w:rPr>
          <w:lang w:val="de-DE"/>
        </w:rPr>
        <w:t xml:space="preserve"> der Datenschutz-Grundverordnung. Der Verfasser dieses Dossiers ist der betreffende Patient; er ist berechtigt, seine eigenen medizinischen und administrativen Daten zu ver</w:t>
      </w:r>
      <w:r>
        <w:rPr>
          <w:rFonts w:cs="Aptos"/>
          <w:lang w:val="de-DE"/>
        </w:rPr>
        <w:t>ö</w:t>
      </w:r>
      <w:r>
        <w:rPr>
          <w:lang w:val="de-DE"/>
        </w:rPr>
        <w:t>ffentlichen.</w:t>
      </w:r>
    </w:p>
    <w:p w14:paraId="132CAB81" w14:textId="77777777" w:rsidR="00FA4EDF" w:rsidRDefault="00FA4EDF">
      <w:pPr>
        <w:pStyle w:val="marker"/>
        <w:ind w:left="800" w:right="800"/>
        <w:divId w:val="982394320"/>
        <w:rPr>
          <w:lang w:val="de-DE"/>
        </w:rPr>
      </w:pPr>
      <w:r>
        <w:br w:type="page"/>
      </w:r>
    </w:p>
    <w:p w14:paraId="5843A6DE" w14:textId="77777777" w:rsidR="00FA4EDF" w:rsidRDefault="00FA4EDF">
      <w:pPr>
        <w:pStyle w:val="Kop2"/>
        <w:divId w:val="982394320"/>
        <w:rPr>
          <w:rFonts w:eastAsia="Times New Roman"/>
          <w:lang w:val="de-DE"/>
        </w:rPr>
      </w:pPr>
      <w:bookmarkStart w:id="18" w:name="_Toc242103054"/>
      <w:r>
        <w:rPr>
          <w:rFonts w:eastAsia="Times New Roman"/>
          <w:lang w:val="de-DE"/>
        </w:rPr>
        <w:t>Die Kaskade</w:t>
      </w:r>
      <w:bookmarkEnd w:id="18"/>
    </w:p>
    <w:p w14:paraId="366572DC" w14:textId="77777777" w:rsidR="00FA4EDF" w:rsidRDefault="00FA4EDF">
      <w:pPr>
        <w:pStyle w:val="lead"/>
        <w:divId w:val="982394320"/>
        <w:rPr>
          <w:lang w:val="de-DE"/>
        </w:rPr>
      </w:pPr>
      <w:r>
        <w:rPr>
          <w:lang w:val="de-DE"/>
        </w:rPr>
        <w:t>Block II zeigt gleich die Töpfe, den Mechanismus und die Entscheidung. Dieses Kapitel zeigt, was passiert, wenn der Mechanismus und die Entscheidung auf eine Familie, in einer Zeitlinie zusammenkommen – mit einer sichtbaren Folge: einem leeren Bankkonto.</w:t>
      </w:r>
    </w:p>
    <w:p w14:paraId="6CF43517" w14:textId="77777777" w:rsidR="00FA4EDF" w:rsidRDefault="00FA4EDF">
      <w:pPr>
        <w:pStyle w:val="Kop3"/>
        <w:divId w:val="982394320"/>
        <w:rPr>
          <w:rFonts w:eastAsia="Times New Roman"/>
          <w:lang w:val="de-DE"/>
        </w:rPr>
      </w:pPr>
      <w:bookmarkStart w:id="19" w:name="_Toc242103055"/>
      <w:r>
        <w:rPr>
          <w:rFonts w:eastAsia="Times New Roman"/>
          <w:lang w:val="de-DE"/>
        </w:rPr>
        <w:t>Bild 1 — Der Auslöser</w:t>
      </w:r>
      <w:bookmarkEnd w:id="19"/>
    </w:p>
    <w:p w14:paraId="6FA5A505" w14:textId="77777777" w:rsidR="00FA4EDF" w:rsidRDefault="00FA4EDF">
      <w:pPr>
        <w:pStyle w:val="tijd"/>
        <w:divId w:val="982394320"/>
        <w:rPr>
          <w:lang w:val="de-DE"/>
        </w:rPr>
      </w:pPr>
      <w:r>
        <w:rPr>
          <w:lang w:val="de-DE"/>
        </w:rPr>
        <w:t>11. April 2025 · Woche 1</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A02F7D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0B89FC9" w14:textId="77777777" w:rsidR="00FA4EDF" w:rsidRDefault="00FA4EDF">
            <w:pPr>
              <w:pStyle w:val="Normaalweb"/>
              <w:spacing w:before="120"/>
              <w:jc w:val="center"/>
              <w:rPr>
                <w:sz w:val="21"/>
                <w:szCs w:val="21"/>
              </w:rPr>
            </w:pPr>
            <w:r>
              <w:rPr>
                <w:noProof/>
                <w:sz w:val="21"/>
                <w:szCs w:val="21"/>
              </w:rPr>
              <w:drawing>
                <wp:inline distT="0" distB="0" distL="0" distR="0" wp14:anchorId="5F709FB7" wp14:editId="12D4CB03">
                  <wp:extent cx="3810000" cy="99060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05D6BC50" w14:textId="77777777" w:rsidR="00FA4EDF" w:rsidRDefault="00FA4EDF">
            <w:pPr>
              <w:pStyle w:val="caption"/>
              <w:spacing w:after="120" w:afterAutospacing="0"/>
            </w:pPr>
            <w:r>
              <w:t>Der Körper wird eingeliefert. Der medizinische Bericht und die Rechnung werden getrennt: Der Bericht verbleibt im Krankenhaus, die Rechnung geht an die Krankenkasse. Die Zuzahlung wird direkt vom Bankkonto abgebucht.</w:t>
            </w:r>
          </w:p>
        </w:tc>
      </w:tr>
    </w:tbl>
    <w:p w14:paraId="7EE9F3F3" w14:textId="77777777" w:rsidR="00FA4EDF" w:rsidRDefault="00FA4EDF">
      <w:pPr>
        <w:pStyle w:val="Kop3"/>
        <w:divId w:val="982394320"/>
        <w:rPr>
          <w:rFonts w:eastAsia="Times New Roman"/>
          <w:lang w:val="de-DE"/>
        </w:rPr>
      </w:pPr>
      <w:bookmarkStart w:id="20" w:name="_Toc242103056"/>
      <w:r>
        <w:rPr>
          <w:rFonts w:eastAsia="Times New Roman"/>
          <w:lang w:val="de-DE"/>
        </w:rPr>
        <w:t>Bild 2 — Was weiterfließt</w:t>
      </w:r>
      <w:bookmarkEnd w:id="20"/>
    </w:p>
    <w:p w14:paraId="7040A81C" w14:textId="77777777" w:rsidR="00FA4EDF" w:rsidRDefault="00FA4EDF">
      <w:pPr>
        <w:pStyle w:val="tijd"/>
        <w:divId w:val="982394320"/>
        <w:rPr>
          <w:lang w:val="de-DE"/>
        </w:rPr>
      </w:pPr>
      <w:r>
        <w:rPr>
          <w:lang w:val="de-DE"/>
        </w:rPr>
        <w:t>fortlaufend · ab Tag 1</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EC6556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B7E3DAB" w14:textId="77777777" w:rsidR="00FA4EDF" w:rsidRDefault="00FA4EDF">
            <w:pPr>
              <w:pStyle w:val="Normaalweb"/>
              <w:spacing w:before="120"/>
              <w:jc w:val="center"/>
              <w:rPr>
                <w:sz w:val="21"/>
                <w:szCs w:val="21"/>
              </w:rPr>
            </w:pPr>
            <w:r>
              <w:rPr>
                <w:noProof/>
                <w:sz w:val="21"/>
                <w:szCs w:val="21"/>
              </w:rPr>
              <w:drawing>
                <wp:inline distT="0" distB="0" distL="0" distR="0" wp14:anchorId="29B1D7AB" wp14:editId="2C354640">
                  <wp:extent cx="3810000" cy="11430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3510C0EF" w14:textId="77777777" w:rsidR="00FA4EDF" w:rsidRDefault="00FA4EDF">
            <w:pPr>
              <w:pStyle w:val="caption"/>
              <w:spacing w:after="120" w:afterAutospacing="0"/>
            </w:pPr>
            <w:r>
              <w:t>Eine Linie fließt ununterbrochen weiter: die der Mutter. Alles, was der Vater einbringt, kommt zum Stillstand.</w:t>
            </w:r>
          </w:p>
        </w:tc>
      </w:tr>
    </w:tbl>
    <w:p w14:paraId="79C67228" w14:textId="77777777" w:rsidR="00FA4EDF" w:rsidRDefault="00FA4EDF">
      <w:pPr>
        <w:pStyle w:val="Kop3"/>
        <w:divId w:val="982394320"/>
        <w:rPr>
          <w:rFonts w:eastAsia="Times New Roman"/>
          <w:lang w:val="de-DE"/>
        </w:rPr>
      </w:pPr>
      <w:bookmarkStart w:id="21" w:name="_Toc242103057"/>
      <w:r>
        <w:rPr>
          <w:rFonts w:eastAsia="Times New Roman"/>
          <w:lang w:val="de-DE"/>
        </w:rPr>
        <w:t>Bild 3 – Was ausläuft</w:t>
      </w:r>
      <w:bookmarkEnd w:id="21"/>
    </w:p>
    <w:p w14:paraId="4D165567" w14:textId="77777777" w:rsidR="00FA4EDF" w:rsidRDefault="00FA4EDF">
      <w:pPr>
        <w:pStyle w:val="tijd"/>
        <w:divId w:val="982394320"/>
        <w:rPr>
          <w:lang w:val="de-DE"/>
        </w:rPr>
      </w:pPr>
      <w:r>
        <w:rPr>
          <w:lang w:val="de-DE"/>
        </w:rPr>
        <w:t>April 2025 · fortlaufend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7C1BCD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CD72768" w14:textId="77777777" w:rsidR="00FA4EDF" w:rsidRDefault="00FA4EDF">
            <w:pPr>
              <w:pStyle w:val="Normaalweb"/>
              <w:spacing w:before="120"/>
              <w:jc w:val="center"/>
              <w:rPr>
                <w:sz w:val="21"/>
                <w:szCs w:val="21"/>
              </w:rPr>
            </w:pPr>
            <w:r>
              <w:rPr>
                <w:noProof/>
                <w:sz w:val="21"/>
                <w:szCs w:val="21"/>
              </w:rPr>
              <w:drawing>
                <wp:inline distT="0" distB="0" distL="0" distR="0" wp14:anchorId="1DB287BC" wp14:editId="4D82C10F">
                  <wp:extent cx="3810000" cy="12192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150FBC91" w14:textId="77777777" w:rsidR="00FA4EDF" w:rsidRDefault="00FA4EDF">
            <w:pPr>
              <w:pStyle w:val="caption"/>
              <w:spacing w:after="120" w:afterAutospacing="0"/>
            </w:pPr>
            <w:r>
              <w:t>Während das Gehalt der Mutter hereinkommt, fließt es auf der anderen Seite wieder ab. Klein und vorhersehbar oder groß und plötzlich. Das Reservoir leert sich.</w:t>
            </w:r>
          </w:p>
        </w:tc>
      </w:tr>
    </w:tbl>
    <w:p w14:paraId="7E76B72E" w14:textId="77777777" w:rsidR="00FA4EDF" w:rsidRDefault="00FA4EDF">
      <w:pPr>
        <w:pStyle w:val="Kop3"/>
        <w:divId w:val="982394320"/>
        <w:rPr>
          <w:rFonts w:eastAsia="Times New Roman"/>
          <w:lang w:val="de-DE"/>
        </w:rPr>
      </w:pPr>
      <w:bookmarkStart w:id="22" w:name="_Toc242103058"/>
      <w:r>
        <w:rPr>
          <w:rFonts w:eastAsia="Times New Roman"/>
          <w:lang w:val="de-DE"/>
        </w:rPr>
        <w:t>Bild 4 – Was nicht hereinkommt</w:t>
      </w:r>
      <w:bookmarkEnd w:id="22"/>
    </w:p>
    <w:p w14:paraId="2B5E648F" w14:textId="77777777" w:rsidR="00FA4EDF" w:rsidRDefault="00FA4EDF">
      <w:pPr>
        <w:pStyle w:val="tijd"/>
        <w:divId w:val="982394320"/>
        <w:rPr>
          <w:lang w:val="de-DE"/>
        </w:rPr>
      </w:pPr>
      <w:r>
        <w:rPr>
          <w:lang w:val="de-DE"/>
        </w:rPr>
        <w:t>Mai 2025 – September 2026 · gesperrt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A93C1A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F449DBC" w14:textId="77777777" w:rsidR="00FA4EDF" w:rsidRDefault="00FA4EDF">
            <w:pPr>
              <w:pStyle w:val="Normaalweb"/>
              <w:spacing w:before="120"/>
              <w:jc w:val="center"/>
              <w:rPr>
                <w:sz w:val="21"/>
                <w:szCs w:val="21"/>
              </w:rPr>
            </w:pPr>
            <w:r>
              <w:rPr>
                <w:noProof/>
                <w:sz w:val="21"/>
                <w:szCs w:val="21"/>
              </w:rPr>
              <w:drawing>
                <wp:inline distT="0" distB="0" distL="0" distR="0" wp14:anchorId="62F733F6" wp14:editId="2E6AAD2F">
                  <wp:extent cx="3810000" cy="15240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666422B1" w14:textId="77777777" w:rsidR="00FA4EDF" w:rsidRDefault="00FA4EDF">
            <w:pPr>
              <w:pStyle w:val="caption"/>
              <w:spacing w:after="120" w:afterAutospacing="0"/>
            </w:pPr>
            <w:r>
              <w:t>Fünf Kanäle müssten fließen, um den Verlust des Einkommens auszugleichen. Vier sind blockiert. Ein kleiner Kanal – das Kindergeld – hält die Familie gerade noch über der Nullgrenze.</w:t>
            </w:r>
          </w:p>
        </w:tc>
      </w:tr>
    </w:tbl>
    <w:p w14:paraId="01783BD2" w14:textId="77777777" w:rsidR="00FA4EDF" w:rsidRDefault="00FA4EDF">
      <w:pPr>
        <w:pStyle w:val="Kop3"/>
        <w:divId w:val="982394320"/>
        <w:rPr>
          <w:rFonts w:eastAsia="Times New Roman"/>
          <w:lang w:val="de-DE"/>
        </w:rPr>
      </w:pPr>
      <w:bookmarkStart w:id="23" w:name="_Toc242103059"/>
      <w:r>
        <w:rPr>
          <w:rFonts w:eastAsia="Times New Roman"/>
          <w:lang w:val="de-DE"/>
        </w:rPr>
        <w:t>Bild 5 – Das Ergebnis</w:t>
      </w:r>
      <w:bookmarkEnd w:id="23"/>
    </w:p>
    <w:p w14:paraId="7C9BA434" w14:textId="77777777" w:rsidR="00FA4EDF" w:rsidRDefault="00FA4EDF">
      <w:pPr>
        <w:pStyle w:val="tijd"/>
        <w:divId w:val="982394320"/>
        <w:rPr>
          <w:lang w:val="de-DE"/>
        </w:rPr>
      </w:pPr>
      <w:r>
        <w:rPr>
          <w:lang w:val="de-DE"/>
        </w:rPr>
        <w:t>Herbst 2026 · achtzehn Monate später</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6F68723"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9F75294" w14:textId="77777777" w:rsidR="00FA4EDF" w:rsidRDefault="00FA4EDF">
            <w:pPr>
              <w:pStyle w:val="Normaalweb"/>
              <w:spacing w:before="120"/>
              <w:jc w:val="center"/>
              <w:rPr>
                <w:sz w:val="21"/>
                <w:szCs w:val="21"/>
              </w:rPr>
            </w:pPr>
            <w:r>
              <w:rPr>
                <w:noProof/>
                <w:sz w:val="21"/>
                <w:szCs w:val="21"/>
              </w:rPr>
              <w:drawing>
                <wp:inline distT="0" distB="0" distL="0" distR="0" wp14:anchorId="20E3B3B8" wp14:editId="6B29673E">
                  <wp:extent cx="3810000" cy="1295400"/>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2027EE87" w14:textId="77777777" w:rsidR="00FA4EDF" w:rsidRDefault="00FA4EDF">
            <w:pPr>
              <w:pStyle w:val="caption"/>
              <w:spacing w:after="120" w:afterAutospacing="0"/>
            </w:pPr>
            <w:r>
              <w:t>Achtzehn Monate später ist das Konto im Minus. Die Geschäftsbank bietet eine Lösung mit Sanktionen an. Das Inkassobüro wurde eingeschaltet. Und das System, das dies hätte auffangen sollen, liefert nach wie vor keine Ergebnisse.</w:t>
            </w:r>
          </w:p>
        </w:tc>
      </w:tr>
    </w:tbl>
    <w:p w14:paraId="2AAB183E" w14:textId="77777777" w:rsidR="00FA4EDF" w:rsidRDefault="00FA4EDF">
      <w:pPr>
        <w:divId w:val="982394320"/>
        <w:rPr>
          <w:rFonts w:eastAsia="Times New Roman"/>
          <w:vanish/>
          <w:lang w:val="de-DE"/>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0DCD7E0"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00CDC3CA" w14:textId="77777777" w:rsidR="00FA4EDF" w:rsidRDefault="00FA4EDF">
            <w:pPr>
              <w:spacing w:before="240" w:after="240"/>
              <w:rPr>
                <w:rFonts w:eastAsia="Times New Roman"/>
                <w:szCs w:val="22"/>
              </w:rPr>
            </w:pPr>
            <w:r>
              <w:rPr>
                <w:rFonts w:eastAsia="Times New Roman"/>
                <w:szCs w:val="22"/>
              </w:rPr>
              <w:t xml:space="preserve">Die Kaskade ist keine Kette von Fehlern. Es handelt sich um einen einzigen Mechanismus, der auf ein einziges Ereignis auf fünf verschiedene Arten reagiert. Jedes Glied hat sein eigenes Gesetz, seine eigene Anlaufstelle, seine eigene Logik. Kein Glied sieht das nächste. Und das Bankkonto ist der einzige Ort, an dem alle Glieder zusammenkommen – als Ergebnis, nicht als Ursache. </w:t>
            </w:r>
          </w:p>
        </w:tc>
      </w:tr>
    </w:tbl>
    <w:p w14:paraId="63528EC1" w14:textId="77777777" w:rsidR="00FA4EDF" w:rsidRDefault="00FA4EDF">
      <w:pPr>
        <w:pStyle w:val="noot"/>
        <w:spacing w:after="120" w:afterAutospacing="0"/>
        <w:divId w:val="982394320"/>
        <w:rPr>
          <w:lang w:val="de-DE"/>
        </w:rPr>
      </w:pPr>
      <w:r>
        <w:rPr>
          <w:lang w:val="de-DE"/>
        </w:rPr>
        <w:t>Die Angaben basieren auf Dokument B. Die Beträge sind in den jeweiligen Einträgen der einzelnen Organisationen zu finden. Natürliche Personen werden mit Symbolen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xml:space="preserve">) gekennzeichnet; Organisationen mit ihrem </w:t>
      </w:r>
      <w:r>
        <w:rPr>
          <w:rFonts w:cs="Aptos"/>
          <w:lang w:val="de-DE"/>
        </w:rPr>
        <w:t>ö</w:t>
      </w:r>
      <w:r>
        <w:rPr>
          <w:lang w:val="de-DE"/>
        </w:rPr>
        <w:t>ffentlichen Namen.</w:t>
      </w:r>
    </w:p>
    <w:p w14:paraId="584BB797" w14:textId="77777777" w:rsidR="00FA4EDF" w:rsidRDefault="00FA4EDF">
      <w:pPr>
        <w:pStyle w:val="marker"/>
        <w:ind w:left="800" w:right="800"/>
        <w:divId w:val="982394320"/>
        <w:rPr>
          <w:lang w:val="de-DE"/>
        </w:rPr>
      </w:pPr>
      <w:r>
        <w:br w:type="page"/>
      </w:r>
    </w:p>
    <w:p w14:paraId="11D83C8D" w14:textId="77777777" w:rsidR="00FA4EDF" w:rsidRDefault="00FA4EDF">
      <w:pPr>
        <w:pStyle w:val="Kop1"/>
        <w:divId w:val="982394320"/>
        <w:rPr>
          <w:rFonts w:eastAsia="Times New Roman"/>
          <w:lang w:val="de-DE"/>
        </w:rPr>
      </w:pPr>
      <w:bookmarkStart w:id="24" w:name="_Toc242103060"/>
      <w:r>
        <w:rPr>
          <w:rFonts w:eastAsia="Times New Roman"/>
          <w:lang w:val="de-DE"/>
        </w:rPr>
        <w:t>II. Belgien</w:t>
      </w:r>
      <w:bookmarkEnd w:id="24"/>
    </w:p>
    <w:p w14:paraId="2F97A6FE" w14:textId="77777777" w:rsidR="00FA4EDF" w:rsidRDefault="00FA4EDF">
      <w:pPr>
        <w:pStyle w:val="Kop2"/>
        <w:divId w:val="982394320"/>
        <w:rPr>
          <w:rFonts w:eastAsia="Times New Roman"/>
          <w:lang w:val="de-DE"/>
        </w:rPr>
      </w:pPr>
      <w:bookmarkStart w:id="25" w:name="_Toc242103061"/>
      <w:r>
        <w:rPr>
          <w:rFonts w:eastAsia="Times New Roman"/>
          <w:lang w:val="de-DE"/>
        </w:rPr>
        <w:t>Die Töpfe und der Kopplungsverkauf</w:t>
      </w:r>
      <w:bookmarkEnd w:id="25"/>
    </w:p>
    <w:p w14:paraId="67EE39D5" w14:textId="77777777" w:rsidR="00FA4EDF" w:rsidRDefault="00FA4EDF">
      <w:pPr>
        <w:pStyle w:val="lead"/>
        <w:divId w:val="982394320"/>
        <w:rPr>
          <w:lang w:val="de-DE"/>
        </w:rPr>
      </w:pPr>
      <w:r>
        <w:rPr>
          <w:lang w:val="de-DE"/>
        </w:rPr>
        <w:t>Eine Familie, die aufgrund einer Krankheit ihr Einkommen verliert, kann in Belgien und den Niederlanden eine Reihe von Beihilfen beantragen. Diese verteilen sich auf zwei Länder, zwei Steuersysteme, zwei Sozialversicherungssysteme und zwei unterschiedliche Logiken der Leistungsgewährung. In diesem Kapitel wird zunächst eine Bestandsaufnahme der verfügbaren Fördermittel vorgenommen. Anschließend wird aufgezeigt, warum die meisten dieser Fördermöglichkeiten ungenutzt bleiben – nicht aufgrund einer einzigen Ur</w:t>
      </w:r>
      <w:r>
        <w:rPr>
          <w:lang w:val="de-DE"/>
        </w:rPr>
        <w:t>sache, sondern aufgrund eines Mechanismus, der in beiden Ländern immer wieder auftritt.</w:t>
      </w:r>
    </w:p>
    <w:p w14:paraId="392D9F3C" w14:textId="77777777" w:rsidR="00FA4EDF" w:rsidRDefault="00FA4EDF">
      <w:pPr>
        <w:pStyle w:val="Kop3"/>
        <w:divId w:val="982394320"/>
        <w:rPr>
          <w:rFonts w:eastAsia="Times New Roman"/>
          <w:lang w:val="de-DE"/>
        </w:rPr>
      </w:pPr>
      <w:bookmarkStart w:id="26" w:name="_Toc242103062"/>
      <w:r>
        <w:rPr>
          <w:rFonts w:eastAsia="Times New Roman"/>
          <w:lang w:val="de-DE"/>
        </w:rPr>
        <w:t>Teil II-A – Die Töpfe</w:t>
      </w:r>
      <w:bookmarkEnd w:id="26"/>
    </w:p>
    <w:p w14:paraId="26428821" w14:textId="77777777" w:rsidR="00FA4EDF" w:rsidRDefault="00FA4EDF">
      <w:pPr>
        <w:pStyle w:val="Normaalweb"/>
        <w:divId w:val="982394320"/>
        <w:rPr>
          <w:lang w:val="de-DE"/>
        </w:rPr>
      </w:pPr>
      <w:r>
        <w:rPr>
          <w:lang w:val="de-DE"/>
        </w:rPr>
        <w:t>Die Familie hat theoretisch Anspruch auf die folgenden Beihilfen bzw. kann diese theoretisch beantragen. Der Status pro Fonds basiert auf Dokument B.</w:t>
      </w:r>
    </w:p>
    <w:p w14:paraId="616D30D4" w14:textId="77777777" w:rsidR="00FA4EDF" w:rsidRDefault="00FA4EDF">
      <w:pPr>
        <w:pStyle w:val="Kop4"/>
        <w:divId w:val="982394320"/>
        <w:rPr>
          <w:rFonts w:eastAsia="Times New Roman"/>
          <w:lang w:val="de-DE"/>
        </w:rPr>
      </w:pPr>
      <w:r>
        <w:rPr>
          <w:rFonts w:eastAsia="Times New Roman"/>
          <w:lang w:val="de-DE"/>
        </w:rPr>
        <w:t>Belgische Töpfe</w:t>
      </w:r>
    </w:p>
    <w:tbl>
      <w:tblPr>
        <w:tblW w:w="5000" w:type="pct"/>
        <w:tblCellMar>
          <w:top w:w="15" w:type="dxa"/>
          <w:left w:w="15" w:type="dxa"/>
          <w:bottom w:w="15" w:type="dxa"/>
          <w:right w:w="15" w:type="dxa"/>
        </w:tblCellMar>
        <w:tblLook w:val="04A0" w:firstRow="1" w:lastRow="0" w:firstColumn="1" w:lastColumn="0" w:noHBand="0" w:noVBand="1"/>
      </w:tblPr>
      <w:tblGrid>
        <w:gridCol w:w="3323"/>
        <w:gridCol w:w="1684"/>
        <w:gridCol w:w="2456"/>
        <w:gridCol w:w="2587"/>
      </w:tblGrid>
      <w:tr w:rsidR="00000000" w14:paraId="7FA22C02" w14:textId="77777777">
        <w:trPr>
          <w:divId w:val="982394320"/>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4F722DD"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Töpfchen</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80136B4"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Administrator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19C56A2"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Voraussetzung</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5B44404"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2FC630C0"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B7F51C6" w14:textId="77777777" w:rsidR="00FA4EDF" w:rsidRDefault="00FA4EDF">
            <w:pPr>
              <w:spacing w:before="200" w:after="360"/>
              <w:rPr>
                <w:rFonts w:eastAsia="Times New Roman"/>
                <w:sz w:val="21"/>
                <w:szCs w:val="21"/>
              </w:rPr>
            </w:pPr>
            <w:r>
              <w:rPr>
                <w:rStyle w:val="Zwaar"/>
                <w:rFonts w:eastAsia="Times New Roman"/>
                <w:sz w:val="21"/>
                <w:szCs w:val="21"/>
              </w:rPr>
              <w:t>Krankengeld</w:t>
            </w:r>
            <w:r>
              <w:rPr>
                <w:rFonts w:eastAsia="Times New Roman"/>
                <w:sz w:val="21"/>
                <w:szCs w:val="21"/>
              </w:rPr>
              <w:t xml:space="preserve"> (Arbeitsunfähigkeit, erstes Jahr)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70D4F3" w14:textId="77777777" w:rsidR="00FA4EDF" w:rsidRDefault="00FA4EDF">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A634B6" w14:textId="77777777" w:rsidR="00FA4EDF" w:rsidRDefault="00FA4EDF">
            <w:pPr>
              <w:spacing w:before="200" w:after="360"/>
              <w:rPr>
                <w:rFonts w:eastAsia="Times New Roman"/>
                <w:sz w:val="21"/>
                <w:szCs w:val="21"/>
              </w:rPr>
            </w:pPr>
            <w:r>
              <w:rPr>
                <w:rFonts w:eastAsia="Times New Roman"/>
                <w:sz w:val="21"/>
                <w:szCs w:val="21"/>
              </w:rPr>
              <w:t>Als arbeitsunfähig eingestuft + Wartezeit abgelaufen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840FA11"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Wartezeit von 180 Tagen wird bei der europäischen Anrechnung nicht berücksichtigt</w:t>
            </w:r>
          </w:p>
        </w:tc>
      </w:tr>
      <w:tr w:rsidR="00000000" w14:paraId="50F966C8"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48EFAB" w14:textId="77777777" w:rsidR="00FA4EDF" w:rsidRDefault="00FA4EDF">
            <w:pPr>
              <w:spacing w:before="200" w:after="360"/>
              <w:rPr>
                <w:rFonts w:eastAsia="Times New Roman"/>
                <w:sz w:val="21"/>
                <w:szCs w:val="21"/>
              </w:rPr>
            </w:pPr>
            <w:r>
              <w:rPr>
                <w:rStyle w:val="Zwaar"/>
                <w:rFonts w:eastAsia="Times New Roman"/>
                <w:sz w:val="21"/>
                <w:szCs w:val="21"/>
              </w:rPr>
              <w:t>Invaliditätsrente</w:t>
            </w:r>
            <w:r>
              <w:rPr>
                <w:rFonts w:eastAsia="Times New Roman"/>
                <w:sz w:val="21"/>
                <w:szCs w:val="21"/>
              </w:rPr>
              <w:t xml:space="preserve"> (nach einem Jahr Arbeitsunfähigkeit)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1F5C9F" w14:textId="77777777" w:rsidR="00FA4EDF" w:rsidRDefault="00FA4EDF">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311003" w14:textId="77777777" w:rsidR="00FA4EDF" w:rsidRDefault="00FA4EDF">
            <w:pPr>
              <w:spacing w:before="200" w:after="360"/>
              <w:rPr>
                <w:rFonts w:eastAsia="Times New Roman"/>
                <w:sz w:val="21"/>
                <w:szCs w:val="21"/>
              </w:rPr>
            </w:pPr>
            <w:r>
              <w:rPr>
                <w:rFonts w:eastAsia="Times New Roman"/>
                <w:sz w:val="21"/>
                <w:szCs w:val="21"/>
              </w:rPr>
              <w:t>Automatischer Übergang nach 365 Tagen Arbeitsunfähigkeit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400B2C"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fiktives Enddatum verhindert den Übergang</w:t>
            </w:r>
          </w:p>
        </w:tc>
      </w:tr>
      <w:tr w:rsidR="00000000" w14:paraId="600756F4"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E8F1A8" w14:textId="77777777" w:rsidR="00FA4EDF" w:rsidRDefault="00FA4EDF">
            <w:pPr>
              <w:spacing w:before="200" w:after="360"/>
              <w:rPr>
                <w:rFonts w:eastAsia="Times New Roman"/>
                <w:sz w:val="21"/>
                <w:szCs w:val="21"/>
              </w:rPr>
            </w:pPr>
            <w:r>
              <w:rPr>
                <w:rStyle w:val="Zwaar"/>
                <w:rFonts w:eastAsia="Times New Roman"/>
                <w:sz w:val="21"/>
                <w:szCs w:val="21"/>
              </w:rPr>
              <w:t>IVT</w:t>
            </w:r>
            <w:r>
              <w:rPr>
                <w:rFonts w:eastAsia="Times New Roman"/>
                <w:sz w:val="21"/>
                <w:szCs w:val="21"/>
              </w:rPr>
              <w:t xml:space="preserve"> (Einkommensersatzbeihilfe)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8B7C32" w14:textId="77777777" w:rsidR="00FA4EDF" w:rsidRDefault="00FA4EDF">
            <w:pPr>
              <w:spacing w:before="200" w:after="360"/>
              <w:rPr>
                <w:rFonts w:eastAsia="Times New Roman"/>
                <w:sz w:val="21"/>
                <w:szCs w:val="21"/>
              </w:rPr>
            </w:pPr>
            <w:r>
              <w:rPr>
                <w:rFonts w:eastAsia="Times New Roman"/>
                <w:sz w:val="21"/>
                <w:szCs w:val="21"/>
              </w:rPr>
              <w:t>FÖD Soziale Sicherheit / DG HAN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284C8C" w14:textId="77777777" w:rsidR="00FA4EDF" w:rsidRDefault="00FA4EDF">
            <w:pPr>
              <w:spacing w:before="200" w:after="360"/>
              <w:rPr>
                <w:rFonts w:eastAsia="Times New Roman"/>
                <w:sz w:val="21"/>
                <w:szCs w:val="21"/>
              </w:rPr>
            </w:pPr>
            <w:r>
              <w:rPr>
                <w:rFonts w:eastAsia="Times New Roman"/>
                <w:sz w:val="21"/>
                <w:szCs w:val="21"/>
              </w:rPr>
              <w:t>Anerkannte Behinderung + verminderte Erwerbsfähigkeit + Wohnsitz in Belgien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C0D9483"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Wohnsitzvoraussetzung, kein Wohnsitz in Belgien</w:t>
            </w:r>
          </w:p>
        </w:tc>
      </w:tr>
      <w:tr w:rsidR="00000000" w14:paraId="75795DD4"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9FC81A" w14:textId="77777777" w:rsidR="00FA4EDF" w:rsidRDefault="00FA4EDF">
            <w:pPr>
              <w:spacing w:before="200" w:after="360"/>
              <w:rPr>
                <w:rFonts w:eastAsia="Times New Roman"/>
                <w:sz w:val="21"/>
                <w:szCs w:val="21"/>
              </w:rPr>
            </w:pPr>
            <w:r>
              <w:rPr>
                <w:rStyle w:val="Zwaar"/>
                <w:rFonts w:eastAsia="Times New Roman"/>
                <w:sz w:val="21"/>
                <w:szCs w:val="21"/>
              </w:rPr>
              <w:t>Erhöhter Steuerfreibetrag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0CC51C7" w14:textId="77777777" w:rsidR="00FA4EDF" w:rsidRDefault="00FA4EDF">
            <w:pPr>
              <w:spacing w:before="200" w:after="360"/>
              <w:rPr>
                <w:rFonts w:eastAsia="Times New Roman"/>
                <w:sz w:val="21"/>
                <w:szCs w:val="21"/>
              </w:rPr>
            </w:pPr>
            <w:r>
              <w:rPr>
                <w:rFonts w:eastAsia="Times New Roman"/>
                <w:sz w:val="21"/>
                <w:szCs w:val="21"/>
              </w:rPr>
              <w:t>FÖD Finanzen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6A324F" w14:textId="77777777" w:rsidR="00FA4EDF" w:rsidRDefault="00FA4EDF">
            <w:pPr>
              <w:spacing w:before="200" w:after="360"/>
              <w:rPr>
                <w:rFonts w:eastAsia="Times New Roman"/>
                <w:sz w:val="21"/>
                <w:szCs w:val="21"/>
              </w:rPr>
            </w:pPr>
            <w:r>
              <w:rPr>
                <w:rFonts w:eastAsia="Times New Roman"/>
                <w:sz w:val="21"/>
                <w:szCs w:val="21"/>
              </w:rPr>
              <w:t>Anerkennung einer schweren Behinderung (9 Punkte)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18D393" w14:textId="77777777" w:rsidR="00FA4EDF" w:rsidRDefault="00FA4EDF">
            <w:pPr>
              <w:spacing w:before="200" w:after="360"/>
              <w:rPr>
                <w:rFonts w:eastAsia="Times New Roman"/>
                <w:sz w:val="21"/>
                <w:szCs w:val="21"/>
              </w:rPr>
            </w:pPr>
            <w:r>
              <w:rPr>
                <w:rFonts w:eastAsia="Times New Roman"/>
                <w:sz w:val="21"/>
                <w:szCs w:val="21"/>
              </w:rPr>
              <w:t xml:space="preserve">Über DG HAN </w:t>
            </w:r>
            <w:r>
              <w:rPr>
                <w:rStyle w:val="status-r1"/>
                <w:rFonts w:eastAsia="Times New Roman"/>
                <w:sz w:val="21"/>
                <w:szCs w:val="21"/>
              </w:rPr>
              <w:t>gesperrt</w:t>
            </w:r>
            <w:r>
              <w:rPr>
                <w:rFonts w:eastAsia="Times New Roman"/>
                <w:sz w:val="21"/>
                <w:szCs w:val="21"/>
              </w:rPr>
              <w:t xml:space="preserve">, über einen steuerlichen Bypass </w:t>
            </w:r>
            <w:r>
              <w:rPr>
                <w:rStyle w:val="status-g1"/>
                <w:rFonts w:eastAsia="Times New Roman"/>
                <w:sz w:val="21"/>
                <w:szCs w:val="21"/>
              </w:rPr>
              <w:t>aktiviert</w:t>
            </w:r>
            <w:r>
              <w:rPr>
                <w:rFonts w:eastAsia="Times New Roman"/>
                <w:sz w:val="21"/>
                <w:szCs w:val="21"/>
              </w:rPr>
              <w:t xml:space="preserve"> (siehe Kapitel II – Der belgische steuerliche Weg)</w:t>
            </w:r>
          </w:p>
        </w:tc>
      </w:tr>
      <w:tr w:rsidR="00000000" w14:paraId="24F8B16F"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118D65" w14:textId="77777777" w:rsidR="00FA4EDF" w:rsidRDefault="00FA4EDF">
            <w:pPr>
              <w:spacing w:before="200" w:after="360"/>
              <w:rPr>
                <w:rFonts w:eastAsia="Times New Roman"/>
                <w:sz w:val="21"/>
                <w:szCs w:val="21"/>
              </w:rPr>
            </w:pPr>
            <w:r>
              <w:rPr>
                <w:rStyle w:val="Zwaar"/>
                <w:rFonts w:eastAsia="Times New Roman"/>
                <w:sz w:val="21"/>
                <w:szCs w:val="21"/>
              </w:rPr>
              <w:t>Kindergeld / Wachstumspaket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6A2D70" w14:textId="77777777" w:rsidR="00FA4EDF" w:rsidRDefault="00FA4EDF">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5E020B" w14:textId="77777777" w:rsidR="00FA4EDF" w:rsidRDefault="00FA4EDF">
            <w:pPr>
              <w:spacing w:before="200" w:after="360"/>
              <w:rPr>
                <w:rFonts w:eastAsia="Times New Roman"/>
                <w:sz w:val="21"/>
                <w:szCs w:val="21"/>
              </w:rPr>
            </w:pPr>
            <w:r>
              <w:rPr>
                <w:rFonts w:eastAsia="Times New Roman"/>
                <w:sz w:val="21"/>
                <w:szCs w:val="21"/>
              </w:rPr>
              <w:t>Unterhaltsberechtigtes Kind + Arbeitslandprinzip (Mutter arbeitet in Belgien)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D815077" w14:textId="77777777" w:rsidR="00FA4EDF" w:rsidRDefault="00FA4EDF">
            <w:pPr>
              <w:spacing w:before="200" w:after="360"/>
              <w:rPr>
                <w:rFonts w:eastAsia="Times New Roman"/>
                <w:sz w:val="21"/>
                <w:szCs w:val="21"/>
              </w:rPr>
            </w:pPr>
            <w:r>
              <w:rPr>
                <w:rStyle w:val="status-g1"/>
                <w:rFonts w:eastAsia="Times New Roman"/>
                <w:sz w:val="21"/>
                <w:szCs w:val="21"/>
              </w:rPr>
              <w:t>Berufstätig</w:t>
            </w:r>
            <w:r>
              <w:rPr>
                <w:rFonts w:eastAsia="Times New Roman"/>
                <w:sz w:val="21"/>
                <w:szCs w:val="21"/>
              </w:rPr>
              <w:t xml:space="preserve"> – Hauptverdiener unter dem Namen der Mutter, aufgestockt durch die SVB</w:t>
            </w:r>
          </w:p>
        </w:tc>
      </w:tr>
      <w:tr w:rsidR="00000000" w14:paraId="29C4E997"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3BBBEBF" w14:textId="77777777" w:rsidR="00FA4EDF" w:rsidRDefault="00FA4EDF">
            <w:pPr>
              <w:spacing w:before="200" w:after="360"/>
              <w:rPr>
                <w:rFonts w:eastAsia="Times New Roman"/>
                <w:sz w:val="21"/>
                <w:szCs w:val="21"/>
              </w:rPr>
            </w:pPr>
            <w:r>
              <w:rPr>
                <w:rStyle w:val="Zwaar"/>
                <w:rFonts w:eastAsia="Times New Roman"/>
                <w:sz w:val="21"/>
                <w:szCs w:val="21"/>
              </w:rPr>
              <w:t>Sozialzuschlag</w:t>
            </w:r>
            <w:r>
              <w:rPr>
                <w:rFonts w:eastAsia="Times New Roman"/>
                <w:sz w:val="21"/>
                <w:szCs w:val="21"/>
              </w:rPr>
              <w:t xml:space="preserve"> (im Rahmen des „Groeipakket“)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49193E9" w14:textId="77777777" w:rsidR="00FA4EDF" w:rsidRDefault="00FA4EDF">
            <w:pPr>
              <w:spacing w:before="200" w:after="360"/>
              <w:rPr>
                <w:rFonts w:eastAsia="Times New Roman"/>
                <w:sz w:val="21"/>
                <w:szCs w:val="21"/>
              </w:rPr>
            </w:pPr>
            <w:r>
              <w:rPr>
                <w:rFonts w:eastAsia="Times New Roman"/>
                <w:sz w:val="21"/>
                <w:szCs w:val="21"/>
              </w:rPr>
              <w:t>Parentia</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FE4021F" w14:textId="77777777" w:rsidR="00FA4EDF" w:rsidRDefault="00FA4EDF">
            <w:pPr>
              <w:spacing w:before="200" w:after="360"/>
              <w:rPr>
                <w:rFonts w:eastAsia="Times New Roman"/>
                <w:sz w:val="21"/>
                <w:szCs w:val="21"/>
              </w:rPr>
            </w:pPr>
            <w:r>
              <w:rPr>
                <w:rFonts w:eastAsia="Times New Roman"/>
                <w:sz w:val="21"/>
                <w:szCs w:val="21"/>
              </w:rPr>
              <w:t>Familieneinkommen unterhalb der Schwelle + 6 aufeinanderfolgende Monate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9324D1B"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Parentia stützt sich auf das theoretische Verdienstpotenzial, nicht auf das tatsächliche Einkommen</w:t>
            </w:r>
          </w:p>
        </w:tc>
      </w:tr>
      <w:tr w:rsidR="00000000" w14:paraId="64B89D52"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420519" w14:textId="77777777" w:rsidR="00FA4EDF" w:rsidRDefault="00FA4EDF">
            <w:pPr>
              <w:spacing w:before="200" w:after="360"/>
              <w:rPr>
                <w:rFonts w:eastAsia="Times New Roman"/>
                <w:sz w:val="21"/>
                <w:szCs w:val="21"/>
              </w:rPr>
            </w:pPr>
            <w:r>
              <w:rPr>
                <w:rStyle w:val="Zwaar"/>
                <w:rFonts w:eastAsia="Times New Roman"/>
                <w:sz w:val="21"/>
                <w:szCs w:val="21"/>
              </w:rPr>
              <w:t>MAF</w:t>
            </w:r>
            <w:r>
              <w:rPr>
                <w:rFonts w:eastAsia="Times New Roman"/>
                <w:sz w:val="21"/>
                <w:szCs w:val="21"/>
              </w:rPr>
              <w:t xml:space="preserve"> (Höchstbetrag)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CA4F3F" w14:textId="77777777" w:rsidR="00FA4EDF" w:rsidRDefault="00FA4EDF">
            <w:pPr>
              <w:spacing w:before="200" w:after="360"/>
              <w:rPr>
                <w:rFonts w:eastAsia="Times New Roman"/>
                <w:sz w:val="21"/>
                <w:szCs w:val="21"/>
              </w:rPr>
            </w:pPr>
            <w:r>
              <w:rPr>
                <w:rFonts w:eastAsia="Times New Roman"/>
                <w:sz w:val="21"/>
                <w:szCs w:val="21"/>
              </w:rPr>
              <w:t>CM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4F0273" w14:textId="77777777" w:rsidR="00FA4EDF" w:rsidRDefault="00FA4EDF">
            <w:pPr>
              <w:spacing w:before="200" w:after="360"/>
              <w:rPr>
                <w:rFonts w:eastAsia="Times New Roman"/>
                <w:sz w:val="21"/>
                <w:szCs w:val="21"/>
              </w:rPr>
            </w:pPr>
            <w:r>
              <w:rPr>
                <w:rFonts w:eastAsia="Times New Roman"/>
                <w:sz w:val="21"/>
                <w:szCs w:val="21"/>
              </w:rPr>
              <w:t>Parkgebühr über der Obergrenze — erhöhte Obergrenze bei Anerkennung einer Behinderung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F1DC918" w14:textId="77777777" w:rsidR="00FA4EDF" w:rsidRDefault="00FA4EDF">
            <w:pPr>
              <w:spacing w:before="200" w:after="360"/>
              <w:rPr>
                <w:rFonts w:eastAsia="Times New Roman"/>
                <w:sz w:val="21"/>
                <w:szCs w:val="21"/>
              </w:rPr>
            </w:pPr>
            <w:r>
              <w:rPr>
                <w:rStyle w:val="status-o1"/>
                <w:rFonts w:eastAsia="Times New Roman"/>
                <w:sz w:val="21"/>
                <w:szCs w:val="21"/>
              </w:rPr>
              <w:t>Teilweise</w:t>
            </w:r>
            <w:r>
              <w:rPr>
                <w:rFonts w:eastAsia="Times New Roman"/>
                <w:sz w:val="21"/>
                <w:szCs w:val="21"/>
              </w:rPr>
              <w:t xml:space="preserve"> – reguläre MAF aktiv, erhöhte MAF aufgrund einer Ablehnung wegen Erwerbsunfähigkeit gesperrt</w:t>
            </w:r>
          </w:p>
        </w:tc>
      </w:tr>
      <w:tr w:rsidR="00000000" w14:paraId="3616389B"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783985" w14:textId="77777777" w:rsidR="00FA4EDF" w:rsidRDefault="00FA4EDF">
            <w:pPr>
              <w:spacing w:before="200" w:after="360"/>
              <w:rPr>
                <w:rFonts w:eastAsia="Times New Roman"/>
                <w:sz w:val="21"/>
                <w:szCs w:val="21"/>
              </w:rPr>
            </w:pPr>
            <w:r>
              <w:rPr>
                <w:rStyle w:val="Zwaar"/>
                <w:rFonts w:eastAsia="Times New Roman"/>
                <w:sz w:val="21"/>
                <w:szCs w:val="21"/>
              </w:rPr>
              <w:t>Steuerlicher Abzug von Krankheitskosten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4357EB" w14:textId="77777777" w:rsidR="00FA4EDF" w:rsidRDefault="00FA4EDF">
            <w:pPr>
              <w:spacing w:before="200" w:after="360"/>
              <w:rPr>
                <w:rFonts w:eastAsia="Times New Roman"/>
                <w:sz w:val="21"/>
                <w:szCs w:val="21"/>
              </w:rPr>
            </w:pPr>
            <w:r>
              <w:rPr>
                <w:rFonts w:eastAsia="Times New Roman"/>
                <w:sz w:val="21"/>
                <w:szCs w:val="21"/>
              </w:rPr>
              <w:t>FÖD Finanzen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90997B" w14:textId="77777777" w:rsidR="00FA4EDF" w:rsidRDefault="00FA4EDF">
            <w:pPr>
              <w:spacing w:before="200" w:after="360"/>
              <w:rPr>
                <w:rFonts w:eastAsia="Times New Roman"/>
                <w:sz w:val="21"/>
                <w:szCs w:val="21"/>
              </w:rPr>
            </w:pPr>
            <w:r>
              <w:rPr>
                <w:rFonts w:eastAsia="Times New Roman"/>
                <w:sz w:val="21"/>
                <w:szCs w:val="21"/>
              </w:rPr>
              <w:t>Nachweis der medizinischen Ausgaben über die jährliche Steuererklärung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5CC59F" w14:textId="77777777" w:rsidR="00FA4EDF" w:rsidRDefault="00FA4EDF">
            <w:pPr>
              <w:spacing w:before="200" w:after="360"/>
              <w:rPr>
                <w:rFonts w:eastAsia="Times New Roman"/>
                <w:sz w:val="21"/>
                <w:szCs w:val="21"/>
              </w:rPr>
            </w:pPr>
            <w:r>
              <w:rPr>
                <w:rStyle w:val="status-o1"/>
                <w:rFonts w:eastAsia="Times New Roman"/>
                <w:sz w:val="21"/>
                <w:szCs w:val="21"/>
              </w:rPr>
              <w:t>Teilweise</w:t>
            </w:r>
            <w:r>
              <w:rPr>
                <w:rFonts w:eastAsia="Times New Roman"/>
                <w:sz w:val="21"/>
                <w:szCs w:val="21"/>
              </w:rPr>
              <w:t xml:space="preserve"> – abzugsfähig, aber mit begrenzter Auswirkung, solange das sonstige Einkommen gering bleibt</w:t>
            </w:r>
          </w:p>
        </w:tc>
      </w:tr>
      <w:tr w:rsidR="00000000" w14:paraId="4CA4190F"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8675F7" w14:textId="77777777" w:rsidR="00FA4EDF" w:rsidRDefault="00FA4EDF">
            <w:pPr>
              <w:spacing w:before="200" w:after="360"/>
              <w:rPr>
                <w:rFonts w:eastAsia="Times New Roman"/>
                <w:sz w:val="21"/>
                <w:szCs w:val="21"/>
              </w:rPr>
            </w:pPr>
            <w:r>
              <w:rPr>
                <w:rStyle w:val="Zwaar"/>
                <w:rFonts w:eastAsia="Times New Roman"/>
                <w:sz w:val="21"/>
                <w:szCs w:val="21"/>
              </w:rPr>
              <w:t>Zuschuss für Hilfsmittel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684E88" w14:textId="77777777" w:rsidR="00FA4EDF" w:rsidRDefault="00FA4EDF">
            <w:pPr>
              <w:spacing w:before="200" w:after="360"/>
              <w:rPr>
                <w:rFonts w:eastAsia="Times New Roman"/>
                <w:sz w:val="21"/>
                <w:szCs w:val="21"/>
              </w:rPr>
            </w:pPr>
            <w:r>
              <w:rPr>
                <w:rFonts w:eastAsia="Times New Roman"/>
                <w:sz w:val="21"/>
                <w:szCs w:val="21"/>
              </w:rPr>
              <w:t>CM (im Rahmen der LIKIV-Vereinbarung)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99B464" w14:textId="77777777" w:rsidR="00FA4EDF" w:rsidRDefault="00FA4EDF">
            <w:pPr>
              <w:spacing w:before="200" w:after="360"/>
              <w:rPr>
                <w:rFonts w:eastAsia="Times New Roman"/>
                <w:sz w:val="21"/>
                <w:szCs w:val="21"/>
              </w:rPr>
            </w:pPr>
            <w:r>
              <w:rPr>
                <w:rFonts w:eastAsia="Times New Roman"/>
                <w:sz w:val="21"/>
                <w:szCs w:val="21"/>
              </w:rPr>
              <w:t>Medizinische Vorschriften und Genehmigung durch den beratenden Arzt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9AA12E8" w14:textId="77777777" w:rsidR="00FA4EDF" w:rsidRDefault="00FA4EDF">
            <w:pPr>
              <w:spacing w:before="200" w:after="360"/>
              <w:rPr>
                <w:rFonts w:eastAsia="Times New Roman"/>
                <w:sz w:val="21"/>
                <w:szCs w:val="21"/>
              </w:rPr>
            </w:pPr>
            <w:r>
              <w:rPr>
                <w:rStyle w:val="status-g1"/>
                <w:rFonts w:eastAsia="Times New Roman"/>
                <w:sz w:val="21"/>
                <w:szCs w:val="21"/>
              </w:rPr>
              <w:t>Funktioniert</w:t>
            </w:r>
            <w:r>
              <w:rPr>
                <w:rFonts w:eastAsia="Times New Roman"/>
                <w:sz w:val="21"/>
                <w:szCs w:val="21"/>
              </w:rPr>
              <w:t xml:space="preserve"> – zugelassene orthopädische Schuhe, Diabetes-Konvention aktiv</w:t>
            </w:r>
          </w:p>
        </w:tc>
      </w:tr>
      <w:tr w:rsidR="00000000" w14:paraId="2A93558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6238ED" w14:textId="77777777" w:rsidR="00FA4EDF" w:rsidRDefault="00FA4EDF">
            <w:pPr>
              <w:spacing w:before="200" w:after="360"/>
              <w:rPr>
                <w:rFonts w:eastAsia="Times New Roman"/>
                <w:sz w:val="21"/>
                <w:szCs w:val="21"/>
              </w:rPr>
            </w:pPr>
            <w:r>
              <w:rPr>
                <w:rStyle w:val="Zwaar"/>
                <w:rFonts w:eastAsia="Times New Roman"/>
                <w:sz w:val="21"/>
                <w:szCs w:val="21"/>
              </w:rPr>
              <w:t>Klinik für diabetische Fußerkrankungen am UZ Gent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92ECC31" w14:textId="77777777" w:rsidR="00FA4EDF" w:rsidRDefault="00FA4EDF">
            <w:pPr>
              <w:spacing w:before="200" w:after="360"/>
              <w:rPr>
                <w:rFonts w:eastAsia="Times New Roman"/>
                <w:sz w:val="21"/>
                <w:szCs w:val="21"/>
              </w:rPr>
            </w:pPr>
            <w:r>
              <w:rPr>
                <w:rFonts w:eastAsia="Times New Roman"/>
                <w:sz w:val="21"/>
                <w:szCs w:val="21"/>
              </w:rPr>
              <w:t>CM (Konvention)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5C4374" w14:textId="77777777" w:rsidR="00FA4EDF" w:rsidRDefault="00FA4EDF">
            <w:pPr>
              <w:spacing w:before="200" w:after="360"/>
              <w:rPr>
                <w:rFonts w:eastAsia="Times New Roman"/>
                <w:sz w:val="21"/>
                <w:szCs w:val="21"/>
              </w:rPr>
            </w:pPr>
            <w:r>
              <w:rPr>
                <w:rFonts w:eastAsia="Times New Roman"/>
                <w:sz w:val="21"/>
                <w:szCs w:val="21"/>
              </w:rPr>
              <w:t>Vereinbarung mit einem Universitätsklinikum</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5946FD8" w14:textId="77777777" w:rsidR="00FA4EDF" w:rsidRDefault="00FA4EDF">
            <w:pPr>
              <w:spacing w:before="200" w:after="360"/>
              <w:rPr>
                <w:rFonts w:eastAsia="Times New Roman"/>
                <w:sz w:val="21"/>
                <w:szCs w:val="21"/>
              </w:rPr>
            </w:pPr>
            <w:r>
              <w:rPr>
                <w:rStyle w:val="status-g1"/>
                <w:rFonts w:eastAsia="Times New Roman"/>
                <w:sz w:val="21"/>
                <w:szCs w:val="21"/>
              </w:rPr>
              <w:t>Gültig</w:t>
            </w:r>
            <w:r>
              <w:rPr>
                <w:rFonts w:eastAsia="Times New Roman"/>
                <w:sz w:val="21"/>
                <w:szCs w:val="21"/>
              </w:rPr>
              <w:t xml:space="preserve"> — genehmigt vom 19.06.2026 bis zum 27.05.2027</w:t>
            </w:r>
          </w:p>
        </w:tc>
      </w:tr>
      <w:tr w:rsidR="00000000" w14:paraId="406AB435"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1444439" w14:textId="77777777" w:rsidR="00FA4EDF" w:rsidRDefault="00FA4EDF">
            <w:pPr>
              <w:spacing w:before="200" w:after="360"/>
              <w:rPr>
                <w:rFonts w:eastAsia="Times New Roman"/>
                <w:sz w:val="21"/>
                <w:szCs w:val="21"/>
              </w:rPr>
            </w:pPr>
            <w:r>
              <w:rPr>
                <w:rStyle w:val="Zwaar"/>
                <w:rFonts w:eastAsia="Times New Roman"/>
                <w:sz w:val="21"/>
                <w:szCs w:val="21"/>
              </w:rPr>
              <w:t>Europäischer Parkausweis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FA4367" w14:textId="77777777" w:rsidR="00FA4EDF" w:rsidRDefault="00FA4EDF">
            <w:pPr>
              <w:spacing w:before="200" w:after="360"/>
              <w:rPr>
                <w:rFonts w:eastAsia="Times New Roman"/>
                <w:sz w:val="21"/>
                <w:szCs w:val="21"/>
              </w:rPr>
            </w:pPr>
            <w:r>
              <w:rPr>
                <w:rFonts w:eastAsia="Times New Roman"/>
                <w:sz w:val="21"/>
                <w:szCs w:val="21"/>
              </w:rPr>
              <w:t>FÖD Soziale Sicherheit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5F8BAA2" w14:textId="77777777" w:rsidR="00FA4EDF" w:rsidRDefault="00FA4EDF">
            <w:pPr>
              <w:spacing w:before="200" w:after="360"/>
              <w:rPr>
                <w:rFonts w:eastAsia="Times New Roman"/>
                <w:sz w:val="21"/>
                <w:szCs w:val="21"/>
              </w:rPr>
            </w:pPr>
            <w:r>
              <w:rPr>
                <w:rFonts w:eastAsia="Times New Roman"/>
                <w:sz w:val="21"/>
                <w:szCs w:val="21"/>
              </w:rPr>
              <w:t>Anerkennung einer Behinderung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1CA821" w14:textId="77777777" w:rsidR="00FA4EDF" w:rsidRDefault="00FA4EDF">
            <w:pPr>
              <w:spacing w:before="200" w:after="360"/>
              <w:rPr>
                <w:rFonts w:eastAsia="Times New Roman"/>
                <w:sz w:val="21"/>
                <w:szCs w:val="21"/>
              </w:rPr>
            </w:pPr>
            <w:r>
              <w:rPr>
                <w:rStyle w:val="status-g1"/>
                <w:rFonts w:eastAsia="Times New Roman"/>
                <w:sz w:val="21"/>
                <w:szCs w:val="21"/>
              </w:rPr>
              <w:t>Bewilligt</w:t>
            </w:r>
            <w:r>
              <w:rPr>
                <w:rFonts w:eastAsia="Times New Roman"/>
                <w:sz w:val="21"/>
                <w:szCs w:val="21"/>
              </w:rPr>
              <w:t xml:space="preserve"> — 03.08.2026, unbefristet</w:t>
            </w:r>
          </w:p>
        </w:tc>
      </w:tr>
      <w:tr w:rsidR="00000000" w14:paraId="695775C0"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8903443" w14:textId="77777777" w:rsidR="00FA4EDF" w:rsidRDefault="00FA4EDF">
            <w:pPr>
              <w:spacing w:before="200" w:after="360"/>
              <w:rPr>
                <w:rFonts w:eastAsia="Times New Roman"/>
                <w:sz w:val="21"/>
                <w:szCs w:val="21"/>
              </w:rPr>
            </w:pPr>
            <w:r>
              <w:rPr>
                <w:rStyle w:val="Zwaar"/>
                <w:rFonts w:eastAsia="Times New Roman"/>
                <w:sz w:val="21"/>
                <w:szCs w:val="21"/>
              </w:rPr>
              <w:t>Ermäßigungskarte für den öffentlichen Nahverkehr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31D478" w14:textId="77777777" w:rsidR="00FA4EDF" w:rsidRDefault="00FA4EDF">
            <w:pPr>
              <w:spacing w:before="200" w:after="360"/>
              <w:rPr>
                <w:rFonts w:eastAsia="Times New Roman"/>
                <w:sz w:val="21"/>
                <w:szCs w:val="21"/>
              </w:rPr>
            </w:pPr>
            <w:r>
              <w:rPr>
                <w:rFonts w:eastAsia="Times New Roman"/>
                <w:sz w:val="21"/>
                <w:szCs w:val="21"/>
              </w:rPr>
              <w:t>FÖD Soziale Sicherheit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B0C92D" w14:textId="77777777" w:rsidR="00FA4EDF" w:rsidRDefault="00FA4EDF">
            <w:pPr>
              <w:spacing w:before="200" w:after="360"/>
              <w:rPr>
                <w:rFonts w:eastAsia="Times New Roman"/>
                <w:sz w:val="21"/>
                <w:szCs w:val="21"/>
              </w:rPr>
            </w:pPr>
            <w:r>
              <w:rPr>
                <w:rFonts w:eastAsia="Times New Roman"/>
                <w:sz w:val="21"/>
                <w:szCs w:val="21"/>
              </w:rPr>
              <w:t>Anerkennung einer Behinderung + spezifische Mobilitätsbarriere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A228510" w14:textId="77777777" w:rsidR="00FA4EDF" w:rsidRDefault="00FA4EDF">
            <w:pPr>
              <w:spacing w:before="200" w:after="360"/>
              <w:rPr>
                <w:rFonts w:eastAsia="Times New Roman"/>
                <w:sz w:val="21"/>
                <w:szCs w:val="21"/>
              </w:rPr>
            </w:pPr>
            <w:r>
              <w:rPr>
                <w:rStyle w:val="status-r1"/>
                <w:rFonts w:eastAsia="Times New Roman"/>
                <w:sz w:val="21"/>
                <w:szCs w:val="21"/>
              </w:rPr>
              <w:t>Abgelehnt</w:t>
            </w:r>
            <w:r>
              <w:rPr>
                <w:rFonts w:eastAsia="Times New Roman"/>
                <w:sz w:val="21"/>
                <w:szCs w:val="21"/>
              </w:rPr>
              <w:t xml:space="preserve"> – 21.08.2026, medizinische Voraussetzungen nicht erfüllt</w:t>
            </w:r>
          </w:p>
        </w:tc>
      </w:tr>
      <w:tr w:rsidR="00000000" w14:paraId="62C1B032"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4D36C4" w14:textId="77777777" w:rsidR="00FA4EDF" w:rsidRDefault="00FA4EDF">
            <w:pPr>
              <w:spacing w:before="200" w:after="360"/>
              <w:rPr>
                <w:rFonts w:eastAsia="Times New Roman"/>
                <w:sz w:val="21"/>
                <w:szCs w:val="21"/>
              </w:rPr>
            </w:pPr>
            <w:r>
              <w:rPr>
                <w:rStyle w:val="Zwaar"/>
                <w:rFonts w:eastAsia="Times New Roman"/>
                <w:sz w:val="21"/>
                <w:szCs w:val="21"/>
              </w:rPr>
              <w:t>Fahrtüchtigkeitsbescheinigung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3AEC3F" w14:textId="77777777" w:rsidR="00FA4EDF" w:rsidRDefault="00FA4EDF">
            <w:pPr>
              <w:spacing w:before="200" w:after="360"/>
              <w:rPr>
                <w:rFonts w:eastAsia="Times New Roman"/>
                <w:sz w:val="21"/>
                <w:szCs w:val="21"/>
              </w:rPr>
            </w:pPr>
            <w:r>
              <w:rPr>
                <w:rFonts w:eastAsia="Times New Roman"/>
                <w:sz w:val="21"/>
                <w:szCs w:val="21"/>
              </w:rPr>
              <w:t>FÖD Mobilität / Augenarzt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B860E12" w14:textId="77777777" w:rsidR="00FA4EDF" w:rsidRDefault="00FA4EDF">
            <w:pPr>
              <w:spacing w:before="200" w:after="360"/>
              <w:rPr>
                <w:rFonts w:eastAsia="Times New Roman"/>
                <w:sz w:val="21"/>
                <w:szCs w:val="21"/>
              </w:rPr>
            </w:pPr>
            <w:r>
              <w:rPr>
                <w:rFonts w:eastAsia="Times New Roman"/>
                <w:sz w:val="21"/>
                <w:szCs w:val="21"/>
              </w:rPr>
              <w:t>Sehschärfe über dem gesetzlichen Schwellenwert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0D69292" w14:textId="77777777" w:rsidR="00FA4EDF" w:rsidRDefault="00FA4EDF">
            <w:pPr>
              <w:spacing w:before="200" w:after="360"/>
              <w:rPr>
                <w:rFonts w:eastAsia="Times New Roman"/>
                <w:sz w:val="21"/>
                <w:szCs w:val="21"/>
              </w:rPr>
            </w:pPr>
            <w:r>
              <w:rPr>
                <w:rStyle w:val="status-r1"/>
                <w:rFonts w:eastAsia="Times New Roman"/>
                <w:sz w:val="21"/>
                <w:szCs w:val="21"/>
              </w:rPr>
              <w:t>Abgelehnt</w:t>
            </w:r>
            <w:r>
              <w:rPr>
                <w:rFonts w:eastAsia="Times New Roman"/>
                <w:sz w:val="21"/>
                <w:szCs w:val="21"/>
              </w:rPr>
              <w:t xml:space="preserve"> – Sehschärfe unterhalb des Schwellenwerts, dauerhaft</w:t>
            </w:r>
          </w:p>
        </w:tc>
      </w:tr>
    </w:tbl>
    <w:p w14:paraId="3B91611B" w14:textId="77777777" w:rsidR="00FA4EDF" w:rsidRDefault="00FA4EDF">
      <w:pPr>
        <w:pStyle w:val="Kop4"/>
        <w:divId w:val="982394320"/>
        <w:rPr>
          <w:rFonts w:eastAsia="Times New Roman"/>
          <w:lang w:val="de-DE"/>
        </w:rPr>
      </w:pPr>
      <w:r>
        <w:rPr>
          <w:rFonts w:eastAsia="Times New Roman"/>
          <w:lang w:val="de-DE"/>
        </w:rPr>
        <w:t>Niederländische Töpfe</w:t>
      </w:r>
    </w:p>
    <w:tbl>
      <w:tblPr>
        <w:tblW w:w="5000" w:type="pct"/>
        <w:tblCellMar>
          <w:top w:w="15" w:type="dxa"/>
          <w:left w:w="15" w:type="dxa"/>
          <w:bottom w:w="15" w:type="dxa"/>
          <w:right w:w="15" w:type="dxa"/>
        </w:tblCellMar>
        <w:tblLook w:val="04A0" w:firstRow="1" w:lastRow="0" w:firstColumn="1" w:lastColumn="0" w:noHBand="0" w:noVBand="1"/>
      </w:tblPr>
      <w:tblGrid>
        <w:gridCol w:w="2431"/>
        <w:gridCol w:w="1787"/>
        <w:gridCol w:w="2456"/>
        <w:gridCol w:w="2382"/>
      </w:tblGrid>
      <w:tr w:rsidR="00000000" w14:paraId="233BE797" w14:textId="77777777">
        <w:trPr>
          <w:divId w:val="982394320"/>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34714B6"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Töpfchen</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8F26407"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Administrator</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5F45F8C"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Voraussetzung</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B025320"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7CFFF69E"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C305429" w14:textId="77777777" w:rsidR="00FA4EDF" w:rsidRDefault="00FA4EDF">
            <w:pPr>
              <w:spacing w:before="200" w:after="360"/>
              <w:rPr>
                <w:rFonts w:eastAsia="Times New Roman"/>
                <w:sz w:val="21"/>
                <w:szCs w:val="21"/>
              </w:rPr>
            </w:pPr>
            <w:r>
              <w:rPr>
                <w:rStyle w:val="Zwaar"/>
                <w:rFonts w:eastAsia="Times New Roman"/>
                <w:sz w:val="21"/>
                <w:szCs w:val="21"/>
              </w:rPr>
              <w:t>WIA-Leistung</w:t>
            </w:r>
            <w:r>
              <w:rPr>
                <w:rFonts w:eastAsia="Times New Roman"/>
                <w:sz w:val="21"/>
                <w:szCs w:val="21"/>
              </w:rPr>
              <w:t xml:space="preserve"> (Arbeitsunfähigkeit)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198D98" w14:textId="77777777" w:rsidR="00FA4EDF" w:rsidRDefault="00FA4EDF">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05A0537" w14:textId="77777777" w:rsidR="00FA4EDF" w:rsidRDefault="00FA4EDF">
            <w:pPr>
              <w:spacing w:before="200" w:after="360"/>
              <w:rPr>
                <w:rFonts w:eastAsia="Times New Roman"/>
                <w:sz w:val="21"/>
                <w:szCs w:val="21"/>
              </w:rPr>
            </w:pPr>
            <w:r>
              <w:rPr>
                <w:rFonts w:eastAsia="Times New Roman"/>
                <w:sz w:val="21"/>
                <w:szCs w:val="21"/>
              </w:rPr>
              <w:t>104 Wochen Wartezeit + Versicherung zum Stichtag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886F8B4" w14:textId="77777777" w:rsidR="00FA4EDF" w:rsidRDefault="00FA4EDF">
            <w:pPr>
              <w:spacing w:before="200" w:after="360"/>
              <w:rPr>
                <w:rFonts w:eastAsia="Times New Roman"/>
                <w:sz w:val="21"/>
                <w:szCs w:val="21"/>
              </w:rPr>
            </w:pPr>
            <w:r>
              <w:rPr>
                <w:rStyle w:val="status-r1"/>
                <w:rFonts w:eastAsia="Times New Roman"/>
                <w:sz w:val="21"/>
                <w:szCs w:val="21"/>
              </w:rPr>
              <w:t>Abgelehnt</w:t>
            </w:r>
            <w:r>
              <w:rPr>
                <w:rFonts w:eastAsia="Times New Roman"/>
                <w:sz w:val="21"/>
                <w:szCs w:val="21"/>
              </w:rPr>
              <w:t xml:space="preserve"> </w:t>
            </w:r>
            <w:r>
              <w:rPr>
                <w:rFonts w:eastAsia="Times New Roman"/>
                <w:sz w:val="21"/>
                <w:szCs w:val="21"/>
              </w:rPr>
              <w:t>– Stichtag falsch, Vester-Urteil nicht angewendet</w:t>
            </w:r>
          </w:p>
        </w:tc>
      </w:tr>
      <w:tr w:rsidR="00000000" w14:paraId="6AE48518"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2A4F474" w14:textId="77777777" w:rsidR="00FA4EDF" w:rsidRDefault="00FA4EDF">
            <w:pPr>
              <w:spacing w:before="200" w:after="360"/>
              <w:rPr>
                <w:rFonts w:eastAsia="Times New Roman"/>
                <w:sz w:val="21"/>
                <w:szCs w:val="21"/>
              </w:rPr>
            </w:pPr>
            <w:r>
              <w:rPr>
                <w:rStyle w:val="Zwaar"/>
                <w:rFonts w:eastAsia="Times New Roman"/>
                <w:sz w:val="21"/>
                <w:szCs w:val="21"/>
              </w:rPr>
              <w:t>Sozialhilfe</w:t>
            </w:r>
            <w:r>
              <w:rPr>
                <w:rFonts w:eastAsia="Times New Roman"/>
                <w:sz w:val="21"/>
                <w:szCs w:val="21"/>
              </w:rPr>
              <w:t xml:space="preserve"> (Teilhabegesetz)</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D42ACBB" w14:textId="77777777" w:rsidR="00FA4EDF" w:rsidRDefault="00FA4EDF">
            <w:pPr>
              <w:spacing w:before="200" w:after="360"/>
              <w:rPr>
                <w:rFonts w:eastAsia="Times New Roman"/>
                <w:sz w:val="21"/>
                <w:szCs w:val="21"/>
              </w:rPr>
            </w:pPr>
            <w:r>
              <w:rPr>
                <w:rFonts w:eastAsia="Times New Roman"/>
                <w:sz w:val="21"/>
                <w:szCs w:val="21"/>
              </w:rPr>
              <w:t>Gemeinde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1E94A51" w14:textId="77777777" w:rsidR="00FA4EDF" w:rsidRDefault="00FA4EDF">
            <w:pPr>
              <w:spacing w:before="200" w:after="360"/>
              <w:rPr>
                <w:rFonts w:eastAsia="Times New Roman"/>
                <w:sz w:val="21"/>
                <w:szCs w:val="21"/>
              </w:rPr>
            </w:pPr>
            <w:r>
              <w:rPr>
                <w:rFonts w:eastAsia="Times New Roman"/>
                <w:sz w:val="21"/>
                <w:szCs w:val="21"/>
              </w:rPr>
              <w:t>Unzureichendes Einkommen + Vermögen unterhalb der Grenze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D4E1BA"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Hilfeanfrage nach 73 Tagen ungelesen gelöscht</w:t>
            </w:r>
          </w:p>
        </w:tc>
      </w:tr>
      <w:tr w:rsidR="00000000" w14:paraId="36691172"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D2D28B" w14:textId="77777777" w:rsidR="00FA4EDF" w:rsidRDefault="00FA4EDF">
            <w:pPr>
              <w:spacing w:before="200" w:after="360"/>
              <w:rPr>
                <w:rFonts w:eastAsia="Times New Roman"/>
                <w:sz w:val="21"/>
                <w:szCs w:val="21"/>
              </w:rPr>
            </w:pPr>
            <w:r>
              <w:rPr>
                <w:rStyle w:val="Zwaar"/>
                <w:rFonts w:eastAsia="Times New Roman"/>
                <w:sz w:val="21"/>
                <w:szCs w:val="21"/>
              </w:rPr>
              <w:t>Besondere Unterstützung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E3FCD5" w14:textId="77777777" w:rsidR="00FA4EDF" w:rsidRDefault="00FA4EDF">
            <w:pPr>
              <w:spacing w:before="200" w:after="360"/>
              <w:rPr>
                <w:rFonts w:eastAsia="Times New Roman"/>
                <w:sz w:val="21"/>
                <w:szCs w:val="21"/>
              </w:rPr>
            </w:pPr>
            <w:r>
              <w:rPr>
                <w:rFonts w:eastAsia="Times New Roman"/>
                <w:sz w:val="21"/>
                <w:szCs w:val="21"/>
              </w:rPr>
              <w:t>Gemeinde Hulst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2674527" w14:textId="77777777" w:rsidR="00FA4EDF" w:rsidRDefault="00FA4EDF">
            <w:pPr>
              <w:spacing w:before="200" w:after="360"/>
              <w:rPr>
                <w:rFonts w:eastAsia="Times New Roman"/>
                <w:sz w:val="21"/>
                <w:szCs w:val="21"/>
              </w:rPr>
            </w:pPr>
            <w:r>
              <w:rPr>
                <w:rFonts w:eastAsia="Times New Roman"/>
                <w:sz w:val="21"/>
                <w:szCs w:val="21"/>
              </w:rPr>
              <w:t>Sonderkosten + Einkommen unterhalb der Grenze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D4D7D7"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keine inhaltliche Bewertung</w:t>
            </w:r>
          </w:p>
        </w:tc>
      </w:tr>
      <w:tr w:rsidR="00000000" w14:paraId="0A2B322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7CF210C" w14:textId="77777777" w:rsidR="00FA4EDF" w:rsidRDefault="00FA4EDF">
            <w:pPr>
              <w:spacing w:before="200" w:after="360"/>
              <w:rPr>
                <w:rFonts w:eastAsia="Times New Roman"/>
                <w:sz w:val="21"/>
                <w:szCs w:val="21"/>
              </w:rPr>
            </w:pPr>
            <w:r>
              <w:rPr>
                <w:rStyle w:val="Zwaar"/>
                <w:rFonts w:eastAsia="Times New Roman"/>
                <w:sz w:val="21"/>
                <w:szCs w:val="21"/>
              </w:rPr>
              <w:t>Gesundheitszuschlag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033B302" w14:textId="77777777" w:rsidR="00FA4EDF" w:rsidRDefault="00FA4EDF">
            <w:pPr>
              <w:spacing w:before="200" w:after="360"/>
              <w:rPr>
                <w:rFonts w:eastAsia="Times New Roman"/>
                <w:sz w:val="21"/>
                <w:szCs w:val="21"/>
              </w:rPr>
            </w:pPr>
            <w:r>
              <w:rPr>
                <w:rFonts w:eastAsia="Times New Roman"/>
                <w:sz w:val="21"/>
                <w:szCs w:val="21"/>
              </w:rPr>
              <w:t>Abteilung für Zulagen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A673210" w14:textId="77777777" w:rsidR="00FA4EDF" w:rsidRDefault="00FA4EDF">
            <w:pPr>
              <w:spacing w:before="200" w:after="360"/>
              <w:rPr>
                <w:rFonts w:eastAsia="Times New Roman"/>
                <w:sz w:val="21"/>
                <w:szCs w:val="21"/>
              </w:rPr>
            </w:pPr>
            <w:r>
              <w:rPr>
                <w:rFonts w:eastAsia="Times New Roman"/>
                <w:sz w:val="21"/>
                <w:szCs w:val="21"/>
              </w:rPr>
              <w:t>In den Niederlanden versichert + Einkommen unterhalb der Grenze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3F85D97" w14:textId="77777777" w:rsidR="00FA4EDF" w:rsidRDefault="00FA4EDF">
            <w:pPr>
              <w:spacing w:before="200" w:after="360"/>
              <w:rPr>
                <w:rFonts w:eastAsia="Times New Roman"/>
                <w:sz w:val="21"/>
                <w:szCs w:val="21"/>
              </w:rPr>
            </w:pPr>
            <w:r>
              <w:rPr>
                <w:rStyle w:val="status-r1"/>
                <w:rFonts w:eastAsia="Times New Roman"/>
                <w:sz w:val="21"/>
                <w:szCs w:val="21"/>
              </w:rPr>
              <w:t>Gesperrt</w:t>
            </w:r>
            <w:r>
              <w:rPr>
                <w:rFonts w:eastAsia="Times New Roman"/>
                <w:sz w:val="21"/>
                <w:szCs w:val="21"/>
              </w:rPr>
              <w:t xml:space="preserve"> – Das RIV-Register enthält keine Vertragspolice</w:t>
            </w:r>
          </w:p>
        </w:tc>
      </w:tr>
      <w:tr w:rsidR="00000000" w14:paraId="14A8F081"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303399" w14:textId="77777777" w:rsidR="00FA4EDF" w:rsidRDefault="00FA4EDF">
            <w:pPr>
              <w:spacing w:before="200" w:after="360"/>
              <w:rPr>
                <w:rFonts w:eastAsia="Times New Roman"/>
                <w:sz w:val="21"/>
                <w:szCs w:val="21"/>
              </w:rPr>
            </w:pPr>
            <w:r>
              <w:rPr>
                <w:rStyle w:val="Zwaar"/>
                <w:rFonts w:eastAsia="Times New Roman"/>
                <w:sz w:val="21"/>
                <w:szCs w:val="21"/>
              </w:rPr>
              <w:t>Wohnungszuschuss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385337" w14:textId="77777777" w:rsidR="00FA4EDF" w:rsidRDefault="00FA4EDF">
            <w:pPr>
              <w:spacing w:before="200" w:after="360"/>
              <w:rPr>
                <w:rFonts w:eastAsia="Times New Roman"/>
                <w:sz w:val="21"/>
                <w:szCs w:val="21"/>
              </w:rPr>
            </w:pPr>
            <w:r>
              <w:rPr>
                <w:rFonts w:eastAsia="Times New Roman"/>
                <w:sz w:val="21"/>
                <w:szCs w:val="21"/>
              </w:rPr>
              <w:t>Abteilung für Zulagen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DD4EA0" w14:textId="77777777" w:rsidR="00FA4EDF" w:rsidRDefault="00FA4EDF">
            <w:pPr>
              <w:spacing w:before="200" w:after="360"/>
              <w:rPr>
                <w:rFonts w:eastAsia="Times New Roman"/>
                <w:sz w:val="21"/>
                <w:szCs w:val="21"/>
              </w:rPr>
            </w:pPr>
            <w:r>
              <w:rPr>
                <w:rFonts w:eastAsia="Times New Roman"/>
                <w:sz w:val="21"/>
                <w:szCs w:val="21"/>
              </w:rPr>
              <w:t>Miete über der Grenze + Einkommen unter der Grenze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61E54D3" w14:textId="77777777" w:rsidR="00FA4EDF" w:rsidRDefault="00FA4EDF">
            <w:pPr>
              <w:spacing w:before="200" w:after="360"/>
              <w:rPr>
                <w:rFonts w:eastAsia="Times New Roman"/>
                <w:sz w:val="21"/>
                <w:szCs w:val="21"/>
              </w:rPr>
            </w:pPr>
            <w:r>
              <w:rPr>
                <w:rStyle w:val="status-o1"/>
                <w:rFonts w:eastAsia="Times New Roman"/>
                <w:sz w:val="21"/>
                <w:szCs w:val="21"/>
              </w:rPr>
              <w:t>Teilweise</w:t>
            </w:r>
            <w:r>
              <w:rPr>
                <w:rFonts w:eastAsia="Times New Roman"/>
                <w:sz w:val="21"/>
                <w:szCs w:val="21"/>
              </w:rPr>
              <w:t xml:space="preserve"> – bewilligt, Betrag auf der Grundlage des unvollständigen Einkommens angepasst</w:t>
            </w:r>
          </w:p>
        </w:tc>
      </w:tr>
      <w:tr w:rsidR="00000000" w14:paraId="72F46C9F"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01F5424" w14:textId="77777777" w:rsidR="00FA4EDF" w:rsidRDefault="00FA4EDF">
            <w:pPr>
              <w:spacing w:before="200" w:after="360"/>
              <w:rPr>
                <w:rFonts w:eastAsia="Times New Roman"/>
                <w:sz w:val="21"/>
                <w:szCs w:val="21"/>
              </w:rPr>
            </w:pPr>
            <w:r>
              <w:rPr>
                <w:rStyle w:val="Zwaar"/>
                <w:rFonts w:eastAsia="Times New Roman"/>
                <w:sz w:val="21"/>
                <w:szCs w:val="21"/>
              </w:rPr>
              <w:t>Kindergebundenes Budget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EBA34C" w14:textId="77777777" w:rsidR="00FA4EDF" w:rsidRDefault="00FA4EDF">
            <w:pPr>
              <w:spacing w:before="200" w:after="360"/>
              <w:rPr>
                <w:rFonts w:eastAsia="Times New Roman"/>
                <w:sz w:val="21"/>
                <w:szCs w:val="21"/>
              </w:rPr>
            </w:pPr>
            <w:r>
              <w:rPr>
                <w:rFonts w:eastAsia="Times New Roman"/>
                <w:sz w:val="21"/>
                <w:szCs w:val="21"/>
              </w:rPr>
              <w:t>Abteilung für Zulagen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E4799F" w14:textId="77777777" w:rsidR="00FA4EDF" w:rsidRDefault="00FA4EDF">
            <w:pPr>
              <w:spacing w:before="200" w:after="360"/>
              <w:rPr>
                <w:rFonts w:eastAsia="Times New Roman"/>
                <w:sz w:val="21"/>
                <w:szCs w:val="21"/>
              </w:rPr>
            </w:pPr>
            <w:r>
              <w:rPr>
                <w:rFonts w:eastAsia="Times New Roman"/>
                <w:sz w:val="21"/>
                <w:szCs w:val="21"/>
              </w:rPr>
              <w:t>Kind + Einkommen unterhalb der Grenze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1A8886" w14:textId="77777777" w:rsidR="00FA4EDF" w:rsidRDefault="00FA4EDF">
            <w:pPr>
              <w:spacing w:before="200" w:after="360"/>
              <w:rPr>
                <w:rFonts w:eastAsia="Times New Roman"/>
                <w:sz w:val="21"/>
                <w:szCs w:val="21"/>
              </w:rPr>
            </w:pPr>
            <w:r>
              <w:rPr>
                <w:rStyle w:val="status-o1"/>
                <w:rFonts w:eastAsia="Times New Roman"/>
                <w:sz w:val="21"/>
                <w:szCs w:val="21"/>
              </w:rPr>
              <w:t>Teilweise</w:t>
            </w:r>
            <w:r>
              <w:rPr>
                <w:rFonts w:eastAsia="Times New Roman"/>
                <w:sz w:val="21"/>
                <w:szCs w:val="21"/>
              </w:rPr>
              <w:t xml:space="preserve"> – nach Verknüpfung mit der SVB bewilligt</w:t>
            </w:r>
          </w:p>
        </w:tc>
      </w:tr>
      <w:tr w:rsidR="00000000" w14:paraId="4AE4D279"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F7F7FD" w14:textId="77777777" w:rsidR="00FA4EDF" w:rsidRDefault="00FA4EDF">
            <w:pPr>
              <w:spacing w:before="200" w:after="360"/>
              <w:rPr>
                <w:rFonts w:eastAsia="Times New Roman"/>
                <w:sz w:val="21"/>
                <w:szCs w:val="21"/>
              </w:rPr>
            </w:pPr>
            <w:r>
              <w:rPr>
                <w:rStyle w:val="Zwaar"/>
                <w:rFonts w:eastAsia="Times New Roman"/>
                <w:sz w:val="21"/>
                <w:szCs w:val="21"/>
              </w:rPr>
              <w:t>Kindergeld</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F171DD" w14:textId="77777777" w:rsidR="00FA4EDF" w:rsidRDefault="00FA4EDF">
            <w:pPr>
              <w:spacing w:before="200" w:after="360"/>
              <w:rPr>
                <w:rFonts w:eastAsia="Times New Roman"/>
                <w:sz w:val="21"/>
                <w:szCs w:val="21"/>
              </w:rPr>
            </w:pPr>
            <w:r>
              <w:rPr>
                <w:rFonts w:eastAsia="Times New Roman"/>
                <w:sz w:val="21"/>
                <w:szCs w:val="21"/>
              </w:rPr>
              <w:t>SVB</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DA9F3AB" w14:textId="77777777" w:rsidR="00FA4EDF" w:rsidRDefault="00FA4EDF">
            <w:pPr>
              <w:spacing w:before="200" w:after="360"/>
              <w:rPr>
                <w:rFonts w:eastAsia="Times New Roman"/>
                <w:sz w:val="21"/>
                <w:szCs w:val="21"/>
              </w:rPr>
            </w:pPr>
            <w:r>
              <w:rPr>
                <w:rFonts w:eastAsia="Times New Roman"/>
                <w:sz w:val="21"/>
                <w:szCs w:val="21"/>
              </w:rPr>
              <w:t>Unterhaltsberechtigtes Kind + Wohnsitzlandprinzip</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BF5AC6D" w14:textId="77777777" w:rsidR="00FA4EDF" w:rsidRDefault="00FA4EDF">
            <w:pPr>
              <w:spacing w:before="200" w:after="360"/>
              <w:rPr>
                <w:rFonts w:eastAsia="Times New Roman"/>
                <w:sz w:val="21"/>
                <w:szCs w:val="21"/>
              </w:rPr>
            </w:pPr>
            <w:r>
              <w:rPr>
                <w:rStyle w:val="status-g1"/>
                <w:rFonts w:eastAsia="Times New Roman"/>
                <w:sz w:val="21"/>
                <w:szCs w:val="21"/>
              </w:rPr>
              <w:t>Bewilligt</w:t>
            </w:r>
            <w:r>
              <w:rPr>
                <w:rFonts w:eastAsia="Times New Roman"/>
                <w:sz w:val="21"/>
                <w:szCs w:val="21"/>
              </w:rPr>
              <w:t xml:space="preserve"> – geringer Betrag, aktiv seit dem 20.04.2026</w:t>
            </w:r>
          </w:p>
        </w:tc>
      </w:tr>
    </w:tbl>
    <w:p w14:paraId="476B55FB" w14:textId="77777777" w:rsidR="00FA4EDF" w:rsidRDefault="00FA4EDF">
      <w:pPr>
        <w:pStyle w:val="Kop4"/>
        <w:divId w:val="982394320"/>
        <w:rPr>
          <w:rFonts w:eastAsia="Times New Roman"/>
          <w:lang w:val="de-DE"/>
        </w:rPr>
      </w:pPr>
      <w:r>
        <w:rPr>
          <w:rFonts w:eastAsia="Times New Roman"/>
          <w:lang w:val="de-DE"/>
        </w:rPr>
        <w:t>Grenzüberschreitende Ansprüche</w:t>
      </w:r>
    </w:p>
    <w:tbl>
      <w:tblPr>
        <w:tblW w:w="5000" w:type="pct"/>
        <w:tblCellMar>
          <w:top w:w="15" w:type="dxa"/>
          <w:left w:w="15" w:type="dxa"/>
          <w:bottom w:w="15" w:type="dxa"/>
          <w:right w:w="15" w:type="dxa"/>
        </w:tblCellMar>
        <w:tblLook w:val="04A0" w:firstRow="1" w:lastRow="0" w:firstColumn="1" w:lastColumn="0" w:noHBand="0" w:noVBand="1"/>
      </w:tblPr>
      <w:tblGrid>
        <w:gridCol w:w="2343"/>
        <w:gridCol w:w="1799"/>
        <w:gridCol w:w="2570"/>
        <w:gridCol w:w="2344"/>
      </w:tblGrid>
      <w:tr w:rsidR="00000000" w14:paraId="0424408D" w14:textId="77777777">
        <w:trPr>
          <w:divId w:val="982394320"/>
          <w:tblHeader/>
        </w:trPr>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BCE58D8"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Anspruch</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6334E6E"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Grundlage</w:t>
            </w:r>
          </w:p>
        </w:tc>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954A474"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Voraussetzung</w:t>
            </w:r>
          </w:p>
        </w:tc>
        <w:tc>
          <w:tcPr>
            <w:tcW w:w="14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F35F5D1"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Status</w:t>
            </w:r>
          </w:p>
        </w:tc>
      </w:tr>
      <w:tr w:rsidR="00000000" w14:paraId="019400E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CD0ACE" w14:textId="77777777" w:rsidR="00FA4EDF" w:rsidRDefault="00FA4EDF">
            <w:pPr>
              <w:spacing w:before="200" w:after="360"/>
              <w:rPr>
                <w:rFonts w:eastAsia="Times New Roman"/>
                <w:sz w:val="21"/>
                <w:szCs w:val="21"/>
              </w:rPr>
            </w:pPr>
            <w:r>
              <w:rPr>
                <w:rStyle w:val="Zwaar"/>
                <w:rFonts w:eastAsia="Times New Roman"/>
                <w:sz w:val="21"/>
                <w:szCs w:val="21"/>
              </w:rPr>
              <w:t>Zusammenrechnung von Versicherungszeiten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2479C5" w14:textId="77777777" w:rsidR="00FA4EDF" w:rsidRDefault="00FA4EDF">
            <w:pPr>
              <w:spacing w:before="200" w:after="360"/>
              <w:rPr>
                <w:rFonts w:eastAsia="Times New Roman"/>
                <w:sz w:val="21"/>
                <w:szCs w:val="21"/>
              </w:rPr>
            </w:pPr>
            <w:r>
              <w:rPr>
                <w:rFonts w:eastAsia="Times New Roman"/>
                <w:sz w:val="21"/>
                <w:szCs w:val="21"/>
              </w:rPr>
              <w:t>Verordnung (EG) Nr. 883/2004, Art. 6</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8605B00" w14:textId="77777777" w:rsidR="00FA4EDF" w:rsidRDefault="00FA4EDF">
            <w:pPr>
              <w:spacing w:before="200" w:after="360"/>
              <w:rPr>
                <w:rFonts w:eastAsia="Times New Roman"/>
                <w:sz w:val="21"/>
                <w:szCs w:val="21"/>
              </w:rPr>
            </w:pPr>
            <w:r>
              <w:rPr>
                <w:rFonts w:eastAsia="Times New Roman"/>
                <w:sz w:val="21"/>
                <w:szCs w:val="21"/>
              </w:rPr>
              <w:t>Versicherungszeiträume in mehreren EU-Mitgliedstaaten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38FE013" w14:textId="77777777" w:rsidR="00FA4EDF" w:rsidRDefault="00FA4EDF">
            <w:pPr>
              <w:spacing w:before="200" w:after="360"/>
              <w:rPr>
                <w:rFonts w:eastAsia="Times New Roman"/>
                <w:sz w:val="21"/>
                <w:szCs w:val="21"/>
              </w:rPr>
            </w:pPr>
            <w:r>
              <w:rPr>
                <w:rStyle w:val="status-r1"/>
                <w:rFonts w:eastAsia="Times New Roman"/>
                <w:sz w:val="21"/>
                <w:szCs w:val="21"/>
              </w:rPr>
              <w:t>Nicht angewendet</w:t>
            </w:r>
            <w:r>
              <w:rPr>
                <w:rFonts w:eastAsia="Times New Roman"/>
                <w:sz w:val="21"/>
                <w:szCs w:val="21"/>
              </w:rPr>
              <w:t xml:space="preserve"> – CM und UWV wenden die nationalen Referenzzeiträume an</w:t>
            </w:r>
          </w:p>
        </w:tc>
      </w:tr>
      <w:tr w:rsidR="00000000" w14:paraId="5C7F216C"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F3B37A" w14:textId="77777777" w:rsidR="00FA4EDF" w:rsidRDefault="00FA4EDF">
            <w:pPr>
              <w:spacing w:before="200" w:after="360"/>
              <w:rPr>
                <w:rFonts w:eastAsia="Times New Roman"/>
                <w:sz w:val="21"/>
                <w:szCs w:val="21"/>
              </w:rPr>
            </w:pPr>
            <w:r>
              <w:rPr>
                <w:rStyle w:val="Zwaar"/>
                <w:rFonts w:eastAsia="Times New Roman"/>
                <w:sz w:val="21"/>
                <w:szCs w:val="21"/>
              </w:rPr>
              <w:t>Pro-rata-Berechnung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1391814" w14:textId="77777777" w:rsidR="00FA4EDF" w:rsidRDefault="00FA4EDF">
            <w:pPr>
              <w:spacing w:before="200" w:after="360"/>
              <w:rPr>
                <w:rFonts w:eastAsia="Times New Roman"/>
                <w:sz w:val="21"/>
                <w:szCs w:val="21"/>
              </w:rPr>
            </w:pPr>
            <w:r>
              <w:rPr>
                <w:rFonts w:eastAsia="Times New Roman"/>
                <w:sz w:val="21"/>
                <w:szCs w:val="21"/>
              </w:rPr>
              <w:t>Verordnung (EG) Nr. 883/2004, Art. 52</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5D848E" w14:textId="77777777" w:rsidR="00FA4EDF" w:rsidRDefault="00FA4EDF">
            <w:pPr>
              <w:spacing w:before="200" w:after="360"/>
              <w:rPr>
                <w:rFonts w:eastAsia="Times New Roman"/>
                <w:sz w:val="21"/>
                <w:szCs w:val="21"/>
              </w:rPr>
            </w:pPr>
            <w:r>
              <w:rPr>
                <w:rFonts w:eastAsia="Times New Roman"/>
                <w:sz w:val="21"/>
                <w:szCs w:val="21"/>
              </w:rPr>
              <w:t>Anspruch auf Leistungen im Rahmen der Zusammenrechnung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CB31024" w14:textId="77777777" w:rsidR="00FA4EDF" w:rsidRDefault="00FA4EDF">
            <w:pPr>
              <w:spacing w:before="200" w:after="360"/>
              <w:rPr>
                <w:rFonts w:eastAsia="Times New Roman"/>
                <w:sz w:val="21"/>
                <w:szCs w:val="21"/>
              </w:rPr>
            </w:pPr>
            <w:r>
              <w:rPr>
                <w:rStyle w:val="status-r1"/>
                <w:rFonts w:eastAsia="Times New Roman"/>
                <w:sz w:val="21"/>
                <w:szCs w:val="21"/>
              </w:rPr>
              <w:t>Nicht angewendet</w:t>
            </w:r>
            <w:r>
              <w:rPr>
                <w:rFonts w:eastAsia="Times New Roman"/>
                <w:sz w:val="21"/>
                <w:szCs w:val="21"/>
              </w:rPr>
              <w:t xml:space="preserve"> – Voraussetzung: Anerkennung des Anspruchs auf Leistungen</w:t>
            </w:r>
          </w:p>
        </w:tc>
      </w:tr>
      <w:tr w:rsidR="00000000" w14:paraId="7755E67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4321F1A" w14:textId="77777777" w:rsidR="00FA4EDF" w:rsidRDefault="00FA4EDF">
            <w:pPr>
              <w:spacing w:before="200" w:after="360"/>
              <w:rPr>
                <w:rFonts w:eastAsia="Times New Roman"/>
                <w:sz w:val="21"/>
                <w:szCs w:val="21"/>
              </w:rPr>
            </w:pPr>
            <w:r>
              <w:rPr>
                <w:rStyle w:val="Zwaar"/>
                <w:rFonts w:eastAsia="Times New Roman"/>
                <w:sz w:val="21"/>
                <w:szCs w:val="21"/>
              </w:rPr>
              <w:t>Anwendung des Vester-Urteils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1DFED61" w14:textId="77777777" w:rsidR="00FA4EDF" w:rsidRDefault="00FA4EDF">
            <w:pPr>
              <w:spacing w:before="200" w:after="360"/>
              <w:rPr>
                <w:rFonts w:eastAsia="Times New Roman"/>
                <w:sz w:val="21"/>
                <w:szCs w:val="21"/>
              </w:rPr>
            </w:pPr>
            <w:r>
              <w:rPr>
                <w:rFonts w:eastAsia="Times New Roman"/>
                <w:sz w:val="21"/>
                <w:szCs w:val="21"/>
              </w:rPr>
              <w:t>EuGH C-134/18</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A28045" w14:textId="77777777" w:rsidR="00FA4EDF" w:rsidRDefault="00FA4EDF">
            <w:pPr>
              <w:spacing w:before="200" w:after="360"/>
              <w:rPr>
                <w:rFonts w:eastAsia="Times New Roman"/>
                <w:sz w:val="21"/>
                <w:szCs w:val="21"/>
              </w:rPr>
            </w:pPr>
            <w:r>
              <w:rPr>
                <w:rFonts w:eastAsia="Times New Roman"/>
                <w:sz w:val="21"/>
                <w:szCs w:val="21"/>
              </w:rPr>
              <w:t>Einkommenslücke bei aufeinanderfolgenden Versicherungen in zwei Mitgliedstaaten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31FD5B3" w14:textId="77777777" w:rsidR="00FA4EDF" w:rsidRDefault="00FA4EDF">
            <w:pPr>
              <w:spacing w:before="200" w:after="360"/>
              <w:rPr>
                <w:rFonts w:eastAsia="Times New Roman"/>
                <w:sz w:val="21"/>
                <w:szCs w:val="21"/>
              </w:rPr>
            </w:pPr>
            <w:r>
              <w:rPr>
                <w:rStyle w:val="status-r1"/>
                <w:rFonts w:eastAsia="Times New Roman"/>
                <w:sz w:val="21"/>
                <w:szCs w:val="21"/>
              </w:rPr>
              <w:t>Nicht angewendet</w:t>
            </w:r>
            <w:r>
              <w:rPr>
                <w:rFonts w:eastAsia="Times New Roman"/>
                <w:sz w:val="21"/>
                <w:szCs w:val="21"/>
              </w:rPr>
              <w:t xml:space="preserve"> – UWV lehnt ab, CM lehnt ab</w:t>
            </w:r>
          </w:p>
        </w:tc>
      </w:tr>
    </w:tbl>
    <w:p w14:paraId="3576D359" w14:textId="77777777" w:rsidR="00FA4EDF" w:rsidRDefault="00FA4EDF">
      <w:pPr>
        <w:divId w:val="982394320"/>
        <w:rPr>
          <w:rFonts w:eastAsia="Times New Roman"/>
          <w:vanish/>
          <w:lang w:val="de-DE"/>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626D52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A96DAC5" w14:textId="77777777" w:rsidR="00FA4EDF" w:rsidRDefault="00FA4EDF">
            <w:pPr>
              <w:pStyle w:val="Normaalweb"/>
              <w:spacing w:before="120"/>
              <w:jc w:val="center"/>
              <w:rPr>
                <w:sz w:val="21"/>
                <w:szCs w:val="21"/>
              </w:rPr>
            </w:pPr>
            <w:r>
              <w:rPr>
                <w:noProof/>
                <w:sz w:val="21"/>
                <w:szCs w:val="21"/>
              </w:rPr>
              <w:drawing>
                <wp:inline distT="0" distB="0" distL="0" distR="0" wp14:anchorId="702F3BE3" wp14:editId="7ED276ED">
                  <wp:extent cx="3810000" cy="164465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78537E72" w14:textId="77777777" w:rsidR="00FA4EDF" w:rsidRDefault="00FA4EDF">
            <w:pPr>
              <w:pStyle w:val="caption"/>
              <w:spacing w:after="120" w:afterAutospacing="0"/>
            </w:pPr>
            <w:r>
              <w:rPr>
                <w:rStyle w:val="Zwaar"/>
              </w:rPr>
              <w:t>Abbildung II.1 – Die Bestandsaufnahme.</w:t>
            </w:r>
            <w:r>
              <w:t xml:space="preserve"> Um die Familie herum befinden sich die Töpfe, auf die ein Anspruch besteht oder bestehen könnte. Grün = funktioniert. Orange = teilweise oder auf Umwegen. Rot = gesperrt oder nicht beantragt. Links die belgischen Töpfe, rechts die niederländischen. Die grünen Töpfe sind klein oder indirekt. Die großen Einkommensquellen sind alle rot.</w:t>
            </w:r>
          </w:p>
        </w:tc>
      </w:tr>
    </w:tbl>
    <w:p w14:paraId="0ACCD945" w14:textId="77777777" w:rsidR="00FA4EDF" w:rsidRDefault="00FA4EDF">
      <w:pPr>
        <w:pStyle w:val="Kop3"/>
        <w:divId w:val="982394320"/>
        <w:rPr>
          <w:rFonts w:eastAsia="Times New Roman"/>
          <w:lang w:val="de-DE"/>
        </w:rPr>
      </w:pPr>
      <w:bookmarkStart w:id="27" w:name="_Toc242103063"/>
      <w:r>
        <w:rPr>
          <w:rFonts w:eastAsia="Times New Roman"/>
          <w:lang w:val="de-DE"/>
        </w:rPr>
        <w:t>Teil II-B – Die Kopplungsverkäufe</w:t>
      </w:r>
      <w:bookmarkEnd w:id="27"/>
    </w:p>
    <w:p w14:paraId="6FB7EF33" w14:textId="77777777" w:rsidR="00FA4EDF" w:rsidRDefault="00FA4EDF">
      <w:pPr>
        <w:pStyle w:val="Normaalweb"/>
        <w:divId w:val="982394320"/>
        <w:rPr>
          <w:lang w:val="de-DE"/>
        </w:rPr>
      </w:pPr>
      <w:r>
        <w:rPr>
          <w:lang w:val="de-DE"/>
        </w:rPr>
        <w:t xml:space="preserve">Die beiden Verfahren sind nicht voneinander unabhängig. In beiden Ländern besteht eine </w:t>
      </w:r>
      <w:r>
        <w:rPr>
          <w:rStyle w:val="Zwaar"/>
          <w:lang w:val="de-DE"/>
        </w:rPr>
        <w:t>Kopplung</w:t>
      </w:r>
      <w:r>
        <w:rPr>
          <w:lang w:val="de-DE"/>
        </w:rPr>
        <w:t>: Eine medizinische Feststellung hat zwei mögliche Folgen – eine Leistung und einen Steuervorteil –, doch der Steuervorteil wird erst gewährt, nachdem der Leistungsweg anerkannt wurde. Rechtlich gesehen handelt es sich um zwei getrennte Verfahren. Administrativ sind sie jedoch miteinander verknüpft.</w:t>
      </w:r>
    </w:p>
    <w:p w14:paraId="7E606E23" w14:textId="77777777" w:rsidR="00FA4EDF" w:rsidRDefault="00FA4EDF">
      <w:pPr>
        <w:pStyle w:val="Kop4"/>
        <w:divId w:val="982394320"/>
        <w:rPr>
          <w:rFonts w:eastAsia="Times New Roman"/>
          <w:lang w:val="de-DE"/>
        </w:rPr>
      </w:pPr>
      <w:r>
        <w:rPr>
          <w:rFonts w:eastAsia="Times New Roman"/>
          <w:lang w:val="de-DE"/>
        </w:rPr>
        <w:t>So funktioniert die Kopplungsverkaufspraxis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6DBDA0F"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46E233C" w14:textId="77777777" w:rsidR="00FA4EDF" w:rsidRDefault="00FA4EDF">
            <w:pPr>
              <w:pStyle w:val="Normaalweb"/>
              <w:spacing w:before="120"/>
              <w:jc w:val="center"/>
              <w:rPr>
                <w:sz w:val="21"/>
                <w:szCs w:val="21"/>
              </w:rPr>
            </w:pPr>
            <w:r>
              <w:rPr>
                <w:noProof/>
                <w:sz w:val="21"/>
                <w:szCs w:val="21"/>
              </w:rPr>
              <w:drawing>
                <wp:inline distT="0" distB="0" distL="0" distR="0" wp14:anchorId="6C0A54CD" wp14:editId="249EE561">
                  <wp:extent cx="3810000" cy="14541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204A8BA4" w14:textId="77777777" w:rsidR="00FA4EDF" w:rsidRDefault="00FA4EDF">
            <w:pPr>
              <w:pStyle w:val="caption"/>
              <w:spacing w:after="120" w:afterAutospacing="0"/>
            </w:pPr>
            <w:r>
              <w:rPr>
                <w:rStyle w:val="Zwaar"/>
              </w:rPr>
              <w:t>Abbildung II.2 – Die Kopplung.</w:t>
            </w:r>
            <w:r>
              <w:t xml:space="preserve"> Eine medizinische Feststellung, zwei Wege. Der steuerliche Weg wird nicht eigenständig bewertet, sondern ist an den Leistungsweg gekoppelt. Wird in beiden Ländern angewendet, jeweils mit einer eigenen administrativen Variante.</w:t>
            </w:r>
          </w:p>
        </w:tc>
      </w:tr>
    </w:tbl>
    <w:p w14:paraId="1B49563B" w14:textId="77777777" w:rsidR="00FA4EDF" w:rsidRDefault="00FA4EDF">
      <w:pPr>
        <w:pStyle w:val="Kop4"/>
        <w:divId w:val="982394320"/>
        <w:rPr>
          <w:rFonts w:eastAsia="Times New Roman"/>
          <w:lang w:val="de-DE"/>
        </w:rPr>
      </w:pPr>
      <w:r>
        <w:rPr>
          <w:rFonts w:eastAsia="Times New Roman"/>
          <w:lang w:val="de-DE"/>
        </w:rPr>
        <w:t>Warum dies für einen Grenzgänger fatal ist</w:t>
      </w:r>
    </w:p>
    <w:p w14:paraId="677DD4AC" w14:textId="77777777" w:rsidR="00FA4EDF" w:rsidRDefault="00FA4EDF">
      <w:pPr>
        <w:pStyle w:val="Normaalweb"/>
        <w:divId w:val="982394320"/>
        <w:rPr>
          <w:lang w:val="de-DE"/>
        </w:rPr>
      </w:pPr>
      <w:r>
        <w:rPr>
          <w:lang w:val="de-DE"/>
        </w:rPr>
        <w:t>Ein Staatsangehöriger hat es mit einem einzigen System zu tun. Wenn es Probleme mit der Kopplungsverkaufspraxis gibt, kann er an einer einzigen Anlaufstelle klagen. Ein Grenzgänger hat es mit zwei nationalen Systemen zu tun, die ihn nicht als eine einzige Person betrachten.</w:t>
      </w:r>
    </w:p>
    <w:p w14:paraId="6154B003" w14:textId="77777777" w:rsidR="00FA4EDF" w:rsidRDefault="00FA4EDF">
      <w:pPr>
        <w:pStyle w:val="Normaalweb"/>
        <w:divId w:val="982394320"/>
        <w:rPr>
          <w:lang w:val="de-DE"/>
        </w:rPr>
      </w:pPr>
      <w:r>
        <w:rPr>
          <w:lang w:val="de-DE"/>
        </w:rPr>
        <w:t xml:space="preserve">Im Wohnsitzland (Niederlande): </w:t>
      </w:r>
      <w:r>
        <w:rPr>
          <w:rStyle w:val="Nadruk"/>
          <w:lang w:val="de-DE"/>
        </w:rPr>
        <w:t>Sie wohnen hier, daher sind wir für die Leistung nicht zuständig, da Sie in Belgien gearbeitet haben.</w:t>
      </w:r>
      <w:r>
        <w:rPr>
          <w:lang w:val="de-DE"/>
        </w:rPr>
        <w:t xml:space="preserve"> Im Arbeitsland (Belgien): </w:t>
      </w:r>
      <w:r>
        <w:rPr>
          <w:rStyle w:val="Nadruk"/>
          <w:lang w:val="de-DE"/>
        </w:rPr>
        <w:t>Sie arbeiten hier, wohnen aber in den Niederlanden, daher müssen wir die steuerlichen Vorteile nicht gewähren.</w:t>
      </w:r>
      <w:r>
        <w:rPr>
          <w:lang w:val="de-DE"/>
        </w:rPr>
        <w:t xml:space="preserve"> Jedes System wendet seine eigene Kopplungsregelung an, und kein System löst dieses Problem, indem es die medizinische Feststellung davon entkoppelt.</w:t>
      </w:r>
    </w:p>
    <w:p w14:paraId="08F141A7" w14:textId="77777777" w:rsidR="00FA4EDF" w:rsidRDefault="00FA4EDF">
      <w:pPr>
        <w:pStyle w:val="Normaalweb"/>
        <w:divId w:val="982394320"/>
        <w:rPr>
          <w:lang w:val="de-DE"/>
        </w:rPr>
      </w:pPr>
      <w:r>
        <w:rPr>
          <w:lang w:val="de-DE"/>
        </w:rPr>
        <w:t xml:space="preserve">Das EESSI-Netzwerk und die Verordnung 883/2004 sehen die Zusammenrechnung von Versicherungszeiten (Artikel 6) und eine anteilige Berechnung (Artikel 52) vor. Sie sehen jedoch keine </w:t>
      </w:r>
      <w:r>
        <w:rPr>
          <w:rStyle w:val="Nadruk"/>
          <w:lang w:val="de-DE"/>
        </w:rPr>
        <w:t>Entkopplung</w:t>
      </w:r>
      <w:r>
        <w:rPr>
          <w:lang w:val="de-DE"/>
        </w:rPr>
        <w:t xml:space="preserve"> der medizinischen Feststellung von den Leistungsvoraussetzungen vor. Diese Entkopplung fällt in die nationale Zuständigkeit, und keiner der beiden Staaten wendet sie bei Grenzgängern an.</w:t>
      </w:r>
    </w:p>
    <w:p w14:paraId="2A705FFD" w14:textId="77777777" w:rsidR="00FA4EDF" w:rsidRDefault="00FA4EDF">
      <w:pPr>
        <w:pStyle w:val="Kop3"/>
        <w:divId w:val="982394320"/>
        <w:rPr>
          <w:rFonts w:eastAsia="Times New Roman"/>
          <w:lang w:val="de-DE"/>
        </w:rPr>
      </w:pPr>
      <w:bookmarkStart w:id="28" w:name="_Toc242103064"/>
      <w:r>
        <w:rPr>
          <w:rFonts w:eastAsia="Times New Roman"/>
          <w:lang w:val="de-DE"/>
        </w:rPr>
        <w:t>Teil II-C – Die vier Catch-22-Situationen</w:t>
      </w:r>
      <w:bookmarkEnd w:id="28"/>
    </w:p>
    <w:p w14:paraId="341F28DB" w14:textId="77777777" w:rsidR="00FA4EDF" w:rsidRDefault="00FA4EDF">
      <w:pPr>
        <w:pStyle w:val="Normaalweb"/>
        <w:divId w:val="982394320"/>
        <w:rPr>
          <w:lang w:val="de-DE"/>
        </w:rPr>
      </w:pPr>
      <w:r>
        <w:rPr>
          <w:lang w:val="de-DE"/>
        </w:rPr>
        <w:t>Die Kopplungsverkäufe führen in der Praxis zu einer Reihe von Zirkelschlüssen. Nachfolgend sind die vier häufigsten aufgeführt.</w:t>
      </w:r>
    </w:p>
    <w:p w14:paraId="2A6F1906" w14:textId="77777777" w:rsidR="00FA4EDF" w:rsidRDefault="00FA4EDF">
      <w:pPr>
        <w:pStyle w:val="Kop4"/>
        <w:divId w:val="982394320"/>
        <w:rPr>
          <w:rFonts w:eastAsia="Times New Roman"/>
          <w:lang w:val="de-DE"/>
        </w:rPr>
      </w:pPr>
      <w:r>
        <w:rPr>
          <w:rFonts w:eastAsia="Times New Roman"/>
          <w:lang w:val="de-DE"/>
        </w:rPr>
        <w:t>Catch-22 Nr. 1 – Die Wartezeit, die nicht zählt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6A4A53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31FCF41" w14:textId="77777777" w:rsidR="00FA4EDF" w:rsidRDefault="00FA4EDF">
            <w:pPr>
              <w:pStyle w:val="Normaalweb"/>
              <w:spacing w:before="120"/>
              <w:jc w:val="center"/>
              <w:rPr>
                <w:sz w:val="21"/>
                <w:szCs w:val="21"/>
              </w:rPr>
            </w:pPr>
            <w:r>
              <w:rPr>
                <w:noProof/>
                <w:sz w:val="21"/>
                <w:szCs w:val="21"/>
              </w:rPr>
              <w:drawing>
                <wp:inline distT="0" distB="0" distL="0" distR="0" wp14:anchorId="13DDD430" wp14:editId="2925A7B0">
                  <wp:extent cx="3810000" cy="990600"/>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765E9C71" w14:textId="77777777" w:rsidR="00FA4EDF" w:rsidRDefault="00FA4EDF">
            <w:pPr>
              <w:pStyle w:val="caption"/>
              <w:spacing w:after="120" w:afterAutospacing="0"/>
            </w:pPr>
            <w:r>
              <w:t>CM lehnt den Antrag ab, da die nationale Wartezeit nicht erfüllt ist. Das UWV wartet auf eine Entscheidung aus Belgien, bevor es das Vester-Urteil anwendet. Der Bürger befindet sich zwischen zwei Behörden, von denen jede ihre eigenen Bedingungen stellt, die von der jeweils anderen Behörde unerfüllbar gemacht wurden.</w:t>
            </w:r>
          </w:p>
        </w:tc>
      </w:tr>
    </w:tbl>
    <w:p w14:paraId="1563442A" w14:textId="77777777" w:rsidR="00FA4EDF" w:rsidRDefault="00FA4EDF">
      <w:pPr>
        <w:pStyle w:val="Kop4"/>
        <w:divId w:val="982394320"/>
        <w:rPr>
          <w:rFonts w:eastAsia="Times New Roman"/>
          <w:lang w:val="de-DE"/>
        </w:rPr>
      </w:pPr>
      <w:r>
        <w:rPr>
          <w:rFonts w:eastAsia="Times New Roman"/>
          <w:lang w:val="de-DE"/>
        </w:rPr>
        <w:t>Catch-22 Nr. 2 – Die 8 gegenüber den 9 Punkten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2E984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C3ACB8A" w14:textId="77777777" w:rsidR="00FA4EDF" w:rsidRDefault="00FA4EDF">
            <w:pPr>
              <w:pStyle w:val="Normaalweb"/>
              <w:spacing w:before="120"/>
              <w:jc w:val="center"/>
              <w:rPr>
                <w:sz w:val="21"/>
                <w:szCs w:val="21"/>
              </w:rPr>
            </w:pPr>
            <w:r>
              <w:rPr>
                <w:noProof/>
                <w:sz w:val="21"/>
                <w:szCs w:val="21"/>
              </w:rPr>
              <w:drawing>
                <wp:inline distT="0" distB="0" distL="0" distR="0" wp14:anchorId="6EFCD5AB" wp14:editId="7A019107">
                  <wp:extent cx="3810000" cy="99060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p w14:paraId="169F1D2A" w14:textId="77777777" w:rsidR="00FA4EDF" w:rsidRDefault="00FA4EDF">
            <w:pPr>
              <w:pStyle w:val="caption"/>
              <w:spacing w:after="120" w:afterAutospacing="0"/>
            </w:pPr>
            <w:r>
              <w:t>Eine Bundesbehörde erkennt eine Behinderung offiziell an. Eine andere Bundesbehörde verlangt eine strengere Schwelle für die steuerlichen Auswirkungen. Der Bürger muss das Verfahren bei der ersten Behörde wieder aufnehmen, um einen Punkt mehr zu erreichen – und das für eine körperliche Gegebenheit, die bereits von fünf unabhängigen Gesundheitsdienstleistern festgestellt wurde.</w:t>
            </w:r>
          </w:p>
        </w:tc>
      </w:tr>
    </w:tbl>
    <w:p w14:paraId="23954C64" w14:textId="77777777" w:rsidR="00FA4EDF" w:rsidRDefault="00FA4EDF">
      <w:pPr>
        <w:pStyle w:val="Kop4"/>
        <w:divId w:val="982394320"/>
        <w:rPr>
          <w:rFonts w:eastAsia="Times New Roman"/>
          <w:lang w:val="de-DE"/>
        </w:rPr>
      </w:pPr>
      <w:r>
        <w:rPr>
          <w:rFonts w:eastAsia="Times New Roman"/>
          <w:lang w:val="de-DE"/>
        </w:rPr>
        <w:t>Catch-22 Nr. 3 – Die Daten, die nicht fließen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C8E199F"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1A05565" w14:textId="77777777" w:rsidR="00FA4EDF" w:rsidRDefault="00FA4EDF">
            <w:pPr>
              <w:pStyle w:val="Normaalweb"/>
              <w:spacing w:before="120"/>
              <w:jc w:val="center"/>
              <w:rPr>
                <w:sz w:val="21"/>
                <w:szCs w:val="21"/>
              </w:rPr>
            </w:pPr>
            <w:r>
              <w:rPr>
                <w:noProof/>
                <w:sz w:val="21"/>
                <w:szCs w:val="21"/>
              </w:rPr>
              <w:drawing>
                <wp:inline distT="0" distB="0" distL="0" distR="0" wp14:anchorId="6D54F6EF" wp14:editId="65C963AB">
                  <wp:extent cx="3810000" cy="1143000"/>
                  <wp:effectExtent l="0" t="0" r="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0" cy="1143000"/>
                          </a:xfrm>
                          <a:prstGeom prst="rect">
                            <a:avLst/>
                          </a:prstGeom>
                          <a:noFill/>
                          <a:ln>
                            <a:noFill/>
                          </a:ln>
                        </pic:spPr>
                      </pic:pic>
                    </a:graphicData>
                  </a:graphic>
                </wp:inline>
              </w:drawing>
            </w:r>
          </w:p>
          <w:p w14:paraId="6EF8DEF4" w14:textId="77777777" w:rsidR="00FA4EDF" w:rsidRDefault="00FA4EDF">
            <w:pPr>
              <w:pStyle w:val="caption"/>
              <w:spacing w:after="120" w:afterAutospacing="0"/>
            </w:pPr>
            <w:r>
              <w:t>Die CM erfasst den Krankheitsstatus nicht in der Zentralen Datenbank für soziale Sicherheit (KSZ). Parentia, die SVB und die niederländische Zulagenbehörde beziehen ihre Daten alle aus derselben KSZ oder einer davon abgeleiteten Datenbank. Eine einzige Sperrung bei einer Stelle führt dazu, dass sechs weitere Zahlungen ausgesetzt werden.</w:t>
            </w:r>
          </w:p>
        </w:tc>
      </w:tr>
    </w:tbl>
    <w:p w14:paraId="5279C0A7" w14:textId="77777777" w:rsidR="00FA4EDF" w:rsidRDefault="00FA4EDF">
      <w:pPr>
        <w:pStyle w:val="Kop4"/>
        <w:divId w:val="982394320"/>
        <w:rPr>
          <w:rFonts w:eastAsia="Times New Roman"/>
          <w:lang w:val="de-DE"/>
        </w:rPr>
      </w:pPr>
      <w:r>
        <w:rPr>
          <w:rFonts w:eastAsia="Times New Roman"/>
          <w:lang w:val="de-DE"/>
        </w:rPr>
        <w:t>Catch-22 Nr. 4 – Der MAF, der weder steigt noch fällt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9C4335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3E0A2FB" w14:textId="77777777" w:rsidR="00FA4EDF" w:rsidRDefault="00FA4EDF">
            <w:pPr>
              <w:pStyle w:val="Normaalweb"/>
              <w:spacing w:before="120"/>
              <w:jc w:val="center"/>
              <w:rPr>
                <w:sz w:val="21"/>
                <w:szCs w:val="21"/>
              </w:rPr>
            </w:pPr>
            <w:r>
              <w:rPr>
                <w:noProof/>
                <w:sz w:val="21"/>
                <w:szCs w:val="21"/>
              </w:rPr>
              <w:drawing>
                <wp:inline distT="0" distB="0" distL="0" distR="0" wp14:anchorId="52E71689" wp14:editId="6BBA512F">
                  <wp:extent cx="3810000" cy="121920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810000" cy="1219200"/>
                          </a:xfrm>
                          <a:prstGeom prst="rect">
                            <a:avLst/>
                          </a:prstGeom>
                          <a:noFill/>
                          <a:ln>
                            <a:noFill/>
                          </a:ln>
                        </pic:spPr>
                      </pic:pic>
                    </a:graphicData>
                  </a:graphic>
                </wp:inline>
              </w:drawing>
            </w:r>
          </w:p>
          <w:p w14:paraId="7BD948A1" w14:textId="77777777" w:rsidR="00FA4EDF" w:rsidRDefault="00FA4EDF">
            <w:pPr>
              <w:pStyle w:val="caption"/>
              <w:spacing w:after="120" w:afterAutospacing="0"/>
            </w:pPr>
            <w:r>
              <w:t>Die Krankenkasse verwaltet sowohl die Höchstgrenze für Rechnungen (MAF) als auch die Anerkennung der Erwerbsunfähigkeit. Wer als erwerbsunfähig anerkannt ist, erhält eine niedrigere Selbstbeteiligungsgrenze – weniger Zuzahlung, mehr Erstattung. Da dieselbe Krankenkasse die Anerkennung verweigert, bleibt die Familie bei der regulären Selbstbeteiligungsgrenze. Der Patient zahlt also mehr Selbstbeteiligung als eine Person mit Behinderung im gleichen körperlichen Zustand. Dieselbe Stelle hat durch die Genehmigu</w:t>
            </w:r>
            <w:r>
              <w:t>ng von Hilfsmitteln die medizinische Tatsache festgestellt, weigert sich jedoch, diese Tatsache zu nutzen, um das finanzielle Sicherheitsnetz zu erhöhen.</w:t>
            </w:r>
          </w:p>
        </w:tc>
      </w:tr>
    </w:tbl>
    <w:p w14:paraId="56F244FB" w14:textId="77777777" w:rsidR="00FA4EDF" w:rsidRDefault="00FA4EDF">
      <w:pPr>
        <w:pStyle w:val="Kop3"/>
        <w:divId w:val="982394320"/>
        <w:rPr>
          <w:rFonts w:eastAsia="Times New Roman"/>
          <w:lang w:val="de-DE"/>
        </w:rPr>
      </w:pPr>
      <w:bookmarkStart w:id="29" w:name="_Toc242103065"/>
      <w:r>
        <w:rPr>
          <w:rFonts w:eastAsia="Times New Roman"/>
          <w:lang w:val="de-DE"/>
        </w:rPr>
        <w:t>Was in diesem Kapitel dargelegt wird</w:t>
      </w:r>
      <w:bookmarkEnd w:id="29"/>
    </w:p>
    <w:p w14:paraId="274D29C0" w14:textId="77777777" w:rsidR="00FA4EDF" w:rsidRDefault="00FA4EDF">
      <w:pPr>
        <w:pStyle w:val="Normaalweb"/>
        <w:divId w:val="982394320"/>
        <w:rPr>
          <w:lang w:val="de-DE"/>
        </w:rPr>
      </w:pPr>
      <w:r>
        <w:rPr>
          <w:lang w:val="de-DE"/>
        </w:rPr>
        <w:t>Die Familie hat Anspruch auf eine breite Palette von Beihilfen. Theoretisch deckt das Netzwerk der beiden Sozialstaaten zusammen fast jeden Aspekt der medizinischen und finanziellen Situation ab. In der Praxis bleibt jedoch mehr als die Hälfte der Fördermöglichkeiten ungenutzt. Nicht, weil die Voraussetzungen unerfüllbar wären, sondern weil die Wege dorthin so gestaltet sind, dass sie sich gegenseitig blockieren.</w:t>
      </w:r>
    </w:p>
    <w:p w14:paraId="5647790D" w14:textId="77777777" w:rsidR="00FA4EDF" w:rsidRDefault="00FA4EDF">
      <w:pPr>
        <w:pStyle w:val="Normaalweb"/>
        <w:divId w:val="982394320"/>
        <w:rPr>
          <w:lang w:val="de-DE"/>
        </w:rPr>
      </w:pPr>
      <w:r>
        <w:rPr>
          <w:lang w:val="de-DE"/>
        </w:rPr>
        <w:t>Die Verknüpfung zwischen dem Sozialleistungsweg und dem steuerlichen Weg ist der am häufigsten vorkommende Mechanismus. Daraus ergeben sich die „Catch-22“-Situationen: Zirkelschlüsse zwischen zwei nationalen Systemen, die nicht miteinander kommunizieren, und zwischen Bundesbehörden innerhalb desselben Systems, die die jeweiligen Schwellenwerte der jeweils anderen nicht anerkennen.</w:t>
      </w:r>
    </w:p>
    <w:p w14:paraId="0EFBBA72" w14:textId="77777777" w:rsidR="00FA4EDF" w:rsidRDefault="00FA4EDF">
      <w:pPr>
        <w:pStyle w:val="Normaalweb"/>
        <w:divId w:val="982394320"/>
        <w:rPr>
          <w:lang w:val="de-DE"/>
        </w:rPr>
      </w:pPr>
      <w:r>
        <w:rPr>
          <w:lang w:val="de-DE"/>
        </w:rPr>
        <w:t>Das folgende Kapitel befasst sich eingehend mit den Akteuren, die diese Zwickmühlen aufrechterhalten – nicht als Personen, sondern als Funktionen innerhalb einer Architektur.</w:t>
      </w:r>
    </w:p>
    <w:p w14:paraId="6A2C6F45" w14:textId="77777777" w:rsidR="00FA4EDF" w:rsidRDefault="00FA4EDF">
      <w:pPr>
        <w:pStyle w:val="noot"/>
        <w:spacing w:after="120" w:afterAutospacing="0"/>
        <w:divId w:val="982394320"/>
        <w:rPr>
          <w:lang w:val="de-DE"/>
        </w:rPr>
      </w:pPr>
      <w:r>
        <w:rPr>
          <w:lang w:val="de-DE"/>
        </w:rPr>
        <w:t>Alle Organisationen in diesem Kapitel sind juristische Personen. Natürliche Personen werden ausschließlich mit ihrer Funktion oder einem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Dies ist sowohl eine methodische Entscheidung als auch eine Verpflichtung gem</w:t>
      </w:r>
      <w:r>
        <w:rPr>
          <w:rFonts w:cs="Aptos"/>
          <w:lang w:val="de-DE"/>
        </w:rPr>
        <w:t>äß</w:t>
      </w:r>
      <w:r>
        <w:rPr>
          <w:lang w:val="de-DE"/>
        </w:rPr>
        <w:t xml:space="preserve"> der Datenschutz-Grundverordnung. Das Bestandsverzeichnis der T</w:t>
      </w:r>
      <w:r>
        <w:rPr>
          <w:rFonts w:cs="Aptos"/>
          <w:lang w:val="de-DE"/>
        </w:rPr>
        <w:t>ö</w:t>
      </w:r>
      <w:r>
        <w:rPr>
          <w:lang w:val="de-DE"/>
        </w:rPr>
        <w:t>pfe basiert auf Dokument B, in dem die tats</w:t>
      </w:r>
      <w:r>
        <w:rPr>
          <w:rFonts w:cs="Aptos"/>
          <w:lang w:val="de-DE"/>
        </w:rPr>
        <w:t>ä</w:t>
      </w:r>
      <w:r>
        <w:rPr>
          <w:lang w:val="de-DE"/>
        </w:rPr>
        <w:t>chlichen Antr</w:t>
      </w:r>
      <w:r>
        <w:rPr>
          <w:rFonts w:cs="Aptos"/>
          <w:lang w:val="de-DE"/>
        </w:rPr>
        <w:t>ä</w:t>
      </w:r>
      <w:r>
        <w:rPr>
          <w:lang w:val="de-DE"/>
        </w:rPr>
        <w:t>ge, Statusangaben und Ablehnungen pro Organisation festgehalten sind.</w:t>
      </w:r>
    </w:p>
    <w:p w14:paraId="7EE8117F" w14:textId="77777777" w:rsidR="00FA4EDF" w:rsidRDefault="00FA4EDF">
      <w:pPr>
        <w:pStyle w:val="marker"/>
        <w:ind w:left="800" w:right="800"/>
        <w:divId w:val="982394320"/>
        <w:rPr>
          <w:lang w:val="de-DE"/>
        </w:rPr>
      </w:pPr>
      <w:r>
        <w:br w:type="page"/>
      </w:r>
    </w:p>
    <w:p w14:paraId="60AEC026" w14:textId="77777777" w:rsidR="00FA4EDF" w:rsidRDefault="00FA4EDF">
      <w:pPr>
        <w:pStyle w:val="Kop2"/>
        <w:divId w:val="982394320"/>
        <w:rPr>
          <w:rFonts w:eastAsia="Times New Roman"/>
          <w:lang w:val="de-DE"/>
        </w:rPr>
      </w:pPr>
      <w:bookmarkStart w:id="30" w:name="_Toc242103066"/>
      <w:r>
        <w:rPr>
          <w:rFonts w:eastAsia="Times New Roman"/>
          <w:lang w:val="de-DE"/>
        </w:rPr>
        <w:t>Feststellung und Beschluss</w:t>
      </w:r>
      <w:bookmarkEnd w:id="30"/>
    </w:p>
    <w:p w14:paraId="2B0E5935" w14:textId="77777777" w:rsidR="00FA4EDF" w:rsidRDefault="00FA4EDF">
      <w:pPr>
        <w:pStyle w:val="lead"/>
        <w:divId w:val="982394320"/>
        <w:rPr>
          <w:lang w:val="de-DE"/>
        </w:rPr>
      </w:pPr>
      <w:r>
        <w:rPr>
          <w:lang w:val="de-DE"/>
        </w:rPr>
        <w:t>Fünf medizinische Fachkräfte untersuchten den Leichnam. Zwei Verwaltungsärzte trafen die Entscheidung. Dieses Kapitel zeigt, dass beide Stellen – die belgische Krankenkasse und der belgische föderale öffentliche Dienst – denselben Mechanismus anwenden, wobei jede ihre eigene Variante hat.</w:t>
      </w:r>
    </w:p>
    <w:p w14:paraId="60811334" w14:textId="77777777" w:rsidR="00FA4EDF" w:rsidRDefault="00FA4EDF">
      <w:pPr>
        <w:pStyle w:val="Kop3"/>
        <w:divId w:val="982394320"/>
        <w:rPr>
          <w:rFonts w:eastAsia="Times New Roman"/>
          <w:lang w:val="de-DE"/>
        </w:rPr>
      </w:pPr>
      <w:bookmarkStart w:id="31" w:name="_Toc242103067"/>
      <w:r>
        <w:rPr>
          <w:rFonts w:eastAsia="Times New Roman"/>
          <w:lang w:val="de-DE"/>
        </w:rPr>
        <w:t>Die fünf Stimmen</w:t>
      </w:r>
      <w:bookmarkEnd w:id="3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281528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2CAA0A2" w14:textId="77777777" w:rsidR="00FA4EDF" w:rsidRDefault="00FA4EDF">
            <w:pPr>
              <w:pStyle w:val="Normaalweb"/>
              <w:spacing w:before="120"/>
              <w:jc w:val="center"/>
              <w:rPr>
                <w:sz w:val="21"/>
                <w:szCs w:val="21"/>
              </w:rPr>
            </w:pPr>
            <w:r>
              <w:rPr>
                <w:noProof/>
                <w:sz w:val="21"/>
                <w:szCs w:val="21"/>
              </w:rPr>
              <w:drawing>
                <wp:inline distT="0" distB="0" distL="0" distR="0" wp14:anchorId="07F9AE1B" wp14:editId="6911D236">
                  <wp:extent cx="3810000" cy="152400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tc>
      </w:tr>
    </w:tbl>
    <w:p w14:paraId="7647B931" w14:textId="77777777" w:rsidR="00FA4EDF" w:rsidRDefault="00FA4EDF">
      <w:pPr>
        <w:pStyle w:val="Normaalweb"/>
        <w:divId w:val="982394320"/>
        <w:rPr>
          <w:sz w:val="24"/>
          <w:lang w:val="de-DE"/>
        </w:rPr>
      </w:pPr>
      <w:r>
        <w:rPr>
          <w:lang w:val="de-DE"/>
        </w:rPr>
        <w:t>Fünf medizinische Fachkräfte, die in zwei Ländern tätig sind, untersuchten den Patienten. Alle fünf stellten dieselbe dauerhafte Beeinträchtigung fest.</w:t>
      </w:r>
    </w:p>
    <w:p w14:paraId="389876D3" w14:textId="77777777" w:rsidR="00FA4EDF" w:rsidRDefault="00FA4EDF">
      <w:pPr>
        <w:pStyle w:val="Kop3"/>
        <w:divId w:val="982394320"/>
        <w:rPr>
          <w:rFonts w:eastAsia="Times New Roman"/>
          <w:lang w:val="de-DE"/>
        </w:rPr>
      </w:pPr>
      <w:bookmarkStart w:id="32" w:name="_Toc242103068"/>
      <w:r>
        <w:rPr>
          <w:rFonts w:eastAsia="Times New Roman"/>
          <w:lang w:val="de-DE"/>
        </w:rPr>
        <w:t>Zwei Entscheidungsträger, ein Mechanismus</w:t>
      </w:r>
      <w:bookmarkEnd w:id="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12D727F"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C135764" w14:textId="77777777" w:rsidR="00FA4EDF" w:rsidRDefault="00FA4EDF">
            <w:pPr>
              <w:pStyle w:val="Normaalweb"/>
              <w:spacing w:before="120"/>
              <w:jc w:val="center"/>
              <w:rPr>
                <w:sz w:val="21"/>
                <w:szCs w:val="21"/>
              </w:rPr>
            </w:pPr>
            <w:r>
              <w:rPr>
                <w:noProof/>
                <w:sz w:val="21"/>
                <w:szCs w:val="21"/>
              </w:rPr>
              <w:drawing>
                <wp:inline distT="0" distB="0" distL="0" distR="0" wp14:anchorId="56DE8500" wp14:editId="5C093A63">
                  <wp:extent cx="3810000" cy="190500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810000" cy="1905000"/>
                          </a:xfrm>
                          <a:prstGeom prst="rect">
                            <a:avLst/>
                          </a:prstGeom>
                          <a:noFill/>
                          <a:ln>
                            <a:noFill/>
                          </a:ln>
                        </pic:spPr>
                      </pic:pic>
                    </a:graphicData>
                  </a:graphic>
                </wp:inline>
              </w:drawing>
            </w:r>
          </w:p>
          <w:p w14:paraId="1D0C6FE5" w14:textId="77777777" w:rsidR="00FA4EDF" w:rsidRDefault="00FA4EDF">
            <w:pPr>
              <w:pStyle w:val="caption"/>
              <w:spacing w:after="120" w:afterAutospacing="0"/>
            </w:pPr>
            <w:r>
              <w:rPr>
                <w:rStyle w:val="Zwaar"/>
              </w:rPr>
              <w:t>Abbildung III.1 – Zwei Varianten, ein Mechanismus.</w:t>
            </w:r>
            <w:r>
              <w:t xml:space="preserve"> Die Krankenkasse (Variante A) überlässt die Entscheidung einem eigenen Arzt, ohne den Patienten zu untersuchen. Die föderale Behörde (Variante B) lässt einen eigenen Arzt auf der Grundlage einer Messung entscheiden, die einen Punkt unterhalb der steuerlichen Schwelle liegt. In beiden Fällen hat die administrative Schwelle mehr Gewicht als die medizinische Feststellung.</w:t>
            </w:r>
          </w:p>
        </w:tc>
      </w:tr>
    </w:tbl>
    <w:p w14:paraId="478E1E7E" w14:textId="77777777" w:rsidR="00FA4EDF" w:rsidRDefault="00FA4EDF">
      <w:pPr>
        <w:pStyle w:val="Kop3"/>
        <w:divId w:val="982394320"/>
        <w:rPr>
          <w:rFonts w:eastAsia="Times New Roman"/>
          <w:lang w:val="de-DE"/>
        </w:rPr>
      </w:pPr>
      <w:bookmarkStart w:id="33" w:name="_Toc242103069"/>
      <w:r>
        <w:rPr>
          <w:rFonts w:eastAsia="Times New Roman"/>
          <w:lang w:val="de-DE"/>
        </w:rPr>
        <w:t>Das gemeinsame Muster</w:t>
      </w:r>
      <w:bookmarkEnd w:id="33"/>
    </w:p>
    <w:p w14:paraId="3234B5FF" w14:textId="77777777" w:rsidR="00FA4EDF" w:rsidRDefault="00FA4EDF">
      <w:pPr>
        <w:pStyle w:val="Normaalweb"/>
        <w:divId w:val="982394320"/>
        <w:rPr>
          <w:lang w:val="de-DE"/>
        </w:rPr>
      </w:pPr>
      <w:r>
        <w:rPr>
          <w:lang w:val="de-DE"/>
        </w:rPr>
        <w:t xml:space="preserve">In beiden Fällen steht der entscheidende Arzt </w:t>
      </w:r>
      <w:r>
        <w:rPr>
          <w:rStyle w:val="Zwaar"/>
          <w:lang w:val="de-DE"/>
        </w:rPr>
        <w:t>auf der Gehaltsliste der Behörde</w:t>
      </w:r>
      <w:r>
        <w:rPr>
          <w:lang w:val="de-DE"/>
        </w:rPr>
        <w:t>. In beiden Fällen wird eine administrative Hürde angelegt, die in der medizinischen Praxis nicht existiert. In beiden Fällen haben fünf unabhängige medizinische Befunde weniger Gewicht als eine einzige administrative Entscheidung.</w:t>
      </w:r>
    </w:p>
    <w:p w14:paraId="2B36BDFF" w14:textId="77777777" w:rsidR="00FA4EDF" w:rsidRDefault="00FA4EDF">
      <w:pPr>
        <w:pStyle w:val="Normaalweb"/>
        <w:divId w:val="982394320"/>
        <w:rPr>
          <w:lang w:val="de-DE"/>
        </w:rPr>
      </w:pPr>
      <w:r>
        <w:rPr>
          <w:lang w:val="de-DE"/>
        </w:rPr>
        <w:t xml:space="preserve">Das ist kein persönliches Versagen eines einzelnen Arztes. Es liegt an der Struktur: Der kontrollierende Arzt ist kein besserer Arzt, hat keine längere Ausbildung und kein tieferes Fachwissen. Er ist der </w:t>
      </w:r>
      <w:r>
        <w:rPr>
          <w:rStyle w:val="Nadruk"/>
          <w:lang w:val="de-DE"/>
        </w:rPr>
        <w:t>Torwächter</w:t>
      </w:r>
      <w:r>
        <w:rPr>
          <w:lang w:val="de-DE"/>
        </w:rPr>
        <w:t xml:space="preserve"> einer administrativen Hürde. Das Tor ist verschlossen, nicht weil der Körper nicht geschädigt ist – das wurde fünfmal nachgewiesen –, sondern weil der Algorithmus hinter dem Tor besagt: </w:t>
      </w:r>
      <w:r>
        <w:rPr>
          <w:rStyle w:val="Nadruk"/>
          <w:lang w:val="de-DE"/>
        </w:rPr>
        <w:t>Die Sozialleistung läuft nicht, also läuft die Anerkennung nicht, also läuft der steuerliche Weg nicht.</w:t>
      </w:r>
    </w:p>
    <w:p w14:paraId="6E23A89D"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ausschließlich mit ihrer Funktion bezeichnet. Die Sachverhalte basieren auf Dokument B.</w:t>
      </w:r>
    </w:p>
    <w:p w14:paraId="5BC97DB8" w14:textId="77777777" w:rsidR="00FA4EDF" w:rsidRDefault="00FA4EDF">
      <w:pPr>
        <w:pStyle w:val="marker"/>
        <w:ind w:left="800" w:right="800"/>
        <w:divId w:val="982394320"/>
        <w:rPr>
          <w:lang w:val="de-DE"/>
        </w:rPr>
      </w:pPr>
      <w:r>
        <w:br w:type="page"/>
      </w:r>
    </w:p>
    <w:p w14:paraId="07F32E58" w14:textId="77777777" w:rsidR="00FA4EDF" w:rsidRDefault="00FA4EDF">
      <w:pPr>
        <w:pStyle w:val="Kop2"/>
        <w:divId w:val="982394320"/>
        <w:rPr>
          <w:rFonts w:eastAsia="Times New Roman"/>
          <w:lang w:val="de-DE"/>
        </w:rPr>
      </w:pPr>
      <w:bookmarkStart w:id="34" w:name="_Toc242103070"/>
      <w:r>
        <w:rPr>
          <w:rFonts w:eastAsia="Times New Roman"/>
          <w:lang w:val="de-DE"/>
        </w:rPr>
        <w:t>Die Parentia-Treppe</w:t>
      </w:r>
      <w:bookmarkEnd w:id="34"/>
    </w:p>
    <w:p w14:paraId="17458D3C" w14:textId="77777777" w:rsidR="00FA4EDF" w:rsidRDefault="00FA4EDF">
      <w:pPr>
        <w:pStyle w:val="lead"/>
        <w:divId w:val="982394320"/>
        <w:rPr>
          <w:lang w:val="de-DE"/>
        </w:rPr>
      </w:pPr>
      <w:r>
        <w:rPr>
          <w:lang w:val="de-DE"/>
        </w:rPr>
        <w:t>Eine Einrichtung, die die medizinische Realität akzeptiert, dann aber an ihrem eigenen Ertragsmodell scheitert. Drei Ebenen, ein Ergebnis. Und das Muster wiederholt sich bei einer anderen Einrichtung.</w:t>
      </w:r>
    </w:p>
    <w:p w14:paraId="6247F12A" w14:textId="77777777" w:rsidR="00FA4EDF" w:rsidRDefault="00FA4EDF">
      <w:pPr>
        <w:pStyle w:val="Kop3"/>
        <w:divId w:val="982394320"/>
        <w:rPr>
          <w:rFonts w:eastAsia="Times New Roman"/>
          <w:lang w:val="de-DE"/>
        </w:rPr>
      </w:pPr>
      <w:bookmarkStart w:id="35" w:name="_Toc242103071"/>
      <w:r>
        <w:rPr>
          <w:rFonts w:eastAsia="Times New Roman"/>
          <w:lang w:val="de-DE"/>
        </w:rPr>
        <w:t>Stufe 1 – Die KSZ-Blockade</w:t>
      </w:r>
      <w:bookmarkEnd w:id="35"/>
    </w:p>
    <w:p w14:paraId="7CFBC533" w14:textId="77777777" w:rsidR="00FA4EDF" w:rsidRDefault="00FA4EDF">
      <w:pPr>
        <w:pStyle w:val="tijd"/>
        <w:divId w:val="982394320"/>
        <w:rPr>
          <w:lang w:val="de-DE"/>
        </w:rPr>
      </w:pPr>
      <w:r>
        <w:rPr>
          <w:lang w:val="de-DE"/>
        </w:rPr>
        <w:t>September 2025 – April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FBA51B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C939C6" w14:textId="77777777" w:rsidR="00FA4EDF" w:rsidRDefault="00FA4EDF">
            <w:pPr>
              <w:pStyle w:val="Normaalweb"/>
              <w:spacing w:before="120"/>
              <w:jc w:val="center"/>
              <w:rPr>
                <w:sz w:val="21"/>
                <w:szCs w:val="21"/>
              </w:rPr>
            </w:pPr>
            <w:r>
              <w:rPr>
                <w:noProof/>
                <w:sz w:val="21"/>
                <w:szCs w:val="21"/>
              </w:rPr>
              <w:drawing>
                <wp:inline distT="0" distB="0" distL="0" distR="0" wp14:anchorId="11C9AB31" wp14:editId="5DA9F42D">
                  <wp:extent cx="3810000" cy="990600"/>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10000" cy="990600"/>
                          </a:xfrm>
                          <a:prstGeom prst="rect">
                            <a:avLst/>
                          </a:prstGeom>
                          <a:noFill/>
                          <a:ln>
                            <a:noFill/>
                          </a:ln>
                        </pic:spPr>
                      </pic:pic>
                    </a:graphicData>
                  </a:graphic>
                </wp:inline>
              </w:drawing>
            </w:r>
          </w:p>
        </w:tc>
      </w:tr>
    </w:tbl>
    <w:p w14:paraId="29DD01AB" w14:textId="77777777" w:rsidR="00FA4EDF" w:rsidRDefault="00FA4EDF">
      <w:pPr>
        <w:pStyle w:val="Kop3"/>
        <w:divId w:val="982394320"/>
        <w:rPr>
          <w:rFonts w:eastAsia="Times New Roman"/>
          <w:lang w:val="de-DE"/>
        </w:rPr>
      </w:pPr>
      <w:bookmarkStart w:id="36" w:name="_Toc242103072"/>
      <w:r>
        <w:rPr>
          <w:rFonts w:eastAsia="Times New Roman"/>
          <w:lang w:val="de-DE"/>
        </w:rPr>
        <w:t>Stufe 2 – Der Bypass wird akzeptiert</w:t>
      </w:r>
      <w:bookmarkEnd w:id="36"/>
    </w:p>
    <w:p w14:paraId="1E95B518" w14:textId="77777777" w:rsidR="00FA4EDF" w:rsidRDefault="00FA4EDF">
      <w:pPr>
        <w:pStyle w:val="tijd"/>
        <w:divId w:val="982394320"/>
        <w:rPr>
          <w:lang w:val="de-DE"/>
        </w:rPr>
      </w:pPr>
      <w:r>
        <w:rPr>
          <w:lang w:val="de-DE"/>
        </w:rPr>
        <w:t>April – September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464FB7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051277E" w14:textId="77777777" w:rsidR="00FA4EDF" w:rsidRDefault="00FA4EDF">
            <w:pPr>
              <w:pStyle w:val="Normaalweb"/>
              <w:spacing w:before="120"/>
              <w:jc w:val="center"/>
              <w:rPr>
                <w:sz w:val="21"/>
                <w:szCs w:val="21"/>
              </w:rPr>
            </w:pPr>
            <w:r>
              <w:rPr>
                <w:noProof/>
                <w:sz w:val="21"/>
                <w:szCs w:val="21"/>
              </w:rPr>
              <w:drawing>
                <wp:inline distT="0" distB="0" distL="0" distR="0" wp14:anchorId="5A1EFCE5" wp14:editId="716F80B8">
                  <wp:extent cx="3810000" cy="106680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tc>
      </w:tr>
    </w:tbl>
    <w:p w14:paraId="610F02D4" w14:textId="77777777" w:rsidR="00FA4EDF" w:rsidRDefault="00FA4EDF">
      <w:pPr>
        <w:pStyle w:val="Kop3"/>
        <w:divId w:val="982394320"/>
        <w:rPr>
          <w:rFonts w:eastAsia="Times New Roman"/>
          <w:lang w:val="de-DE"/>
        </w:rPr>
      </w:pPr>
      <w:bookmarkStart w:id="37" w:name="_Toc242103073"/>
      <w:r>
        <w:rPr>
          <w:rFonts w:eastAsia="Times New Roman"/>
          <w:lang w:val="de-DE"/>
        </w:rPr>
        <w:t>Stufe 3 – Die Einkommensverweigerung</w:t>
      </w:r>
      <w:bookmarkEnd w:id="37"/>
    </w:p>
    <w:p w14:paraId="17EC64B2" w14:textId="77777777" w:rsidR="00FA4EDF" w:rsidRDefault="00FA4EDF">
      <w:pPr>
        <w:pStyle w:val="tijd"/>
        <w:divId w:val="982394320"/>
        <w:rPr>
          <w:lang w:val="de-DE"/>
        </w:rPr>
      </w:pPr>
      <w:r>
        <w:rPr>
          <w:lang w:val="de-DE"/>
        </w:rPr>
        <w:t>September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CD08FE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2DFC6CC" w14:textId="77777777" w:rsidR="00FA4EDF" w:rsidRDefault="00FA4EDF">
            <w:pPr>
              <w:pStyle w:val="Normaalweb"/>
              <w:spacing w:before="120"/>
              <w:jc w:val="center"/>
              <w:rPr>
                <w:sz w:val="21"/>
                <w:szCs w:val="21"/>
              </w:rPr>
            </w:pPr>
            <w:r>
              <w:rPr>
                <w:noProof/>
                <w:sz w:val="21"/>
                <w:szCs w:val="21"/>
              </w:rPr>
              <w:drawing>
                <wp:inline distT="0" distB="0" distL="0" distR="0" wp14:anchorId="24D269F0" wp14:editId="2A78A570">
                  <wp:extent cx="3810000" cy="129540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10000" cy="1295400"/>
                          </a:xfrm>
                          <a:prstGeom prst="rect">
                            <a:avLst/>
                          </a:prstGeom>
                          <a:noFill/>
                          <a:ln>
                            <a:noFill/>
                          </a:ln>
                        </pic:spPr>
                      </pic:pic>
                    </a:graphicData>
                  </a:graphic>
                </wp:inline>
              </w:drawing>
            </w:r>
          </w:p>
          <w:p w14:paraId="3DDA5A8C" w14:textId="77777777" w:rsidR="00FA4EDF" w:rsidRDefault="00FA4EDF">
            <w:pPr>
              <w:pStyle w:val="caption"/>
              <w:spacing w:after="120" w:afterAutospacing="0"/>
            </w:pPr>
            <w:r>
              <w:t>Der medizinische Weg ist frei. Der Nachweis wurde anerkannt. Dann stellt sich heraus, dass das Einkommensmodell die tatsächliche Situation nicht widerspiegelt. Die Rechnung stimmt, doch die Familie fällt aus dem System heraus.</w:t>
            </w:r>
          </w:p>
        </w:tc>
      </w:tr>
    </w:tbl>
    <w:p w14:paraId="682DE2CA" w14:textId="77777777" w:rsidR="00FA4EDF" w:rsidRDefault="00FA4EDF">
      <w:pPr>
        <w:pStyle w:val="Kop3"/>
        <w:divId w:val="982394320"/>
        <w:rPr>
          <w:rFonts w:eastAsia="Times New Roman"/>
          <w:lang w:val="de-DE"/>
        </w:rPr>
      </w:pPr>
      <w:bookmarkStart w:id="38" w:name="_Toc242103074"/>
      <w:r>
        <w:rPr>
          <w:rFonts w:eastAsia="Times New Roman"/>
          <w:lang w:val="de-DE"/>
        </w:rPr>
        <w:t>Das Muster wiederholt sich</w:t>
      </w:r>
      <w:bookmarkEnd w:id="38"/>
    </w:p>
    <w:p w14:paraId="4362570B" w14:textId="77777777" w:rsidR="00FA4EDF" w:rsidRDefault="00FA4EDF">
      <w:pPr>
        <w:pStyle w:val="tijd"/>
        <w:divId w:val="982394320"/>
        <w:rPr>
          <w:lang w:val="de-DE"/>
        </w:rPr>
      </w:pPr>
      <w:r>
        <w:rPr>
          <w:lang w:val="de-DE"/>
        </w:rPr>
        <w:t>Gemeinde Hulst · 2026</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A6C926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EB21DE9" w14:textId="77777777" w:rsidR="00FA4EDF" w:rsidRDefault="00FA4EDF">
            <w:pPr>
              <w:pStyle w:val="Normaalweb"/>
              <w:spacing w:before="120"/>
              <w:jc w:val="center"/>
              <w:rPr>
                <w:sz w:val="21"/>
                <w:szCs w:val="21"/>
              </w:rPr>
            </w:pPr>
            <w:r>
              <w:rPr>
                <w:noProof/>
                <w:sz w:val="21"/>
                <w:szCs w:val="21"/>
              </w:rPr>
              <w:drawing>
                <wp:inline distT="0" distB="0" distL="0" distR="0" wp14:anchorId="4E676BCE" wp14:editId="5C2249DE">
                  <wp:extent cx="3810000" cy="106680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0000" cy="1066800"/>
                          </a:xfrm>
                          <a:prstGeom prst="rect">
                            <a:avLst/>
                          </a:prstGeom>
                          <a:noFill/>
                          <a:ln>
                            <a:noFill/>
                          </a:ln>
                        </pic:spPr>
                      </pic:pic>
                    </a:graphicData>
                  </a:graphic>
                </wp:inline>
              </w:drawing>
            </w:r>
          </w:p>
          <w:p w14:paraId="0232301E" w14:textId="77777777" w:rsidR="00FA4EDF" w:rsidRDefault="00FA4EDF">
            <w:pPr>
              <w:pStyle w:val="caption"/>
              <w:spacing w:after="120" w:afterAutospacing="0"/>
            </w:pPr>
            <w:r>
              <w:t>Was bei Parentia passiert ist, wiederholt sich bei der Gemeinde. Jede Behörde hat ein eigenes medizinisches Portal und eine eigene zweite Hürde. Der Bürger muss dieselbe Hürde erneut nehmen.</w:t>
            </w:r>
          </w:p>
        </w:tc>
      </w:tr>
    </w:tbl>
    <w:p w14:paraId="1239CA19" w14:textId="77777777" w:rsidR="00FA4EDF" w:rsidRDefault="00FA4EDF">
      <w:pPr>
        <w:divId w:val="982394320"/>
        <w:rPr>
          <w:rFonts w:eastAsia="Times New Roman"/>
          <w:vanish/>
          <w:lang w:val="de-DE"/>
        </w:rPr>
      </w:pP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33B2496"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F4F1F8"/>
            <w:tcMar>
              <w:top w:w="200" w:type="dxa"/>
              <w:left w:w="280" w:type="dxa"/>
              <w:bottom w:w="200" w:type="dxa"/>
              <w:right w:w="280" w:type="dxa"/>
            </w:tcMar>
            <w:hideMark/>
          </w:tcPr>
          <w:p w14:paraId="4E0AE68A" w14:textId="77777777" w:rsidR="00FA4EDF" w:rsidRDefault="00FA4EDF">
            <w:pPr>
              <w:spacing w:before="240" w:after="240"/>
              <w:rPr>
                <w:rFonts w:eastAsia="Times New Roman"/>
                <w:szCs w:val="22"/>
              </w:rPr>
            </w:pPr>
            <w:r>
              <w:rPr>
                <w:rFonts w:eastAsia="Times New Roman"/>
                <w:szCs w:val="22"/>
              </w:rPr>
              <w:t xml:space="preserve">Die „Parentia-Treppe“ besteht aus drei Stufen. Zunächst wird der medizinische Weg durch ein Datenproblem bei einer anderen Behörde blockiert. Dann ist der Bürger gezwungen, einen Umweg zu nehmen – denselben manuellen Nachweis, der auch beim Finanzamt funktioniert hat. Wenn der medizinische Nachweis akzeptiert wurde, stellt sich heraus, dass das Einkommensmodell die tatsächliche Situation nicht erfasst. Und wenn der Bürger sich an die nächste Behörde wendet, beginnt die Treppe von vorne. </w:t>
            </w:r>
          </w:p>
        </w:tc>
      </w:tr>
    </w:tbl>
    <w:p w14:paraId="5EF749E9" w14:textId="77777777" w:rsidR="00FA4EDF" w:rsidRDefault="00FA4EDF">
      <w:pPr>
        <w:pStyle w:val="noot"/>
        <w:spacing w:after="120" w:afterAutospacing="0"/>
        <w:divId w:val="982394320"/>
        <w:rPr>
          <w:lang w:val="de-DE"/>
        </w:rPr>
      </w:pPr>
      <w:r>
        <w:rPr>
          <w:lang w:val="de-DE"/>
        </w:rPr>
        <w:t>Die Angaben basieren auf Dokument B. Natürliche Personen werden mit Symbolen bezeichnet; Organisationen mit ihrem offiziellen Namen.</w:t>
      </w:r>
    </w:p>
    <w:p w14:paraId="0DB0D3E1" w14:textId="77777777" w:rsidR="00FA4EDF" w:rsidRDefault="00FA4EDF">
      <w:pPr>
        <w:pStyle w:val="marker"/>
        <w:ind w:left="800" w:right="800"/>
        <w:divId w:val="982394320"/>
        <w:rPr>
          <w:lang w:val="de-DE"/>
        </w:rPr>
      </w:pPr>
      <w:r>
        <w:br w:type="page"/>
      </w:r>
    </w:p>
    <w:p w14:paraId="2ADB4901" w14:textId="77777777" w:rsidR="00FA4EDF" w:rsidRDefault="00FA4EDF">
      <w:pPr>
        <w:pStyle w:val="Kop2"/>
        <w:divId w:val="982394320"/>
        <w:rPr>
          <w:rFonts w:eastAsia="Times New Roman"/>
          <w:lang w:val="de-DE"/>
        </w:rPr>
      </w:pPr>
      <w:bookmarkStart w:id="39" w:name="_Toc242103075"/>
      <w:r>
        <w:rPr>
          <w:rFonts w:eastAsia="Times New Roman"/>
          <w:lang w:val="de-DE"/>
        </w:rPr>
        <w:t>Der belgische Steuerweg</w:t>
      </w:r>
      <w:bookmarkEnd w:id="39"/>
    </w:p>
    <w:p w14:paraId="398C7AF0" w14:textId="77777777" w:rsidR="00FA4EDF" w:rsidRDefault="00FA4EDF">
      <w:pPr>
        <w:pStyle w:val="lead"/>
        <w:divId w:val="982394320"/>
        <w:rPr>
          <w:lang w:val="de-DE"/>
        </w:rPr>
      </w:pPr>
      <w:r>
        <w:rPr>
          <w:lang w:val="de-DE"/>
        </w:rPr>
        <w:t>Bislang hat dieser Fall vor allem gezeigt, was schiefläuft. Dieses Kapitel zeigt das Gegenteil: Der belgische Steuerweg funktioniert und verschafft der Familie jährlich einen erheblichen Vorteil. Vier Abzugsmöglichkeiten und Ermäßigungen, von denen eine über einen Umweg zustande gekommen ist. Dieser Umweg wurde inzwischen zweimal bestätigt – einmal durch die Einreichung der Steuererklärung selbst und einmal durch eine unabhängige schriftliche Bestätigung der Steuerbehörde, dass der gewählte Weg rechtlich ko</w:t>
      </w:r>
      <w:r>
        <w:rPr>
          <w:lang w:val="de-DE"/>
        </w:rPr>
        <w:t>rrekt ist.</w:t>
      </w:r>
    </w:p>
    <w:p w14:paraId="5D551F47" w14:textId="77777777" w:rsidR="00FA4EDF" w:rsidRDefault="00FA4EDF">
      <w:pPr>
        <w:pStyle w:val="Kop3"/>
        <w:divId w:val="982394320"/>
        <w:rPr>
          <w:rFonts w:eastAsia="Times New Roman"/>
          <w:lang w:val="de-DE"/>
        </w:rPr>
      </w:pPr>
      <w:bookmarkStart w:id="40" w:name="_Toc242103076"/>
      <w:r>
        <w:rPr>
          <w:rFonts w:eastAsia="Times New Roman"/>
          <w:lang w:val="de-DE"/>
        </w:rPr>
        <w:t>Teil A – Was funktioniert</w:t>
      </w:r>
      <w:bookmarkEnd w:id="40"/>
    </w:p>
    <w:tbl>
      <w:tblPr>
        <w:tblW w:w="5000" w:type="pct"/>
        <w:tblCellMar>
          <w:top w:w="15" w:type="dxa"/>
          <w:left w:w="15" w:type="dxa"/>
          <w:bottom w:w="15" w:type="dxa"/>
          <w:right w:w="15" w:type="dxa"/>
        </w:tblCellMar>
        <w:tblLook w:val="04A0" w:firstRow="1" w:lastRow="0" w:firstColumn="1" w:lastColumn="0" w:noHBand="0" w:noVBand="1"/>
      </w:tblPr>
      <w:tblGrid>
        <w:gridCol w:w="2898"/>
        <w:gridCol w:w="3260"/>
        <w:gridCol w:w="2898"/>
      </w:tblGrid>
      <w:tr w:rsidR="00000000" w14:paraId="54E3A7F6" w14:textId="77777777">
        <w:trPr>
          <w:divId w:val="982394320"/>
          <w:tblHeader/>
        </w:trPr>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59DDBAF"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Steuerlicher Vorteil</w:t>
            </w:r>
          </w:p>
        </w:tc>
        <w:tc>
          <w:tcPr>
            <w:tcW w:w="18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40189D6"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Grundlage</w:t>
            </w:r>
          </w:p>
        </w:tc>
        <w:tc>
          <w:tcPr>
            <w:tcW w:w="16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A11B899"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Status in dieser Akte</w:t>
            </w:r>
          </w:p>
        </w:tc>
      </w:tr>
      <w:tr w:rsidR="00000000" w14:paraId="3A6DD1F0"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AF752A" w14:textId="77777777" w:rsidR="00FA4EDF" w:rsidRDefault="00FA4EDF">
            <w:pPr>
              <w:spacing w:before="200" w:after="360"/>
              <w:rPr>
                <w:rFonts w:eastAsia="Times New Roman"/>
                <w:sz w:val="21"/>
                <w:szCs w:val="21"/>
              </w:rPr>
            </w:pPr>
            <w:r>
              <w:rPr>
                <w:rStyle w:val="Zwaar"/>
                <w:rFonts w:eastAsia="Times New Roman"/>
                <w:sz w:val="21"/>
                <w:szCs w:val="21"/>
              </w:rPr>
              <w:t>Erhöhter Steuerfreibetrag</w:t>
            </w:r>
            <w:r>
              <w:rPr>
                <w:rFonts w:eastAsia="Times New Roman"/>
                <w:sz w:val="21"/>
                <w:szCs w:val="21"/>
              </w:rPr>
              <w:t xml:space="preserve"> (Code „Behinderung“)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22E9C35" w14:textId="77777777" w:rsidR="00FA4EDF" w:rsidRDefault="00FA4EDF">
            <w:pPr>
              <w:spacing w:before="200" w:after="360"/>
              <w:rPr>
                <w:rFonts w:eastAsia="Times New Roman"/>
                <w:sz w:val="21"/>
                <w:szCs w:val="21"/>
              </w:rPr>
            </w:pPr>
            <w:r>
              <w:rPr>
                <w:rFonts w:eastAsia="Times New Roman"/>
                <w:sz w:val="21"/>
                <w:szCs w:val="21"/>
              </w:rPr>
              <w:t>§§ 131 und 135 WIB 92 · dauerhafte Erwerbsunfähigkeit ≥ 66 % · Erwerbsfähigkeit unter einem Drittel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12B6FD3" w14:textId="77777777" w:rsidR="00FA4EDF" w:rsidRDefault="00FA4EDF">
            <w:pPr>
              <w:spacing w:before="200" w:after="360"/>
              <w:rPr>
                <w:rFonts w:eastAsia="Times New Roman"/>
                <w:sz w:val="21"/>
                <w:szCs w:val="21"/>
              </w:rPr>
            </w:pPr>
            <w:r>
              <w:rPr>
                <w:rFonts w:eastAsia="Times New Roman"/>
                <w:sz w:val="21"/>
                <w:szCs w:val="21"/>
              </w:rPr>
              <w:t>Über den Bypass aktiviert, zweimal bestätigt. Vorteil: 2.669,97 € in der gemeinsamen Steuererklärung 2026.</w:t>
            </w:r>
          </w:p>
        </w:tc>
      </w:tr>
      <w:tr w:rsidR="00000000" w14:paraId="399F7C4D"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21BA753" w14:textId="77777777" w:rsidR="00FA4EDF" w:rsidRDefault="00FA4EDF">
            <w:pPr>
              <w:spacing w:before="200" w:after="360"/>
              <w:rPr>
                <w:rFonts w:eastAsia="Times New Roman"/>
                <w:sz w:val="21"/>
                <w:szCs w:val="21"/>
              </w:rPr>
            </w:pPr>
            <w:r>
              <w:rPr>
                <w:rStyle w:val="Zwaar"/>
                <w:rFonts w:eastAsia="Times New Roman"/>
                <w:sz w:val="21"/>
                <w:szCs w:val="21"/>
              </w:rPr>
              <w:t>Ehequotient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EEEB67" w14:textId="77777777" w:rsidR="00FA4EDF" w:rsidRDefault="00FA4EDF">
            <w:pPr>
              <w:spacing w:before="200" w:after="360"/>
              <w:rPr>
                <w:rFonts w:eastAsia="Times New Roman"/>
                <w:sz w:val="21"/>
                <w:szCs w:val="21"/>
              </w:rPr>
            </w:pPr>
            <w:r>
              <w:rPr>
                <w:rFonts w:eastAsia="Times New Roman"/>
                <w:sz w:val="21"/>
                <w:szCs w:val="21"/>
              </w:rPr>
              <w:t>§ 87 WIB 92 · Anrechnung eines Teils des Berufseinkommens auf den Partner mit dem niedrigeren Einkommen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DC9967F" w14:textId="77777777" w:rsidR="00FA4EDF" w:rsidRDefault="00FA4EDF">
            <w:pPr>
              <w:spacing w:before="200" w:after="360"/>
              <w:rPr>
                <w:rFonts w:eastAsia="Times New Roman"/>
                <w:sz w:val="21"/>
                <w:szCs w:val="21"/>
              </w:rPr>
            </w:pPr>
            <w:r>
              <w:rPr>
                <w:rFonts w:eastAsia="Times New Roman"/>
                <w:sz w:val="21"/>
                <w:szCs w:val="21"/>
              </w:rPr>
              <w:t>Wird bei der gemeinsamen Steuererklärung automatisch berücksichtigt. Senkt die Steuerbelastung des Familieneinkommens.</w:t>
            </w:r>
          </w:p>
        </w:tc>
      </w:tr>
      <w:tr w:rsidR="00000000" w14:paraId="0419917D"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6705AAF" w14:textId="77777777" w:rsidR="00FA4EDF" w:rsidRDefault="00FA4EDF">
            <w:pPr>
              <w:spacing w:before="200" w:after="360"/>
              <w:rPr>
                <w:rFonts w:eastAsia="Times New Roman"/>
                <w:sz w:val="21"/>
                <w:szCs w:val="21"/>
              </w:rPr>
            </w:pPr>
            <w:r>
              <w:rPr>
                <w:rStyle w:val="Zwaar"/>
                <w:rFonts w:eastAsia="Times New Roman"/>
                <w:sz w:val="21"/>
                <w:szCs w:val="21"/>
              </w:rPr>
              <w:t>Steuerermäßigung für Kinderbetreuung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F53B4B5" w14:textId="77777777" w:rsidR="00FA4EDF" w:rsidRDefault="00FA4EDF">
            <w:pPr>
              <w:spacing w:before="200" w:after="360"/>
              <w:rPr>
                <w:rFonts w:eastAsia="Times New Roman"/>
                <w:sz w:val="21"/>
                <w:szCs w:val="21"/>
              </w:rPr>
            </w:pPr>
            <w:r>
              <w:rPr>
                <w:rFonts w:eastAsia="Times New Roman"/>
                <w:sz w:val="21"/>
                <w:szCs w:val="21"/>
              </w:rPr>
              <w:t>Art. 14535 WIB 92 · Kosten für die Betreuung von Kindern unter 14 Jahren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484206" w14:textId="77777777" w:rsidR="00FA4EDF" w:rsidRDefault="00FA4EDF">
            <w:pPr>
              <w:spacing w:before="200" w:after="360"/>
              <w:rPr>
                <w:rFonts w:eastAsia="Times New Roman"/>
                <w:sz w:val="21"/>
                <w:szCs w:val="21"/>
              </w:rPr>
            </w:pPr>
            <w:r>
              <w:rPr>
                <w:rFonts w:eastAsia="Times New Roman"/>
                <w:sz w:val="21"/>
                <w:szCs w:val="21"/>
              </w:rPr>
              <w:t>Die Bescheinigung über die Kinderbetreuung während der Ferien wurde manuell zur Steuererklärung 2026 hinzugefügt.</w:t>
            </w:r>
          </w:p>
        </w:tc>
      </w:tr>
      <w:tr w:rsidR="00000000" w14:paraId="0C660D28"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EF0974" w14:textId="77777777" w:rsidR="00FA4EDF" w:rsidRDefault="00FA4EDF">
            <w:pPr>
              <w:spacing w:before="200" w:after="360"/>
              <w:rPr>
                <w:rFonts w:eastAsia="Times New Roman"/>
                <w:sz w:val="21"/>
                <w:szCs w:val="21"/>
              </w:rPr>
            </w:pPr>
            <w:r>
              <w:rPr>
                <w:rStyle w:val="Zwaar"/>
                <w:rFonts w:eastAsia="Times New Roman"/>
                <w:sz w:val="21"/>
                <w:szCs w:val="21"/>
              </w:rPr>
              <w:t>Steuerlicher Abzug von Krankheitskosten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44A84F3" w14:textId="77777777" w:rsidR="00FA4EDF" w:rsidRDefault="00FA4EDF">
            <w:pPr>
              <w:spacing w:before="200" w:after="360"/>
              <w:rPr>
                <w:rFonts w:eastAsia="Times New Roman"/>
                <w:sz w:val="21"/>
                <w:szCs w:val="21"/>
              </w:rPr>
            </w:pPr>
            <w:r>
              <w:rPr>
                <w:rFonts w:eastAsia="Times New Roman"/>
                <w:sz w:val="21"/>
                <w:szCs w:val="21"/>
              </w:rPr>
              <w:t>§§ 140–145 WIB 92 · Krankheitskosten, die einen bestimmten Prozentsatz des Einkommens übersteigen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DB4801" w14:textId="77777777" w:rsidR="00FA4EDF" w:rsidRDefault="00FA4EDF">
            <w:pPr>
              <w:spacing w:before="200" w:after="360"/>
              <w:rPr>
                <w:rFonts w:eastAsia="Times New Roman"/>
                <w:sz w:val="21"/>
                <w:szCs w:val="21"/>
              </w:rPr>
            </w:pPr>
            <w:r>
              <w:rPr>
                <w:rFonts w:eastAsia="Times New Roman"/>
                <w:sz w:val="21"/>
                <w:szCs w:val="21"/>
              </w:rPr>
              <w:t>Teilweise absetzbar. Begrenzte Auswirkungen, solange das Einkommen niedrig bleibt.</w:t>
            </w:r>
          </w:p>
        </w:tc>
      </w:tr>
    </w:tbl>
    <w:p w14:paraId="42137340" w14:textId="77777777" w:rsidR="00FA4EDF" w:rsidRDefault="00FA4EDF">
      <w:pPr>
        <w:divId w:val="982394320"/>
        <w:rPr>
          <w:rFonts w:eastAsia="Times New Roman"/>
          <w:vanish/>
          <w:lang w:val="de-DE"/>
        </w:rPr>
      </w:pP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198590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F392F2B" w14:textId="77777777" w:rsidR="00FA4EDF" w:rsidRDefault="00FA4EDF">
            <w:pPr>
              <w:pStyle w:val="Normaalweb"/>
              <w:spacing w:before="120"/>
              <w:jc w:val="center"/>
              <w:rPr>
                <w:sz w:val="21"/>
                <w:szCs w:val="21"/>
              </w:rPr>
            </w:pPr>
            <w:r>
              <w:rPr>
                <w:noProof/>
                <w:sz w:val="21"/>
                <w:szCs w:val="21"/>
              </w:rPr>
              <w:drawing>
                <wp:inline distT="0" distB="0" distL="0" distR="0" wp14:anchorId="3887371F" wp14:editId="117F4FBA">
                  <wp:extent cx="3810000" cy="1460500"/>
                  <wp:effectExtent l="0" t="0" r="0" b="635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4FD38B6B" w14:textId="77777777" w:rsidR="00FA4EDF" w:rsidRDefault="00FA4EDF">
            <w:pPr>
              <w:pStyle w:val="caption"/>
              <w:spacing w:after="120" w:afterAutospacing="0"/>
            </w:pPr>
            <w:r>
              <w:rPr>
                <w:rStyle w:val="Zwaar"/>
              </w:rPr>
              <w:t>Abbildung VI.1 – Die vier wirksamen Steuerströme.</w:t>
            </w:r>
            <w:r>
              <w:t xml:space="preserve"> Drei grüne Ströme: erhöhter Steuerfreibetrag, Ehegattenfreibetrag und Kinderbetreuungsfreibetrag. Ein orangefarbener Strom: die Krankheitskosten (Schwellenwert). Zusammen bestimmen sie den Steuervorteil in der jährlichen belgischen Steuererklärung.</w:t>
            </w:r>
          </w:p>
        </w:tc>
      </w:tr>
    </w:tbl>
    <w:p w14:paraId="4C9BE3CA" w14:textId="77777777" w:rsidR="00FA4EDF" w:rsidRDefault="00FA4EDF">
      <w:pPr>
        <w:pStyle w:val="Kop3"/>
        <w:divId w:val="982394320"/>
        <w:rPr>
          <w:rFonts w:eastAsia="Times New Roman"/>
          <w:lang w:val="de-DE"/>
        </w:rPr>
      </w:pPr>
      <w:bookmarkStart w:id="41" w:name="_Toc242103077"/>
      <w:r>
        <w:rPr>
          <w:rFonts w:eastAsia="Times New Roman"/>
          <w:lang w:val="de-DE"/>
        </w:rPr>
        <w:t>Teil B – Die Ausnahmeregelung für den erhöhten Steuerfreibetrag</w:t>
      </w:r>
      <w:bookmarkEnd w:id="41"/>
    </w:p>
    <w:p w14:paraId="137EA776" w14:textId="77777777" w:rsidR="00FA4EDF" w:rsidRDefault="00FA4EDF">
      <w:pPr>
        <w:pStyle w:val="Kop4"/>
        <w:divId w:val="982394320"/>
        <w:rPr>
          <w:rFonts w:eastAsia="Times New Roman"/>
          <w:lang w:val="de-DE"/>
        </w:rPr>
      </w:pPr>
      <w:r>
        <w:rPr>
          <w:rFonts w:eastAsia="Times New Roman"/>
          <w:lang w:val="de-DE"/>
        </w:rPr>
        <w:t>Das Problem</w:t>
      </w:r>
    </w:p>
    <w:p w14:paraId="7CEB0818" w14:textId="77777777" w:rsidR="00FA4EDF" w:rsidRDefault="00FA4EDF">
      <w:pPr>
        <w:pStyle w:val="Normaalweb"/>
        <w:divId w:val="982394320"/>
        <w:rPr>
          <w:lang w:val="de-DE"/>
        </w:rPr>
      </w:pPr>
      <w:r>
        <w:rPr>
          <w:lang w:val="de-DE"/>
        </w:rPr>
        <w:t>Drei Hindernisse auf dem normalen Weg:</w:t>
      </w:r>
    </w:p>
    <w:p w14:paraId="5FA283B1" w14:textId="77777777" w:rsidR="00FA4EDF" w:rsidRDefault="00FA4EDF">
      <w:pPr>
        <w:numPr>
          <w:ilvl w:val="0"/>
          <w:numId w:val="7"/>
        </w:numPr>
        <w:spacing w:before="100" w:beforeAutospacing="1" w:after="100" w:afterAutospacing="1"/>
        <w:divId w:val="982394320"/>
        <w:rPr>
          <w:rFonts w:eastAsia="Times New Roman"/>
          <w:lang w:val="de-DE"/>
        </w:rPr>
      </w:pPr>
      <w:r>
        <w:rPr>
          <w:rFonts w:eastAsia="Times New Roman"/>
          <w:lang w:val="de-DE"/>
        </w:rPr>
        <w:t>Das Krankengeld wird abgelehnt, d.</w:t>
      </w:r>
      <w:r>
        <w:rPr>
          <w:rFonts w:ascii="Arial" w:eastAsia="Times New Roman" w:hAnsi="Arial" w:cs="Arial"/>
          <w:lang w:val="de-DE"/>
        </w:rPr>
        <w:t> </w:t>
      </w:r>
      <w:r>
        <w:rPr>
          <w:rFonts w:eastAsia="Times New Roman"/>
          <w:lang w:val="de-DE"/>
        </w:rPr>
        <w:t>h., die Arbeitsunf</w:t>
      </w:r>
      <w:r>
        <w:rPr>
          <w:rFonts w:eastAsia="Times New Roman" w:cs="Aptos"/>
          <w:lang w:val="de-DE"/>
        </w:rPr>
        <w:t>ä</w:t>
      </w:r>
      <w:r>
        <w:rPr>
          <w:rFonts w:eastAsia="Times New Roman"/>
          <w:lang w:val="de-DE"/>
        </w:rPr>
        <w:t>higkeit wird nicht anerkannt.</w:t>
      </w:r>
    </w:p>
    <w:p w14:paraId="78A30A9E" w14:textId="77777777" w:rsidR="00FA4EDF" w:rsidRDefault="00FA4EDF">
      <w:pPr>
        <w:numPr>
          <w:ilvl w:val="0"/>
          <w:numId w:val="7"/>
        </w:numPr>
        <w:spacing w:before="100" w:beforeAutospacing="1" w:after="100" w:afterAutospacing="1"/>
        <w:divId w:val="982394320"/>
        <w:rPr>
          <w:rFonts w:eastAsia="Times New Roman"/>
          <w:lang w:val="de-DE"/>
        </w:rPr>
      </w:pPr>
      <w:r>
        <w:rPr>
          <w:rFonts w:eastAsia="Times New Roman"/>
          <w:lang w:val="de-DE"/>
        </w:rPr>
        <w:t>Die Kruispuntbank wird nicht aktualisiert, sodass andere Stellen den Krankheitsstatus nicht einsehen können.</w:t>
      </w:r>
    </w:p>
    <w:p w14:paraId="21DB5021" w14:textId="77777777" w:rsidR="00FA4EDF" w:rsidRDefault="00FA4EDF">
      <w:pPr>
        <w:numPr>
          <w:ilvl w:val="0"/>
          <w:numId w:val="7"/>
        </w:numPr>
        <w:spacing w:before="100" w:beforeAutospacing="1" w:after="100" w:afterAutospacing="1"/>
        <w:divId w:val="982394320"/>
        <w:rPr>
          <w:rFonts w:eastAsia="Times New Roman"/>
          <w:lang w:val="de-DE"/>
        </w:rPr>
      </w:pPr>
      <w:r>
        <w:rPr>
          <w:rFonts w:eastAsia="Times New Roman"/>
          <w:lang w:val="de-DE"/>
        </w:rPr>
        <w:t>Die Bundesbehörde für Menschen mit Behinderung vergibt 8 Punkte. Die steuerliche Schwelle liegt bei 9.</w:t>
      </w:r>
    </w:p>
    <w:p w14:paraId="759DB7DC" w14:textId="77777777" w:rsidR="00FA4EDF" w:rsidRDefault="00FA4EDF">
      <w:pPr>
        <w:pStyle w:val="Kop4"/>
        <w:divId w:val="982394320"/>
        <w:rPr>
          <w:rFonts w:eastAsia="Times New Roman"/>
          <w:lang w:val="de-DE"/>
        </w:rPr>
      </w:pPr>
      <w:r>
        <w:rPr>
          <w:rFonts w:eastAsia="Times New Roman"/>
          <w:lang w:val="de-DE"/>
        </w:rPr>
        <w:t>Die Lösung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6AB852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A363C4" w14:textId="77777777" w:rsidR="00FA4EDF" w:rsidRDefault="00FA4EDF">
            <w:pPr>
              <w:pStyle w:val="Normaalweb"/>
              <w:spacing w:before="120"/>
              <w:jc w:val="center"/>
              <w:rPr>
                <w:sz w:val="21"/>
                <w:szCs w:val="21"/>
              </w:rPr>
            </w:pPr>
            <w:r>
              <w:rPr>
                <w:noProof/>
                <w:sz w:val="21"/>
                <w:szCs w:val="21"/>
              </w:rPr>
              <w:drawing>
                <wp:inline distT="0" distB="0" distL="0" distR="0" wp14:anchorId="44ACAFEA" wp14:editId="072780A8">
                  <wp:extent cx="3810000" cy="2139950"/>
                  <wp:effectExtent l="0" t="0" r="0"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D371EF6" w14:textId="77777777" w:rsidR="00FA4EDF" w:rsidRDefault="00FA4EDF">
            <w:pPr>
              <w:pStyle w:val="caption"/>
              <w:spacing w:after="120" w:afterAutospacing="0"/>
            </w:pPr>
            <w:r>
              <w:rPr>
                <w:rStyle w:val="Zwaar"/>
              </w:rPr>
              <w:t>Abbildung VI.2 – Der steuerliche Bypass.</w:t>
            </w:r>
            <w:r>
              <w:t xml:space="preserve"> </w:t>
            </w:r>
            <w:r>
              <w:t>Drei Hindernisse auf dem üblichen Weg. Die Steuerbehörde ist rechtlich vom Leistungsweg abgekoppelt und darf eigene ärztliche Bescheinigungen akzeptieren. Ein einziges Dokument des Hausarztes, das in der Sprache der Steuerbehörde verfasst ist, löst den erhöhten Steuerfreibetrag aus, ohne dass die zentrale Datenbank geändert werden muss.</w:t>
            </w:r>
          </w:p>
        </w:tc>
      </w:tr>
    </w:tbl>
    <w:p w14:paraId="5D201570" w14:textId="77777777" w:rsidR="00FA4EDF" w:rsidRDefault="00FA4EDF">
      <w:pPr>
        <w:pStyle w:val="Kop3"/>
        <w:divId w:val="982394320"/>
        <w:rPr>
          <w:rFonts w:eastAsia="Times New Roman"/>
          <w:lang w:val="de-DE"/>
        </w:rPr>
      </w:pPr>
      <w:bookmarkStart w:id="42" w:name="_Toc242103078"/>
      <w:r>
        <w:rPr>
          <w:rFonts w:eastAsia="Times New Roman"/>
          <w:lang w:val="de-DE"/>
        </w:rPr>
        <w:t>Teil C – Die doppelte Bestätigung</w:t>
      </w:r>
      <w:bookmarkEnd w:id="42"/>
    </w:p>
    <w:p w14:paraId="32E35596" w14:textId="77777777" w:rsidR="00FA4EDF" w:rsidRDefault="00FA4EDF">
      <w:pPr>
        <w:pStyle w:val="Normaalweb"/>
        <w:divId w:val="982394320"/>
        <w:rPr>
          <w:lang w:val="de-DE"/>
        </w:rPr>
      </w:pPr>
      <w:r>
        <w:rPr>
          <w:lang w:val="de-DE"/>
        </w:rPr>
        <w:t>Der Umweg beruht auf einer Annahme: dass die Steuerbehörde ein ärztliches Attest des Hausarztes ohne Einschaltung des FÖD Soziale Sicherheit akzeptiert. Diese Annahme wurde in diesem Fall auf zwei unabhängige Weisen bestätigt.</w:t>
      </w:r>
    </w:p>
    <w:p w14:paraId="5657248C" w14:textId="77777777" w:rsidR="00FA4EDF" w:rsidRDefault="00FA4EDF">
      <w:pPr>
        <w:pStyle w:val="Kop4"/>
        <w:divId w:val="982394320"/>
        <w:rPr>
          <w:rFonts w:eastAsia="Times New Roman"/>
          <w:lang w:val="de-DE"/>
        </w:rPr>
      </w:pPr>
      <w:r>
        <w:rPr>
          <w:rFonts w:eastAsia="Times New Roman"/>
          <w:lang w:val="de-DE"/>
        </w:rPr>
        <w:t>Erste Bestätigung – die Einreichung selbst</w:t>
      </w:r>
    </w:p>
    <w:p w14:paraId="6821EC85" w14:textId="77777777" w:rsidR="00FA4EDF" w:rsidRDefault="00FA4EDF">
      <w:pPr>
        <w:pStyle w:val="Normaalweb"/>
        <w:divId w:val="982394320"/>
        <w:rPr>
          <w:lang w:val="de-DE"/>
        </w:rPr>
      </w:pPr>
      <w:r>
        <w:rPr>
          <w:lang w:val="de-DE"/>
        </w:rPr>
        <w:t>Am 25. September 2026 wurde die endgültige Steuererklärung für Nichtansässige (Veranlagungsjahr 2026, Einkommensjahr 2025) von der Steuerabteilung des ACV eingereicht. Die Steuererklärung enthält:</w:t>
      </w:r>
    </w:p>
    <w:p w14:paraId="787B861A" w14:textId="77777777" w:rsidR="00FA4EDF" w:rsidRDefault="00FA4EDF">
      <w:pPr>
        <w:numPr>
          <w:ilvl w:val="0"/>
          <w:numId w:val="8"/>
        </w:numPr>
        <w:spacing w:before="100" w:beforeAutospacing="1" w:after="100" w:afterAutospacing="1"/>
        <w:divId w:val="982394320"/>
        <w:rPr>
          <w:rFonts w:eastAsia="Times New Roman"/>
          <w:lang w:val="de-DE"/>
        </w:rPr>
      </w:pPr>
      <w:r>
        <w:rPr>
          <w:rFonts w:eastAsia="Times New Roman"/>
          <w:lang w:val="de-DE"/>
        </w:rPr>
        <w:t>Der Invaliditätscode für den unterhaltsberechtigten Partner, basierend auf dem beigefügten ärztlichen Attest des Hausarztes.</w:t>
      </w:r>
    </w:p>
    <w:p w14:paraId="35D480D7" w14:textId="77777777" w:rsidR="00FA4EDF" w:rsidRDefault="00FA4EDF">
      <w:pPr>
        <w:numPr>
          <w:ilvl w:val="0"/>
          <w:numId w:val="8"/>
        </w:numPr>
        <w:spacing w:before="100" w:beforeAutospacing="1" w:after="100" w:afterAutospacing="1"/>
        <w:divId w:val="982394320"/>
        <w:rPr>
          <w:rFonts w:eastAsia="Times New Roman"/>
          <w:lang w:val="de-DE"/>
        </w:rPr>
      </w:pPr>
      <w:r>
        <w:rPr>
          <w:rFonts w:eastAsia="Times New Roman"/>
          <w:lang w:val="de-DE"/>
        </w:rPr>
        <w:t>1 unterhaltsberechtigtes Kind.</w:t>
      </w:r>
    </w:p>
    <w:p w14:paraId="345F9970" w14:textId="77777777" w:rsidR="00FA4EDF" w:rsidRDefault="00FA4EDF">
      <w:pPr>
        <w:numPr>
          <w:ilvl w:val="0"/>
          <w:numId w:val="8"/>
        </w:numPr>
        <w:spacing w:before="100" w:beforeAutospacing="1" w:after="100" w:afterAutospacing="1"/>
        <w:divId w:val="982394320"/>
        <w:rPr>
          <w:rFonts w:eastAsia="Times New Roman"/>
          <w:lang w:val="de-DE"/>
        </w:rPr>
      </w:pPr>
      <w:r>
        <w:rPr>
          <w:rFonts w:eastAsia="Times New Roman"/>
          <w:lang w:val="de-DE"/>
        </w:rPr>
        <w:t>2 Bescheinigungen über Kinderbetreuungskosten, manuell hinzugefügt.</w:t>
      </w:r>
    </w:p>
    <w:p w14:paraId="528E35A7" w14:textId="77777777" w:rsidR="00FA4EDF" w:rsidRDefault="00FA4EDF">
      <w:pPr>
        <w:numPr>
          <w:ilvl w:val="0"/>
          <w:numId w:val="8"/>
        </w:numPr>
        <w:spacing w:before="100" w:beforeAutospacing="1" w:after="100" w:afterAutospacing="1"/>
        <w:divId w:val="982394320"/>
        <w:rPr>
          <w:rFonts w:eastAsia="Times New Roman"/>
          <w:lang w:val="de-DE"/>
        </w:rPr>
      </w:pPr>
      <w:r>
        <w:rPr>
          <w:rFonts w:eastAsia="Times New Roman"/>
          <w:lang w:val="de-DE"/>
        </w:rPr>
        <w:t>Bestätigung über 0,00 € an niederländischen Einkünften oder Leistungen.</w:t>
      </w:r>
    </w:p>
    <w:p w14:paraId="34AD2AF3" w14:textId="77777777" w:rsidR="00FA4EDF" w:rsidRDefault="00FA4EDF">
      <w:pPr>
        <w:pStyle w:val="Normaalweb"/>
        <w:divId w:val="982394320"/>
        <w:rPr>
          <w:lang w:val="de-DE"/>
        </w:rPr>
      </w:pPr>
      <w:r>
        <w:rPr>
          <w:lang w:val="de-DE"/>
        </w:rPr>
        <w:t xml:space="preserve">Das Ergebnis: </w:t>
      </w:r>
      <w:r>
        <w:rPr>
          <w:rStyle w:val="Zwaar"/>
          <w:lang w:val="de-DE"/>
        </w:rPr>
        <w:t>2.669,97 € zugunsten der Familie</w:t>
      </w:r>
      <w:r>
        <w:rPr>
          <w:lang w:val="de-DE"/>
        </w:rPr>
        <w:t>. Die Steuererklärung wurde am 25. September 2026 mit einem berechneten Saldo eingereicht; die endgültige Bearbeitung und der Steuerbescheid des FÖD Finanzen stehen noch aus.</w:t>
      </w:r>
    </w:p>
    <w:p w14:paraId="7255799A" w14:textId="77777777" w:rsidR="00FA4EDF" w:rsidRDefault="00FA4EDF">
      <w:pPr>
        <w:pStyle w:val="Kop4"/>
        <w:divId w:val="982394320"/>
        <w:rPr>
          <w:rFonts w:eastAsia="Times New Roman"/>
          <w:lang w:val="de-DE"/>
        </w:rPr>
      </w:pPr>
      <w:r>
        <w:rPr>
          <w:rFonts w:eastAsia="Times New Roman"/>
          <w:lang w:val="de-DE"/>
        </w:rPr>
        <w:t>Zweite Bestätigung – die unabhängige Überprüfung</w:t>
      </w:r>
    </w:p>
    <w:p w14:paraId="5426F42B" w14:textId="77777777" w:rsidR="00FA4EDF" w:rsidRDefault="00FA4EDF">
      <w:pPr>
        <w:pStyle w:val="Normaalweb"/>
        <w:divId w:val="982394320"/>
        <w:rPr>
          <w:lang w:val="de-DE"/>
        </w:rPr>
      </w:pPr>
      <w:r>
        <w:rPr>
          <w:lang w:val="de-DE"/>
        </w:rPr>
        <w:t>Parallel zur Einreichung hat ein unabhängiger Forscher im Bereich Grenzarbeit – der an einer akademischen Einrichtung tätig und nicht an dem Fall beteiligt ist – beim FÖD Finanzen eine anonyme Anfrage gestellt. Die Frage lautete, ob das spontane Beifügen von ärztlichen Attesten zur Steuererklärung ein zulässiger Weg ist, um den steuerrechtlichen Behindertenstatus nach belgischem Recht nachzuweisen.</w:t>
      </w:r>
    </w:p>
    <w:p w14:paraId="7571ECC2" w14:textId="77777777" w:rsidR="00FA4EDF" w:rsidRDefault="00FA4EDF">
      <w:pPr>
        <w:pStyle w:val="Normaalweb"/>
        <w:divId w:val="982394320"/>
        <w:rPr>
          <w:lang w:val="de-DE"/>
        </w:rPr>
      </w:pPr>
      <w:r>
        <w:rPr>
          <w:lang w:val="de-DE"/>
        </w:rPr>
        <w:t>Der FÖD Finanzen, Team Verwaltung und Dienstleistungen für nicht ansässige Steuerpflichtige (PG15 Ledeberg), hat dies schriftlich bestätigt. In zwei aufeinanderfolgenden Antworten erklärt die Steuerbehörde Folgendes:</w:t>
      </w:r>
    </w:p>
    <w:p w14:paraId="2E94D832" w14:textId="77777777" w:rsidR="00FA4EDF" w:rsidRDefault="00FA4EDF">
      <w:pPr>
        <w:numPr>
          <w:ilvl w:val="0"/>
          <w:numId w:val="9"/>
        </w:numPr>
        <w:spacing w:before="100" w:beforeAutospacing="1" w:after="100" w:afterAutospacing="1"/>
        <w:divId w:val="982394320"/>
        <w:rPr>
          <w:rFonts w:eastAsia="Times New Roman"/>
          <w:lang w:val="de-DE"/>
        </w:rPr>
      </w:pPr>
      <w:r>
        <w:rPr>
          <w:rFonts w:eastAsia="Times New Roman"/>
          <w:lang w:val="de-DE"/>
        </w:rPr>
        <w:t>Wenn kein Ersatzeinkommen über 13.460 € vorliegt, entsteht ein steuerlicher Unterschied.</w:t>
      </w:r>
    </w:p>
    <w:p w14:paraId="1F36CA9C" w14:textId="77777777" w:rsidR="00FA4EDF" w:rsidRDefault="00FA4EDF">
      <w:pPr>
        <w:numPr>
          <w:ilvl w:val="0"/>
          <w:numId w:val="9"/>
        </w:numPr>
        <w:spacing w:before="100" w:beforeAutospacing="1" w:after="100" w:afterAutospacing="1"/>
        <w:divId w:val="982394320"/>
        <w:rPr>
          <w:rFonts w:eastAsia="Times New Roman"/>
          <w:lang w:val="de-DE"/>
        </w:rPr>
      </w:pPr>
      <w:r>
        <w:rPr>
          <w:rFonts w:eastAsia="Times New Roman"/>
          <w:lang w:val="de-DE"/>
        </w:rPr>
        <w:t>Es ist sinnvoll, die ärztlichen Atteste der Steuererklärung von sich aus beizufügen.</w:t>
      </w:r>
    </w:p>
    <w:p w14:paraId="14079159" w14:textId="77777777" w:rsidR="00FA4EDF" w:rsidRDefault="00FA4EDF">
      <w:pPr>
        <w:numPr>
          <w:ilvl w:val="0"/>
          <w:numId w:val="9"/>
        </w:numPr>
        <w:spacing w:before="100" w:beforeAutospacing="1" w:after="100" w:afterAutospacing="1"/>
        <w:divId w:val="982394320"/>
        <w:rPr>
          <w:rFonts w:eastAsia="Times New Roman"/>
          <w:lang w:val="de-DE"/>
        </w:rPr>
      </w:pPr>
      <w:r>
        <w:rPr>
          <w:rFonts w:eastAsia="Times New Roman"/>
          <w:lang w:val="de-DE"/>
        </w:rPr>
        <w:t>Die Behörde kann daraus schließen, dass die betreffende Person nach belgischem Recht steuerlich als behindert einzustufen ist.</w:t>
      </w:r>
    </w:p>
    <w:p w14:paraId="015FD289" w14:textId="77777777" w:rsidR="00FA4EDF" w:rsidRDefault="00FA4EDF">
      <w:pPr>
        <w:pStyle w:val="Normaalweb"/>
        <w:divId w:val="982394320"/>
        <w:rPr>
          <w:lang w:val="de-DE"/>
        </w:rPr>
      </w:pPr>
      <w:r>
        <w:rPr>
          <w:lang w:val="de-DE"/>
        </w:rPr>
        <w:t>Das bedeutet, dass der Umweg nicht nur in der Praxis funktioniert, sondern dass die Steuerbehörde selbst bestätigt, dass der gewählte Weg rechtlich einwandfrei ist. Es handelt sich nicht mehr um ein Glücksspiel oder eine Gunst. Es ist eine formelle Bestätigung, dass der Weg, den die Familie gefunden hat, der richtige ist.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8C67C2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41C8505" w14:textId="77777777" w:rsidR="00FA4EDF" w:rsidRDefault="00FA4EDF">
            <w:pPr>
              <w:pStyle w:val="Normaalweb"/>
              <w:spacing w:before="120"/>
              <w:jc w:val="center"/>
              <w:rPr>
                <w:sz w:val="21"/>
                <w:szCs w:val="21"/>
              </w:rPr>
            </w:pPr>
            <w:r>
              <w:rPr>
                <w:noProof/>
                <w:sz w:val="21"/>
                <w:szCs w:val="21"/>
              </w:rPr>
              <w:drawing>
                <wp:inline distT="0" distB="0" distL="0" distR="0" wp14:anchorId="1355F148" wp14:editId="387BF9B6">
                  <wp:extent cx="3810000" cy="1079500"/>
                  <wp:effectExtent l="0" t="0" r="0" b="635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810000" cy="1079500"/>
                          </a:xfrm>
                          <a:prstGeom prst="rect">
                            <a:avLst/>
                          </a:prstGeom>
                          <a:noFill/>
                          <a:ln>
                            <a:noFill/>
                          </a:ln>
                        </pic:spPr>
                      </pic:pic>
                    </a:graphicData>
                  </a:graphic>
                </wp:inline>
              </w:drawing>
            </w:r>
          </w:p>
          <w:p w14:paraId="6527F3F2" w14:textId="77777777" w:rsidR="00FA4EDF" w:rsidRDefault="00FA4EDF">
            <w:pPr>
              <w:pStyle w:val="caption"/>
              <w:spacing w:after="120" w:afterAutospacing="0"/>
            </w:pPr>
            <w:r>
              <w:rPr>
                <w:rStyle w:val="Zwaar"/>
              </w:rPr>
              <w:t>Abbildung VI.3 – Die doppelte Bestätigung.</w:t>
            </w:r>
            <w:r>
              <w:t xml:space="preserve"> Dieselbe Umgehungsstrategie wurde zweimal bestätigt: einmal in der Praxis (die endgültig eingereichte Steuererklärung mit dem berechneten Vorteil), einmal in der Theorie (die schriftliche Bestätigung der Steuerbehörde gegenüber einem unabhängigen Prüfer).</w:t>
            </w:r>
          </w:p>
        </w:tc>
      </w:tr>
    </w:tbl>
    <w:p w14:paraId="0194E971" w14:textId="77777777" w:rsidR="00FA4EDF" w:rsidRDefault="00FA4EDF">
      <w:pPr>
        <w:pStyle w:val="Kop3"/>
        <w:divId w:val="982394320"/>
        <w:rPr>
          <w:rFonts w:eastAsia="Times New Roman"/>
          <w:lang w:val="de-DE"/>
        </w:rPr>
      </w:pPr>
      <w:bookmarkStart w:id="43" w:name="_Toc242103079"/>
      <w:r>
        <w:rPr>
          <w:rFonts w:eastAsia="Times New Roman"/>
          <w:lang w:val="de-DE"/>
        </w:rPr>
        <w:t>Teil D – AGODI: Das bewegliche Ziel und der endgültige Abschluss</w:t>
      </w:r>
      <w:bookmarkEnd w:id="43"/>
    </w:p>
    <w:p w14:paraId="48CC334C" w14:textId="77777777" w:rsidR="00FA4EDF" w:rsidRDefault="00FA4EDF">
      <w:pPr>
        <w:pStyle w:val="Normaalweb"/>
        <w:divId w:val="982394320"/>
        <w:rPr>
          <w:lang w:val="de-DE"/>
        </w:rPr>
      </w:pPr>
      <w:r>
        <w:rPr>
          <w:lang w:val="de-DE"/>
        </w:rPr>
        <w:t>Die Agentur für Bildungsdienstleistungen (AGODI) ist die flämische Behörde, die die Lohnabrechnung für das Bildungspersonal übernimmt. In diesem Fall fungiert AGODI als Arbeitgeber der Mutter. Wenn die steuerlichen Vergünstigungen auf Bundesebene in Anspruch genommen werden, muss AGODI diese in die Lohnabrechnung übernehmen. Und genau hier tritt zunächst ein Problem auf.</w:t>
      </w:r>
    </w:p>
    <w:p w14:paraId="5CD8BAA2" w14:textId="77777777" w:rsidR="00FA4EDF" w:rsidRDefault="00FA4EDF">
      <w:pPr>
        <w:pStyle w:val="Kop4"/>
        <w:divId w:val="982394320"/>
        <w:rPr>
          <w:rFonts w:eastAsia="Times New Roman"/>
          <w:lang w:val="de-DE"/>
        </w:rPr>
      </w:pPr>
      <w:r>
        <w:rPr>
          <w:rFonts w:eastAsia="Times New Roman"/>
          <w:lang w:val="de-DE"/>
        </w:rPr>
        <w:t>Die erste Ablehnung – 25. März 2026</w:t>
      </w:r>
    </w:p>
    <w:p w14:paraId="017CBDDC" w14:textId="77777777" w:rsidR="00FA4EDF" w:rsidRDefault="00FA4EDF">
      <w:pPr>
        <w:pStyle w:val="Normaalweb"/>
        <w:divId w:val="982394320"/>
        <w:rPr>
          <w:lang w:val="de-DE"/>
        </w:rPr>
      </w:pPr>
      <w:r>
        <w:rPr>
          <w:lang w:val="de-DE"/>
        </w:rPr>
        <w:t>AGODI lehnt die rückwirkende Änderung der Lohnsteuer im Zusammenhang mit der Steuerbefreiung für Lehrkräfte gemäß dem Doppelbesteuerungsabkommen ab. Der Grund: Die Steuerbescheinigungen für vergangene Zeiträume wurden bereits ausgestellt.</w:t>
      </w:r>
    </w:p>
    <w:p w14:paraId="298C4EB4" w14:textId="77777777" w:rsidR="00FA4EDF" w:rsidRDefault="00FA4EDF">
      <w:pPr>
        <w:pStyle w:val="Kop4"/>
        <w:divId w:val="982394320"/>
        <w:rPr>
          <w:rFonts w:eastAsia="Times New Roman"/>
          <w:lang w:val="de-DE"/>
        </w:rPr>
      </w:pPr>
      <w:r>
        <w:rPr>
          <w:rFonts w:eastAsia="Times New Roman"/>
          <w:lang w:val="de-DE"/>
        </w:rPr>
        <w:t>Die medizinische Deutung – 24. August 2026</w:t>
      </w:r>
    </w:p>
    <w:p w14:paraId="06B4288F" w14:textId="77777777" w:rsidR="00FA4EDF" w:rsidRDefault="00FA4EDF">
      <w:pPr>
        <w:pStyle w:val="Normaalweb"/>
        <w:divId w:val="982394320"/>
        <w:rPr>
          <w:lang w:val="de-DE"/>
        </w:rPr>
      </w:pPr>
      <w:r>
        <w:rPr>
          <w:lang w:val="de-DE"/>
        </w:rPr>
        <w:t>AGODI lehnt die Anpassung auf der Grundlage des Bundesattests mit 8 Punkten ab. Die Lohnbuchhaltung maßt sich eine medizinisch-steuerrechtliche Beurteilung an: Das Attest sei ausschließlich für einen Parkausweis gültig, und für eine Ermäßigung der Lohnsteuer seien normalerweise 9 Punkte erforderlich.</w:t>
      </w:r>
    </w:p>
    <w:p w14:paraId="4884BAC5" w14:textId="77777777" w:rsidR="00FA4EDF" w:rsidRDefault="00FA4EDF">
      <w:pPr>
        <w:pStyle w:val="Kop4"/>
        <w:divId w:val="982394320"/>
        <w:rPr>
          <w:rFonts w:eastAsia="Times New Roman"/>
          <w:lang w:val="de-DE"/>
        </w:rPr>
      </w:pPr>
      <w:r>
        <w:rPr>
          <w:rFonts w:eastAsia="Times New Roman"/>
          <w:lang w:val="de-DE"/>
        </w:rPr>
        <w:t>Die komplette Wende – 8. September 2026</w:t>
      </w:r>
    </w:p>
    <w:p w14:paraId="26FDFE55" w14:textId="77777777" w:rsidR="00FA4EDF" w:rsidRDefault="00FA4EDF">
      <w:pPr>
        <w:pStyle w:val="Normaalweb"/>
        <w:divId w:val="982394320"/>
        <w:rPr>
          <w:lang w:val="de-DE"/>
        </w:rPr>
      </w:pPr>
      <w:r>
        <w:rPr>
          <w:lang w:val="de-DE"/>
        </w:rPr>
        <w:t>Sobald das abschließende ärztliche Attest (dauerhafte Erwerbsunfähigkeit ≥ 66 %, Erwerbsfähigkeit auf ein Drittel gemindert) eingereicht wird, übernimmt AGODI die gesamte Abwicklung. Die Behörde behauptet plötzlich, dass sie keine Belege erhalten müsse, dass die Schule lediglich eine elektronische Anpassung übermitteln müsse und dass letztendlich das Finanzamt die Abrechnung vornehme.</w:t>
      </w:r>
    </w:p>
    <w:p w14:paraId="7912CE1B" w14:textId="77777777" w:rsidR="00FA4EDF" w:rsidRDefault="00FA4EDF">
      <w:pPr>
        <w:pStyle w:val="Kop4"/>
        <w:divId w:val="982394320"/>
        <w:rPr>
          <w:rFonts w:eastAsia="Times New Roman"/>
          <w:lang w:val="de-DE"/>
        </w:rPr>
      </w:pPr>
      <w:r>
        <w:rPr>
          <w:rFonts w:eastAsia="Times New Roman"/>
          <w:lang w:val="de-DE"/>
        </w:rPr>
        <w:t>Der endgültige Abschluss — 25. September 2026</w:t>
      </w:r>
    </w:p>
    <w:p w14:paraId="6179C9BC" w14:textId="77777777" w:rsidR="00FA4EDF" w:rsidRDefault="00FA4EDF">
      <w:pPr>
        <w:pStyle w:val="Normaalweb"/>
        <w:divId w:val="982394320"/>
        <w:rPr>
          <w:lang w:val="de-DE"/>
        </w:rPr>
      </w:pPr>
      <w:r>
        <w:rPr>
          <w:lang w:val="de-DE"/>
        </w:rPr>
        <w:t>Das Schulsekretariat hat am 23. September 2026 die offizielle Meldung „Änderung der steuerlichen Situation des behinderten Partners“ im Personalverwaltungssystem Informat erfasst (Meldungsnummer 4, [Stammnummer des Partners]). Mit dieser elektronischen Meldung wird rückwirkend zum 1. Januar 2026 festgehalten, dass der unterhaltsberechtigte Partner kein berufliches Einkommen hat und offiziell als behindert registriert ist. Der Verwaltungsvorgang ist damit vollständig abgeschlossen.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44AE5D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83D08BE" w14:textId="77777777" w:rsidR="00FA4EDF" w:rsidRDefault="00FA4EDF">
            <w:pPr>
              <w:pStyle w:val="Normaalweb"/>
              <w:spacing w:before="120"/>
              <w:jc w:val="center"/>
              <w:rPr>
                <w:sz w:val="21"/>
                <w:szCs w:val="21"/>
              </w:rPr>
            </w:pPr>
            <w:r>
              <w:rPr>
                <w:noProof/>
                <w:sz w:val="21"/>
                <w:szCs w:val="21"/>
              </w:rPr>
              <w:drawing>
                <wp:inline distT="0" distB="0" distL="0" distR="0" wp14:anchorId="609FAF24" wp14:editId="29518C31">
                  <wp:extent cx="3810000" cy="164465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78851386" w14:textId="77777777" w:rsidR="00FA4EDF" w:rsidRDefault="00FA4EDF">
            <w:pPr>
              <w:pStyle w:val="caption"/>
              <w:spacing w:after="120" w:afterAutospacing="0"/>
            </w:pPr>
            <w:r>
              <w:rPr>
                <w:rStyle w:val="Zwaar"/>
              </w:rPr>
              <w:t>Abbildung VI.4 – Vom beweglichen Ziel bis zum endgültigen Abschluss.</w:t>
            </w:r>
            <w:r>
              <w:t xml:space="preserve"> Drei Ablehnungsrunden, gefolgt von der endgültigen Erfassung des elektronischen Signals. Was zunächst unmöglich schien, ist nun administrativ abgeschlossen.</w:t>
            </w:r>
          </w:p>
        </w:tc>
      </w:tr>
    </w:tbl>
    <w:p w14:paraId="6860C4DE" w14:textId="77777777" w:rsidR="00FA4EDF" w:rsidRDefault="00FA4EDF">
      <w:pPr>
        <w:pStyle w:val="Kop3"/>
        <w:divId w:val="982394320"/>
        <w:rPr>
          <w:rFonts w:eastAsia="Times New Roman"/>
          <w:lang w:val="de-DE"/>
        </w:rPr>
      </w:pPr>
      <w:bookmarkStart w:id="44" w:name="_Toc242103080"/>
      <w:r>
        <w:rPr>
          <w:rFonts w:eastAsia="Times New Roman"/>
          <w:lang w:val="de-DE"/>
        </w:rPr>
        <w:t>Teil E – Was in diesem Kapitel festgelegt wird</w:t>
      </w:r>
      <w:bookmarkEnd w:id="44"/>
    </w:p>
    <w:p w14:paraId="636D6F55" w14:textId="77777777" w:rsidR="00FA4EDF" w:rsidRDefault="00FA4EDF">
      <w:pPr>
        <w:pStyle w:val="Normaalweb"/>
        <w:divId w:val="982394320"/>
        <w:rPr>
          <w:lang w:val="de-DE"/>
        </w:rPr>
      </w:pPr>
      <w:r>
        <w:rPr>
          <w:lang w:val="de-DE"/>
        </w:rPr>
        <w:t>Der belgische Steuerweg funktioniert – in vollem Umfang. Vier Abzugsposten, eine Umgehung, eine gemeinsame Steuererklärung mit einem erheblichen Vorteil. Die Umgehungsmöglichkeit wurde zweimal bestätigt: einmal in der Praxis, einmal durch die Steuerbehörde selbst. Und die letzte Instanz in der Kette (AGODI) hat schließlich das elektronische Signal gesendet, mit dem der steuerliche Status rückwirkend registriert wurde.</w:t>
      </w:r>
    </w:p>
    <w:p w14:paraId="7855054A" w14:textId="77777777" w:rsidR="00FA4EDF" w:rsidRDefault="00FA4EDF">
      <w:pPr>
        <w:pStyle w:val="Normaalweb"/>
        <w:divId w:val="982394320"/>
        <w:rPr>
          <w:lang w:val="de-DE"/>
        </w:rPr>
      </w:pPr>
      <w:r>
        <w:rPr>
          <w:lang w:val="de-DE"/>
        </w:rPr>
        <w:t>Dieses Kapitel zeigt, dass es innerhalb desselben Systems, das den Grenzgänger in anderen Bereichen strukturell ausschließt, durchaus Wege gibt, die funktionieren. Der steuerliche Weg ist einer davon. Er ist weder von der Registrierung bei der Krankenkasse noch vom Behindertenamt noch von der europäischen Koordinierung abhängig. Er verläuft direkt vom Hausarzt zum Finanzamt.</w:t>
      </w:r>
    </w:p>
    <w:p w14:paraId="70B8D9EC" w14:textId="77777777" w:rsidR="00FA4EDF" w:rsidRDefault="00FA4EDF">
      <w:pPr>
        <w:pStyle w:val="Normaalweb"/>
        <w:divId w:val="982394320"/>
        <w:rPr>
          <w:lang w:val="de-DE"/>
        </w:rPr>
      </w:pPr>
      <w:r>
        <w:rPr>
          <w:lang w:val="de-DE"/>
        </w:rPr>
        <w:t>Und was ebenso wichtig ist: Der Weg wurde von den Steuerbehörden selbst bestätigt und von einem unabhängigen Prüfer überprüft. Das Ergebnis ist nicht das Ergebnis einer Begünstigung. Es ist das Ergebnis einer korrekten Anwendung des Gesetzes durch einen Bürger, der einen Weg gefunden hat, die gesperrten Kanäle zu umgehen.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6CE96A2"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7E8D1E41"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Bitten Sie Ihren Hausarzt, eine Bescheinigung auszustellen, die den steuerrechtlichen Anforderungen entspricht (Artikel 131 und 135 des Einkommensteuergesetzes). Der föderale Behindertendienst ist für den steuerlichen Weg nicht erforderlich. Eine Registrierung bei der Krankenkasse ist nicht erforderlich. Die Bescheinigung wird direkt der Steuererklärung beigefügt. </w:t>
            </w:r>
            <w:r>
              <w:rPr>
                <w:rFonts w:eastAsia="Times New Roman"/>
                <w:szCs w:val="22"/>
              </w:rPr>
              <w:br/>
            </w:r>
            <w:r>
              <w:rPr>
                <w:rFonts w:eastAsia="Times New Roman"/>
                <w:szCs w:val="22"/>
              </w:rPr>
              <w:br/>
              <w:t>Ein Steuerberater (in Belgien über eine Gewerkschaft oder einen Buchhalter) kann diese Bescheinigung der Steuererklärung beifügen. Der Behinde</w:t>
            </w:r>
            <w:r>
              <w:rPr>
                <w:rFonts w:eastAsia="Times New Roman"/>
                <w:szCs w:val="22"/>
              </w:rPr>
              <w:t xml:space="preserve">rungscode wird in der Steuererklärung eingetragen, und der erhöhte Steuerfreibetrag wird automatisch angerechnet. </w:t>
            </w:r>
            <w:r>
              <w:rPr>
                <w:rFonts w:eastAsia="Times New Roman"/>
                <w:szCs w:val="22"/>
              </w:rPr>
              <w:br/>
            </w:r>
            <w:r>
              <w:rPr>
                <w:rFonts w:eastAsia="Times New Roman"/>
                <w:szCs w:val="22"/>
              </w:rPr>
              <w:br/>
            </w:r>
            <w:r>
              <w:rPr>
                <w:rStyle w:val="Nadruk"/>
                <w:rFonts w:eastAsia="Times New Roman"/>
                <w:szCs w:val="22"/>
              </w:rPr>
              <w:t>Vergessen Sie nicht, auch die anderen Abzugsposten zu überprüfen:</w:t>
            </w:r>
            <w:r>
              <w:rPr>
                <w:rFonts w:eastAsia="Times New Roman"/>
                <w:szCs w:val="22"/>
              </w:rPr>
              <w:t xml:space="preserve"> </w:t>
            </w:r>
            <w:r>
              <w:rPr>
                <w:rFonts w:eastAsia="Times New Roman"/>
                <w:szCs w:val="22"/>
              </w:rPr>
              <w:t xml:space="preserve">Ehegattenfreibetrag, Kinderbetreuungskosten. Diese werden nicht immer automatisch angerechnet. </w:t>
            </w:r>
          </w:p>
        </w:tc>
      </w:tr>
    </w:tbl>
    <w:p w14:paraId="3E75716F" w14:textId="77777777" w:rsidR="00FA4EDF" w:rsidRDefault="00FA4EDF">
      <w:pPr>
        <w:pStyle w:val="noot"/>
        <w:spacing w:after="120" w:afterAutospacing="0"/>
        <w:divId w:val="982394320"/>
        <w:rPr>
          <w:lang w:val="de-DE"/>
        </w:rPr>
      </w:pPr>
      <w:r>
        <w:rPr>
          <w:lang w:val="de-DE"/>
        </w:rPr>
        <w:t>Die Beträge basieren auf der Steuererklärung für das Jahr 2026 und können je nach Fall variieren. Die gesetzlichen Grundlagen sind die Artikel 87, 131, 135, 140–145 und 14535 des Einkommensteuergesetzbuchs von 1992. Alle in diesem Kapitel genannten Organisationen sind juristische Personen. Natürliche Personen werden mit ihrer Funktion oder ihrem Symbol bezeichnet. Dieses Kapitel stellt keine steuerliche Beratung dar.</w:t>
      </w:r>
    </w:p>
    <w:p w14:paraId="1950A40F" w14:textId="77777777" w:rsidR="00FA4EDF" w:rsidRDefault="00FA4EDF">
      <w:pPr>
        <w:pStyle w:val="marker"/>
        <w:ind w:left="800" w:right="800"/>
        <w:divId w:val="982394320"/>
        <w:rPr>
          <w:lang w:val="de-DE"/>
        </w:rPr>
      </w:pPr>
      <w:r>
        <w:br w:type="page"/>
      </w:r>
    </w:p>
    <w:p w14:paraId="6343FCE2" w14:textId="77777777" w:rsidR="00FA4EDF" w:rsidRDefault="00FA4EDF">
      <w:pPr>
        <w:pStyle w:val="Kop2"/>
        <w:divId w:val="982394320"/>
        <w:rPr>
          <w:rFonts w:eastAsia="Times New Roman"/>
          <w:lang w:val="de-DE"/>
        </w:rPr>
      </w:pPr>
      <w:bookmarkStart w:id="45" w:name="_Toc242103081"/>
      <w:r>
        <w:rPr>
          <w:rFonts w:eastAsia="Times New Roman"/>
          <w:lang w:val="de-DE"/>
        </w:rPr>
        <w:t>Die Wiedereröffnung</w:t>
      </w:r>
      <w:bookmarkEnd w:id="45"/>
    </w:p>
    <w:p w14:paraId="42496296" w14:textId="77777777" w:rsidR="00FA4EDF" w:rsidRDefault="00FA4EDF">
      <w:pPr>
        <w:pStyle w:val="lead"/>
        <w:divId w:val="982394320"/>
        <w:rPr>
          <w:lang w:val="de-DE"/>
        </w:rPr>
      </w:pPr>
      <w:r>
        <w:rPr>
          <w:lang w:val="de-DE"/>
        </w:rPr>
        <w:t>Wer einen Bescheid des Bundesamtes für Menschen mit Behinderung erhält und damit nicht einverstanden ist, erfährt aus dem Schreiben, dass er sich an das Arbeitsgericht wenden kann. Was das Schreiben jedoch nicht erwähnt: Es gibt vier weitere Wege, die kostengünstiger und schneller sind und die der Bürger selbst beschreiten kann.</w:t>
      </w:r>
    </w:p>
    <w:p w14:paraId="1457F155" w14:textId="77777777" w:rsidR="00FA4EDF" w:rsidRDefault="00FA4EDF">
      <w:pPr>
        <w:pStyle w:val="Kop3"/>
        <w:divId w:val="982394320"/>
        <w:rPr>
          <w:rFonts w:eastAsia="Times New Roman"/>
          <w:lang w:val="de-DE"/>
        </w:rPr>
      </w:pPr>
      <w:bookmarkStart w:id="46" w:name="_Toc242103082"/>
      <w:r>
        <w:rPr>
          <w:rFonts w:eastAsia="Times New Roman"/>
          <w:lang w:val="de-DE"/>
        </w:rPr>
        <w:t>Was in dem Brief steht</w:t>
      </w:r>
      <w:bookmarkEnd w:id="46"/>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F3EFA3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CD1FF62" w14:textId="77777777" w:rsidR="00FA4EDF" w:rsidRDefault="00FA4EDF">
            <w:pPr>
              <w:pStyle w:val="Normaalweb"/>
              <w:spacing w:before="120"/>
              <w:jc w:val="center"/>
              <w:rPr>
                <w:sz w:val="21"/>
                <w:szCs w:val="21"/>
              </w:rPr>
            </w:pPr>
            <w:r>
              <w:rPr>
                <w:noProof/>
                <w:sz w:val="21"/>
                <w:szCs w:val="21"/>
              </w:rPr>
              <w:drawing>
                <wp:inline distT="0" distB="0" distL="0" distR="0" wp14:anchorId="7BAB929B" wp14:editId="54179F92">
                  <wp:extent cx="3810000" cy="8382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810000" cy="838200"/>
                          </a:xfrm>
                          <a:prstGeom prst="rect">
                            <a:avLst/>
                          </a:prstGeom>
                          <a:noFill/>
                          <a:ln>
                            <a:noFill/>
                          </a:ln>
                        </pic:spPr>
                      </pic:pic>
                    </a:graphicData>
                  </a:graphic>
                </wp:inline>
              </w:drawing>
            </w:r>
          </w:p>
        </w:tc>
      </w:tr>
    </w:tbl>
    <w:p w14:paraId="5E12D35F" w14:textId="77777777" w:rsidR="00FA4EDF" w:rsidRDefault="00FA4EDF">
      <w:pPr>
        <w:pStyle w:val="Kop3"/>
        <w:divId w:val="982394320"/>
        <w:rPr>
          <w:rFonts w:eastAsia="Times New Roman"/>
          <w:lang w:val="de-DE"/>
        </w:rPr>
      </w:pPr>
      <w:bookmarkStart w:id="47" w:name="_Toc242103083"/>
      <w:r>
        <w:rPr>
          <w:rFonts w:eastAsia="Times New Roman"/>
          <w:lang w:val="de-DE"/>
        </w:rPr>
        <w:t>Was auf der Website steht</w:t>
      </w:r>
      <w:bookmarkEnd w:id="47"/>
    </w:p>
    <w:p w14:paraId="1343BBDB" w14:textId="77777777" w:rsidR="00FA4EDF" w:rsidRDefault="00FA4EDF">
      <w:pPr>
        <w:pStyle w:val="Normaalweb"/>
        <w:divId w:val="982394320"/>
        <w:rPr>
          <w:lang w:val="de-DE"/>
        </w:rPr>
      </w:pPr>
      <w:r>
        <w:rPr>
          <w:lang w:val="de-DE"/>
        </w:rPr>
        <w:t xml:space="preserve">Auf der Website des Bundesamtes für Menschen mit Behinderung werden vier Wege aufgeführt, die der Bürger selbst beschreiten kann – ohne Anwalt, ohne Gericht. Sie werden als </w:t>
      </w:r>
      <w:r>
        <w:rPr>
          <w:rStyle w:val="Zwaar"/>
          <w:lang w:val="de-DE"/>
        </w:rPr>
        <w:t>„Wiederaufnahme</w:t>
      </w:r>
      <w:r>
        <w:rPr>
          <w:lang w:val="de-DE"/>
        </w:rPr>
        <w:t xml:space="preserve"> </w:t>
      </w:r>
      <w:r>
        <w:rPr>
          <w:rStyle w:val="Zwaar"/>
          <w:lang w:val="de-DE"/>
        </w:rPr>
        <w:t>des</w:t>
      </w:r>
      <w:r>
        <w:rPr>
          <w:lang w:val="de-DE"/>
        </w:rPr>
        <w:t xml:space="preserve"> </w:t>
      </w:r>
      <w:r>
        <w:rPr>
          <w:rStyle w:val="Zwaar"/>
          <w:lang w:val="de-DE"/>
        </w:rPr>
        <w:t>Verfahrens“</w:t>
      </w:r>
      <w:r>
        <w:rPr>
          <w:lang w:val="de-DE"/>
        </w:rPr>
        <w:t xml:space="preserve"> bezeichnet. Sie können schriftlich über das Kontaktformular oder per Brief beantragt werden.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9A5FA4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88A79F5" w14:textId="77777777" w:rsidR="00FA4EDF" w:rsidRDefault="00FA4EDF">
            <w:pPr>
              <w:pStyle w:val="Normaalweb"/>
              <w:spacing w:before="120"/>
              <w:jc w:val="center"/>
              <w:rPr>
                <w:sz w:val="21"/>
                <w:szCs w:val="21"/>
              </w:rPr>
            </w:pPr>
            <w:r>
              <w:rPr>
                <w:noProof/>
                <w:sz w:val="21"/>
                <w:szCs w:val="21"/>
              </w:rPr>
              <w:drawing>
                <wp:inline distT="0" distB="0" distL="0" distR="0" wp14:anchorId="07D5C4D4" wp14:editId="03830306">
                  <wp:extent cx="3810000" cy="1733550"/>
                  <wp:effectExtent l="0" t="0" r="0"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0" cy="1733550"/>
                          </a:xfrm>
                          <a:prstGeom prst="rect">
                            <a:avLst/>
                          </a:prstGeom>
                          <a:noFill/>
                          <a:ln>
                            <a:noFill/>
                          </a:ln>
                        </pic:spPr>
                      </pic:pic>
                    </a:graphicData>
                  </a:graphic>
                </wp:inline>
              </w:drawing>
            </w:r>
          </w:p>
          <w:p w14:paraId="637564B9" w14:textId="77777777" w:rsidR="00FA4EDF" w:rsidRDefault="00FA4EDF">
            <w:pPr>
              <w:pStyle w:val="caption"/>
              <w:spacing w:after="120" w:afterAutospacing="0"/>
            </w:pPr>
            <w:r>
              <w:rPr>
                <w:rStyle w:val="Zwaar"/>
              </w:rPr>
              <w:t>Abbildung VII.1 – Die vier Wege zur Wiederaufnahme des Verfahrens.</w:t>
            </w:r>
            <w:r>
              <w:t xml:space="preserve"> Sie sind auf der Website des Bundesamtes für Menschen mit Behinderung zu finden, nicht im Schreiben. Sie können schriftlich beantragt werden, ohne Anwalt und ohne Gericht.</w:t>
            </w:r>
          </w:p>
        </w:tc>
      </w:tr>
    </w:tbl>
    <w:p w14:paraId="5F8047CB" w14:textId="77777777" w:rsidR="00FA4EDF" w:rsidRDefault="00FA4EDF">
      <w:pPr>
        <w:pStyle w:val="Kop3"/>
        <w:divId w:val="982394320"/>
        <w:rPr>
          <w:rFonts w:eastAsia="Times New Roman"/>
          <w:lang w:val="de-DE"/>
        </w:rPr>
      </w:pPr>
      <w:bookmarkStart w:id="48" w:name="_Toc242103084"/>
      <w:r>
        <w:rPr>
          <w:rFonts w:eastAsia="Times New Roman"/>
          <w:lang w:val="de-DE"/>
        </w:rPr>
        <w:t>Was das bringt</w:t>
      </w:r>
      <w:bookmarkEnd w:id="48"/>
    </w:p>
    <w:p w14:paraId="574F1F32" w14:textId="77777777" w:rsidR="00FA4EDF" w:rsidRDefault="00FA4EDF">
      <w:pPr>
        <w:pStyle w:val="Normaalweb"/>
        <w:divId w:val="982394320"/>
        <w:rPr>
          <w:lang w:val="de-DE"/>
        </w:rPr>
      </w:pPr>
      <w:r>
        <w:rPr>
          <w:lang w:val="de-DE"/>
        </w:rPr>
        <w:t>Eine Wiederaufnahme des Verfahrens ist kein Rechtsbehelf vor Gericht. Es handelt sich um einen Antrag an dieselbe Stelle, die Entscheidung erneut zu prüfen – mit neuen Argumenten, neuen Beweisen oder einer Erläuterung, warum die frühere Entscheidung nicht zutreffend ist. Der behandelnde Arzt kann dabei helfen: Er oder sie kann schriftlich darlegen, warum die Entscheidung der Behindertenbehörde nicht richtig ist.</w:t>
      </w:r>
    </w:p>
    <w:p w14:paraId="116CA2F3" w14:textId="77777777" w:rsidR="00FA4EDF" w:rsidRDefault="00FA4EDF">
      <w:pPr>
        <w:pStyle w:val="Normaalweb"/>
        <w:divId w:val="982394320"/>
        <w:rPr>
          <w:lang w:val="de-DE"/>
        </w:rPr>
      </w:pPr>
      <w:r>
        <w:rPr>
          <w:lang w:val="de-DE"/>
        </w:rPr>
        <w:t>Im Gegensatz zu einem Gerichtsverfahren fallen bei einer Wiederaufnahme des Verfahrens keine Anwaltskosten und keine Gerichtsgebühren an. Es reicht ein Brief oder ein Online-Formular. Und die Entscheidung trifft erneut dieselbe Behörde, nun jedoch unter Berücksichtigung der Argumente des behandelnden Arztes.</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0670D613"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FB3F954"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Haben Sie einen Bescheid des föderalen Behindertenamtes erhalten, mit dem Sie nicht einverstanden sind? Schauen Sie auf der Website </w:t>
            </w:r>
            <w:r>
              <w:rPr>
                <w:rStyle w:val="Nadruk"/>
                <w:rFonts w:eastAsia="Times New Roman"/>
                <w:szCs w:val="22"/>
              </w:rPr>
              <w:t>handicap.belgium.be</w:t>
            </w:r>
            <w:r>
              <w:rPr>
                <w:rFonts w:eastAsia="Times New Roman"/>
                <w:szCs w:val="22"/>
              </w:rPr>
              <w:t xml:space="preserve"> unter „Eine Wiederaufnahme beantragen“ nach. Dort werden vier Situationen beschrieben. Wählen Sie die Situation aus, die auf Sie zutrifft, reichen Sie den Antrag innerhalb von drei Monaten schriftlich ein und bitten Sie Ihren Hausarzt um ein Begleitschreiben. Dies ist kein Gerichtsverfahren – es handelt sich um einen Antrag auf Überprüfung.</w:t>
            </w:r>
            <w:r>
              <w:rPr>
                <w:rFonts w:eastAsia="Times New Roman"/>
                <w:szCs w:val="22"/>
              </w:rPr>
              <w:br/>
            </w:r>
            <w:r>
              <w:rPr>
                <w:rFonts w:eastAsia="Times New Roman"/>
                <w:szCs w:val="22"/>
              </w:rPr>
              <w:br/>
              <w:t xml:space="preserve">Bitte beachten </w:t>
            </w:r>
            <w:r>
              <w:rPr>
                <w:rFonts w:eastAsia="Times New Roman"/>
                <w:szCs w:val="22"/>
              </w:rPr>
              <w:t xml:space="preserve">Sie: Die gesetzliche Frist für die Anrufung des Arbeitsgerichts beträgt weiterhin drei Monate. Lassen Sie sich im Zweifelsfall rechtlich beraten, bevor diese Frist abläuft. </w:t>
            </w:r>
          </w:p>
        </w:tc>
      </w:tr>
    </w:tbl>
    <w:p w14:paraId="31D1401D" w14:textId="77777777" w:rsidR="00FA4EDF" w:rsidRDefault="00FA4EDF">
      <w:pPr>
        <w:pStyle w:val="noot"/>
        <w:spacing w:after="120" w:afterAutospacing="0"/>
        <w:divId w:val="982394320"/>
        <w:rPr>
          <w:lang w:val="de-DE"/>
        </w:rPr>
      </w:pPr>
      <w:r>
        <w:rPr>
          <w:lang w:val="de-DE"/>
        </w:rPr>
        <w:t>Die Informationen in diesem Kapitel basieren auf der offiziellen Seite „Eine Wiederaufnahme beantragen“ des FÖD Soziale Sicherheit (GD Menschen mit Behinderung), zuletzt aktualisiert am 15. September 2025. Die Rechtsgrundlage und das Verfahren sind auf handicap.belgium.be zu finden. Dieses Kapitel stellt keine Rechtsberatung dar; wenden Sie sich im Zweifelsfall an eine spezialisierte Stelle oder einen Rechtsanwalt.</w:t>
      </w:r>
    </w:p>
    <w:p w14:paraId="6D36E089" w14:textId="77777777" w:rsidR="00FA4EDF" w:rsidRDefault="00FA4EDF">
      <w:pPr>
        <w:pStyle w:val="marker"/>
        <w:ind w:left="800" w:right="800"/>
        <w:divId w:val="982394320"/>
        <w:rPr>
          <w:lang w:val="de-DE"/>
        </w:rPr>
      </w:pPr>
      <w:r>
        <w:br w:type="page"/>
      </w:r>
    </w:p>
    <w:p w14:paraId="56C1E503" w14:textId="77777777" w:rsidR="00FA4EDF" w:rsidRDefault="00FA4EDF">
      <w:pPr>
        <w:pStyle w:val="Kop2"/>
        <w:divId w:val="982394320"/>
        <w:rPr>
          <w:rFonts w:eastAsia="Times New Roman"/>
          <w:lang w:val="de-DE"/>
        </w:rPr>
      </w:pPr>
      <w:bookmarkStart w:id="49" w:name="_Toc242103085"/>
      <w:r>
        <w:rPr>
          <w:rFonts w:eastAsia="Times New Roman"/>
          <w:lang w:val="de-DE"/>
        </w:rPr>
        <w:t>Der CM und die Geldströme</w:t>
      </w:r>
      <w:bookmarkEnd w:id="49"/>
    </w:p>
    <w:p w14:paraId="677B8BB7" w14:textId="77777777" w:rsidR="00FA4EDF" w:rsidRDefault="00FA4EDF">
      <w:pPr>
        <w:pStyle w:val="lead"/>
        <w:divId w:val="982394320"/>
        <w:rPr>
          <w:lang w:val="de-DE"/>
        </w:rPr>
      </w:pPr>
      <w:r>
        <w:rPr>
          <w:lang w:val="de-DE"/>
        </w:rPr>
        <w:t>Die Krankenkasse ist keine Bank mit einem einzigen Konto. Es handelt sich um eine Einrichtung mit drei getrennten Geldströmen: der gesetzlichen Krankenversicherung, dem CM-Leistungspaket und den freiwilligen Versicherungen. Der erste Geldstrom stammt vom Staat über die RSZ. Der zweite aus den Mitgliedsbeiträgen. Der dritte aus separaten Prämien. Und jeder dieser Geldströme speist eine andere Stelle. Dieses Kapitel zeigt, woher das Geld kommt, warum der eine Bereich funktioniert und der andere nicht, und wer</w:t>
      </w:r>
      <w:r>
        <w:rPr>
          <w:lang w:val="de-DE"/>
        </w:rPr>
        <w:t xml:space="preserve"> letztendlich eingreifen kann, wenn die CM sich weigert.</w:t>
      </w:r>
    </w:p>
    <w:p w14:paraId="09ABCD57" w14:textId="77777777" w:rsidR="00FA4EDF" w:rsidRDefault="00FA4EDF">
      <w:pPr>
        <w:pStyle w:val="Kop3"/>
        <w:divId w:val="982394320"/>
        <w:rPr>
          <w:rFonts w:eastAsia="Times New Roman"/>
          <w:lang w:val="de-DE"/>
        </w:rPr>
      </w:pPr>
      <w:bookmarkStart w:id="50" w:name="_Toc242103086"/>
      <w:r>
        <w:rPr>
          <w:rFonts w:eastAsia="Times New Roman"/>
          <w:lang w:val="de-DE"/>
        </w:rPr>
        <w:t>Teil A – Die drei Geldströme</w:t>
      </w:r>
      <w:bookmarkEnd w:id="5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42BABE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EF13EA0" w14:textId="77777777" w:rsidR="00FA4EDF" w:rsidRDefault="00FA4EDF">
            <w:pPr>
              <w:pStyle w:val="Normaalweb"/>
              <w:spacing w:before="120"/>
              <w:jc w:val="center"/>
              <w:rPr>
                <w:sz w:val="21"/>
                <w:szCs w:val="21"/>
              </w:rPr>
            </w:pPr>
            <w:r>
              <w:rPr>
                <w:noProof/>
                <w:sz w:val="21"/>
                <w:szCs w:val="21"/>
              </w:rPr>
              <w:drawing>
                <wp:inline distT="0" distB="0" distL="0" distR="0" wp14:anchorId="46B0F432" wp14:editId="773D3E11">
                  <wp:extent cx="3810000" cy="1784350"/>
                  <wp:effectExtent l="0" t="0" r="0" b="6350"/>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27FC468F" w14:textId="77777777" w:rsidR="00FA4EDF" w:rsidRDefault="00FA4EDF">
            <w:pPr>
              <w:pStyle w:val="caption"/>
              <w:spacing w:after="120" w:afterAutospacing="0"/>
            </w:pPr>
            <w:r>
              <w:rPr>
                <w:rStyle w:val="Zwaar"/>
              </w:rPr>
              <w:t>Abbildung XIV.1 – Die drei Finanzströme.</w:t>
            </w:r>
            <w:r>
              <w:t xml:space="preserve"> </w:t>
            </w:r>
            <w:r>
              <w:t>Die gesetzliche Krankenversicherung wird aus Sozialversicherungsbeiträgen und Steuern finanziert, vom LIKIV verwaltet und von den Krankenkassen durchgeführt. Die Leistungen und Vorteile der CM werden aus den Mitgliedsbeiträgen finanziert. Die freiwilligen Versicherungen werden aus separaten Prämien finanziert. Jeder der drei Finanzströme fließt in eine andere Kasse.</w:t>
            </w:r>
          </w:p>
        </w:tc>
      </w:tr>
    </w:tbl>
    <w:p w14:paraId="6A6E6920" w14:textId="77777777" w:rsidR="00FA4EDF" w:rsidRDefault="00FA4EDF">
      <w:pPr>
        <w:pStyle w:val="Kop3"/>
        <w:divId w:val="982394320"/>
        <w:rPr>
          <w:rFonts w:eastAsia="Times New Roman"/>
          <w:lang w:val="de-DE"/>
        </w:rPr>
      </w:pPr>
      <w:bookmarkStart w:id="51" w:name="_Toc242103087"/>
      <w:r>
        <w:rPr>
          <w:rFonts w:eastAsia="Times New Roman"/>
          <w:lang w:val="de-DE"/>
        </w:rPr>
        <w:t>Teil B – Der Sozialversicherungsbeitrag und seine Verwendung</w:t>
      </w:r>
      <w:bookmarkEnd w:id="51"/>
    </w:p>
    <w:p w14:paraId="28C3D0E9" w14:textId="77777777" w:rsidR="00FA4EDF" w:rsidRDefault="00FA4EDF">
      <w:pPr>
        <w:pStyle w:val="Normaalweb"/>
        <w:divId w:val="982394320"/>
        <w:rPr>
          <w:lang w:val="de-DE"/>
        </w:rPr>
      </w:pPr>
      <w:r>
        <w:rPr>
          <w:lang w:val="de-DE"/>
        </w:rPr>
        <w:t>Die gesetzliche Krankenversicherung wird nicht direkt von der CM bezahlt. Der Arbeitgeber behält einen Teil des Lohns ein und überweist diesen an die staatliche Sozialversicherungsanstalt (RSZ). Die RSZ verteilt die Gelder auf die verschiedenen Zweige der Sozialversicherung. Für die Krankenversicherung gibt es zwei separate Zweige:</w:t>
      </w:r>
    </w:p>
    <w:p w14:paraId="7B323DC7" w14:textId="77777777" w:rsidR="00FA4EDF" w:rsidRDefault="00FA4EDF">
      <w:pPr>
        <w:numPr>
          <w:ilvl w:val="0"/>
          <w:numId w:val="10"/>
        </w:numPr>
        <w:spacing w:before="100" w:beforeAutospacing="1" w:after="100" w:afterAutospacing="1"/>
        <w:divId w:val="982394320"/>
        <w:rPr>
          <w:rFonts w:eastAsia="Times New Roman"/>
          <w:lang w:val="de-DE"/>
        </w:rPr>
      </w:pPr>
      <w:r>
        <w:rPr>
          <w:rStyle w:val="Zwaar"/>
          <w:rFonts w:eastAsia="Times New Roman"/>
          <w:lang w:val="de-DE"/>
        </w:rPr>
        <w:t>Medizinische Versorgung</w:t>
      </w:r>
      <w:r>
        <w:rPr>
          <w:rFonts w:eastAsia="Times New Roman"/>
          <w:lang w:val="de-DE"/>
        </w:rPr>
        <w:t xml:space="preserve"> – Erstattung von medizinischen Leistungen, Arzneimitteln, Hilfsmitteln und Vereinbarungen. Beitragssatz für Arbeitnehmer: ca. 3,55 % des Bruttolohns.</w:t>
      </w:r>
    </w:p>
    <w:p w14:paraId="5178F1E7" w14:textId="77777777" w:rsidR="00FA4EDF" w:rsidRDefault="00FA4EDF">
      <w:pPr>
        <w:numPr>
          <w:ilvl w:val="0"/>
          <w:numId w:val="10"/>
        </w:numPr>
        <w:spacing w:before="100" w:beforeAutospacing="1" w:after="100" w:afterAutospacing="1"/>
        <w:divId w:val="982394320"/>
        <w:rPr>
          <w:rFonts w:eastAsia="Times New Roman"/>
          <w:lang w:val="de-DE"/>
        </w:rPr>
      </w:pPr>
      <w:r>
        <w:rPr>
          <w:rStyle w:val="Zwaar"/>
          <w:rFonts w:eastAsia="Times New Roman"/>
          <w:lang w:val="de-DE"/>
        </w:rPr>
        <w:t>Leistungen</w:t>
      </w:r>
      <w:r>
        <w:rPr>
          <w:rFonts w:eastAsia="Times New Roman"/>
          <w:lang w:val="de-DE"/>
        </w:rPr>
        <w:t xml:space="preserve"> – Krankengeld und Invaliditätsrente bei Arbeitsunfähigkeit. Beitragssatz für Arbeitnehmer: ca. 1,15 % des Bruttolohns.</w:t>
      </w:r>
    </w:p>
    <w:p w14:paraId="27E51970" w14:textId="77777777" w:rsidR="00FA4EDF" w:rsidRDefault="00FA4EDF">
      <w:pPr>
        <w:pStyle w:val="Normaalweb"/>
        <w:divId w:val="982394320"/>
        <w:rPr>
          <w:lang w:val="de-DE"/>
        </w:rPr>
      </w:pPr>
      <w:r>
        <w:rPr>
          <w:lang w:val="de-DE"/>
        </w:rPr>
        <w:t>Das LIKIV erhält das Gesamtbudget und verteilt es auf die Krankenkassen. Jede Krankenkasse erhält ein Budget auf der Grundlage der Anzahl ihrer Mitglieder und deren Profils. Aus diesem Budget bezahlt die Krankenkasse die Leistungen an ihre Mitglieder. Für die Verwaltungskosten erhält die Krankenkasse eine gesonderte Vergütung.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B8A5B5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B0DB475" w14:textId="77777777" w:rsidR="00FA4EDF" w:rsidRDefault="00FA4EDF">
            <w:pPr>
              <w:pStyle w:val="Normaalweb"/>
              <w:spacing w:before="120"/>
              <w:jc w:val="center"/>
              <w:rPr>
                <w:sz w:val="21"/>
                <w:szCs w:val="21"/>
              </w:rPr>
            </w:pPr>
            <w:r>
              <w:rPr>
                <w:noProof/>
                <w:sz w:val="21"/>
                <w:szCs w:val="21"/>
              </w:rPr>
              <w:drawing>
                <wp:inline distT="0" distB="0" distL="0" distR="0" wp14:anchorId="27DDD0C7" wp14:editId="09F781DA">
                  <wp:extent cx="3810000" cy="1314450"/>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77D0AD04" w14:textId="77777777" w:rsidR="00FA4EDF" w:rsidRDefault="00FA4EDF">
            <w:pPr>
              <w:pStyle w:val="caption"/>
              <w:spacing w:after="120" w:afterAutospacing="0"/>
            </w:pPr>
            <w:r>
              <w:rPr>
                <w:rStyle w:val="Zwaar"/>
              </w:rPr>
              <w:t>Abbildung XIV.2 – Der Weg vom Lohn zur Gesundheitsversorgung.</w:t>
            </w:r>
            <w:r>
              <w:t xml:space="preserve"> Der Arbeitgeber zieht den RSZ-Beitrag vom Lohn ab. Die RSZ überweist den Beitrag an das LIKIV. Das LIKIV verteilt ihn auf die Krankenkassen. Die Krankenkasse leistet Zahlungen aus zwei Bereichen: medizinische Versorgung und Leistungen.</w:t>
            </w:r>
          </w:p>
        </w:tc>
      </w:tr>
    </w:tbl>
    <w:p w14:paraId="25DF70ED" w14:textId="77777777" w:rsidR="00FA4EDF" w:rsidRDefault="00FA4EDF">
      <w:pPr>
        <w:pStyle w:val="Kop3"/>
        <w:divId w:val="982394320"/>
        <w:rPr>
          <w:rFonts w:eastAsia="Times New Roman"/>
          <w:lang w:val="de-DE"/>
        </w:rPr>
      </w:pPr>
      <w:bookmarkStart w:id="52" w:name="_Toc242103088"/>
      <w:r>
        <w:rPr>
          <w:rFonts w:eastAsia="Times New Roman"/>
          <w:lang w:val="de-DE"/>
        </w:rPr>
        <w:t>Teil C – Warum Hilfsmittel ja, aber Sozialleistungen nein</w:t>
      </w:r>
      <w:bookmarkEnd w:id="5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C17DE1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7FBF6CA" w14:textId="77777777" w:rsidR="00FA4EDF" w:rsidRDefault="00FA4EDF">
            <w:pPr>
              <w:pStyle w:val="Normaalweb"/>
              <w:spacing w:before="120"/>
              <w:jc w:val="center"/>
              <w:rPr>
                <w:sz w:val="21"/>
                <w:szCs w:val="21"/>
              </w:rPr>
            </w:pPr>
            <w:r>
              <w:rPr>
                <w:noProof/>
                <w:sz w:val="21"/>
                <w:szCs w:val="21"/>
              </w:rPr>
              <w:drawing>
                <wp:inline distT="0" distB="0" distL="0" distR="0" wp14:anchorId="0B0721BD" wp14:editId="67783789">
                  <wp:extent cx="3810000" cy="1974850"/>
                  <wp:effectExtent l="0" t="0" r="0" b="635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683749D2" w14:textId="77777777" w:rsidR="00FA4EDF" w:rsidRDefault="00FA4EDF">
            <w:pPr>
              <w:pStyle w:val="caption"/>
              <w:spacing w:after="120" w:afterAutospacing="0"/>
            </w:pPr>
            <w:r>
              <w:rPr>
                <w:rStyle w:val="Zwaar"/>
              </w:rPr>
              <w:t>Abbildung XIV.3 – Zwei Bereiche, zwei Logiken.</w:t>
            </w:r>
            <w:r>
              <w:t xml:space="preserve"> </w:t>
            </w:r>
            <w:r>
              <w:t>Der Bereich der medizinischen Versorgung arbeitet mit objektiven, messbaren Leistungen. Der Bereich der Sozialleistungen arbeitet mit subjektiven Bewertungen und nationalen Bedingungen. Dieselbe Einrichtung, derselbe Sozialversicherungsbeitrag, aber eine grundlegend andere Logik – und somit ein grundlegend anderes Ergebnis.</w:t>
            </w:r>
          </w:p>
        </w:tc>
      </w:tr>
    </w:tbl>
    <w:p w14:paraId="2AB032A2" w14:textId="77777777" w:rsidR="00FA4EDF" w:rsidRDefault="00FA4EDF">
      <w:pPr>
        <w:pStyle w:val="Kop3"/>
        <w:divId w:val="982394320"/>
        <w:rPr>
          <w:rFonts w:eastAsia="Times New Roman"/>
          <w:lang w:val="de-DE"/>
        </w:rPr>
      </w:pPr>
      <w:bookmarkStart w:id="53" w:name="_Toc242103089"/>
      <w:r>
        <w:rPr>
          <w:rFonts w:eastAsia="Times New Roman"/>
          <w:lang w:val="de-DE"/>
        </w:rPr>
        <w:t>Teil D – Die CDZ als Aufsichtsbehörde</w:t>
      </w:r>
      <w:bookmarkEnd w:id="53"/>
    </w:p>
    <w:p w14:paraId="44934A9E" w14:textId="77777777" w:rsidR="00FA4EDF" w:rsidRDefault="00FA4EDF">
      <w:pPr>
        <w:pStyle w:val="Normaalweb"/>
        <w:divId w:val="982394320"/>
        <w:rPr>
          <w:lang w:val="de-DE"/>
        </w:rPr>
      </w:pPr>
      <w:r>
        <w:rPr>
          <w:lang w:val="de-DE"/>
        </w:rPr>
        <w:t>Die Aufsichtsbehörde für die Krankenkassen (CDZ) übt die Aufsicht über die Krankenkassen insgesamt aus – sowohl über die Pflichtversicherung als auch über die Zusatzleistungen und die freiwilligen Versicherungen. Der CDZ überprüft die Buchführung, die Finanzvorschriften und die ordnungsgemäße Anwendung der gesetzlichen Bestimmungen. Er kann dem Minister Empfehlungen aussprechen und Satzungsänderungen genehmigen.</w:t>
      </w:r>
    </w:p>
    <w:p w14:paraId="61A25A1A" w14:textId="77777777" w:rsidR="00FA4EDF" w:rsidRDefault="00FA4EDF">
      <w:pPr>
        <w:pStyle w:val="Normaalweb"/>
        <w:divId w:val="982394320"/>
        <w:rPr>
          <w:lang w:val="de-DE"/>
        </w:rPr>
      </w:pPr>
      <w:r>
        <w:rPr>
          <w:lang w:val="de-DE"/>
        </w:rPr>
        <w:t>Was die CDZ nicht tut: einzelne Streitfälle schlichten. Die CDZ ist eine Verwaltungsaufsichtsbehörde, keine Schlichtungsstelle. Sie kann die strukturelle Funktionsweise der Krankenkasse untersuchen, aber keine Entscheidung in einem Einzelfall überprüfen. Sie ist keine Berufungsinstanz.</w:t>
      </w:r>
    </w:p>
    <w:p w14:paraId="2C6774F5" w14:textId="77777777" w:rsidR="00FA4EDF" w:rsidRDefault="00FA4EDF">
      <w:pPr>
        <w:pStyle w:val="Kop3"/>
        <w:divId w:val="982394320"/>
        <w:rPr>
          <w:rFonts w:eastAsia="Times New Roman"/>
          <w:lang w:val="de-DE"/>
        </w:rPr>
      </w:pPr>
      <w:bookmarkStart w:id="54" w:name="_Toc242103090"/>
      <w:r>
        <w:rPr>
          <w:rFonts w:eastAsia="Times New Roman"/>
          <w:lang w:val="de-DE"/>
        </w:rPr>
        <w:t>Teil E – Die Arbeitsaufsichtsbehörde: Wer kontrolliert den Kontrolleur?</w:t>
      </w:r>
      <w:bookmarkEnd w:id="54"/>
    </w:p>
    <w:p w14:paraId="17FEA8DB" w14:textId="77777777" w:rsidR="00FA4EDF" w:rsidRDefault="00FA4EDF">
      <w:pPr>
        <w:pStyle w:val="Normaalweb"/>
        <w:divId w:val="982394320"/>
        <w:rPr>
          <w:lang w:val="de-DE"/>
        </w:rPr>
      </w:pPr>
      <w:r>
        <w:rPr>
          <w:lang w:val="de-DE"/>
        </w:rPr>
        <w:t>Wenn eine Durchführungsbehörde das Gesetz systematisch missachtet, gibt es in Belgien eine Justizbehörde, die theoretisch eingreifen kann: die Arbeitsaufsichtsbehörde, die Staatsanwaltschaft bei den Arbeitsgerichten. Es ist für die Durchsetzung der Sozialversicherungsgesetze zuständig und kann tätig werden, wenn eine Einrichtung gegen das Gesetz verstößt.</w:t>
      </w:r>
    </w:p>
    <w:p w14:paraId="1FA0A8D6" w14:textId="77777777" w:rsidR="00FA4EDF" w:rsidRDefault="00FA4EDF">
      <w:pPr>
        <w:pStyle w:val="Normaalweb"/>
        <w:divId w:val="982394320"/>
        <w:rPr>
          <w:lang w:val="de-DE"/>
        </w:rPr>
      </w:pPr>
      <w:r>
        <w:rPr>
          <w:lang w:val="de-DE"/>
        </w:rPr>
        <w:t>In dieser Akte wurde am 10. September 2026 eine formelle Meldung an die Arbeitsaufsichtsbehörde Gent erstattet. Die Meldung betraf strukturelle Verfahrensfehler bei der CM, einen Verstoß gegen die europäische Koordinierungsverordnung sowie die Nichteinhaltung der LIKIV-Vorgaben. Die vollständige Zeitleiste und das steuermedizinische Attest wurden als Beweismittel beigefügt.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4824000"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179D3F5" w14:textId="77777777" w:rsidR="00FA4EDF" w:rsidRDefault="00FA4EDF">
            <w:pPr>
              <w:pStyle w:val="Normaalweb"/>
              <w:spacing w:before="120"/>
              <w:jc w:val="center"/>
              <w:rPr>
                <w:sz w:val="21"/>
                <w:szCs w:val="21"/>
              </w:rPr>
            </w:pPr>
            <w:r>
              <w:rPr>
                <w:noProof/>
                <w:sz w:val="21"/>
                <w:szCs w:val="21"/>
              </w:rPr>
              <w:drawing>
                <wp:inline distT="0" distB="0" distL="0" distR="0" wp14:anchorId="1C8813BB" wp14:editId="1F5DAB10">
                  <wp:extent cx="3810000" cy="118110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69C56360" w14:textId="77777777" w:rsidR="00FA4EDF" w:rsidRDefault="00FA4EDF">
            <w:pPr>
              <w:pStyle w:val="caption"/>
              <w:spacing w:after="120" w:afterAutospacing="0"/>
            </w:pPr>
            <w:r>
              <w:rPr>
                <w:rStyle w:val="Zwaar"/>
              </w:rPr>
              <w:t>Abbildung XIV.4 – Die Arbeitsaufsichtsbehörde.</w:t>
            </w:r>
            <w:r>
              <w:t xml:space="preserve"> Die Meldung geht am 10. September 2026 bei der Arbeitsaufsichtsbehörde ein. Die Antwort erfolgt einen Tag später: Die Behörde erklärt sich für unzuständig und stuft die strukturelle Blockade als zivilrechtlichen Streitfall ein. Der Bürger wird an das Arbeitsgericht verwiesen, was den langwierigsten Weg darstellt.</w:t>
            </w:r>
          </w:p>
        </w:tc>
      </w:tr>
    </w:tbl>
    <w:p w14:paraId="23DE2FF2" w14:textId="77777777" w:rsidR="00FA4EDF" w:rsidRDefault="00FA4EDF">
      <w:pPr>
        <w:pStyle w:val="Normaalweb"/>
        <w:divId w:val="982394320"/>
        <w:rPr>
          <w:lang w:val="de-DE"/>
        </w:rPr>
      </w:pPr>
      <w:r>
        <w:rPr>
          <w:lang w:val="de-DE"/>
        </w:rPr>
        <w:t>Was die Arbeitsaufsichtsbehörde damit tut, ist dasselbe wie das, was die CDZ tut: Sie schiebt die Frage der Verantwortung weiter. Die Behörde, die bei Verstößen gegen das Sozialrecht eigentlich eingreifen müsste, stuft den Streitfall als private Angelegenheit ein. Und dem Bürger bleibt eine Anlaufstelle weniger, an die er sich wenden kann.</w:t>
      </w:r>
    </w:p>
    <w:p w14:paraId="1DE218A1" w14:textId="77777777" w:rsidR="00FA4EDF" w:rsidRDefault="00FA4EDF">
      <w:pPr>
        <w:pStyle w:val="Kop3"/>
        <w:divId w:val="982394320"/>
        <w:rPr>
          <w:rFonts w:eastAsia="Times New Roman"/>
          <w:lang w:val="de-DE"/>
        </w:rPr>
      </w:pPr>
      <w:bookmarkStart w:id="55" w:name="_Toc242103091"/>
      <w:r>
        <w:rPr>
          <w:rFonts w:eastAsia="Times New Roman"/>
          <w:lang w:val="de-DE"/>
        </w:rPr>
        <w:t>Teil F – Die Ärztekammer: Disziplinarverfahren gegen den beratenden Arzt</w:t>
      </w:r>
      <w:bookmarkEnd w:id="55"/>
    </w:p>
    <w:p w14:paraId="05D7976F" w14:textId="77777777" w:rsidR="00FA4EDF" w:rsidRDefault="00FA4EDF">
      <w:pPr>
        <w:pStyle w:val="Normaalweb"/>
        <w:divId w:val="982394320"/>
        <w:rPr>
          <w:lang w:val="de-DE"/>
        </w:rPr>
      </w:pPr>
      <w:r>
        <w:rPr>
          <w:lang w:val="de-DE"/>
        </w:rPr>
        <w:t>Die Ärztekammer ist die gesetzliche Instanz, die über die medizinische Berufsethik wacht und das Disziplinarrecht gegenüber einzelnen Ärzten ausübt. Sie kann Beschwerden untersuchen und Disziplinarmaßnahmen verhängen – von einer Verwarnung bis hin zur Streichung aus dem Ärzteverzeichnis –, hat jedoch keine Zuständigkeit für Verwaltungsentscheidungen von Einrichtungen oder für algorithmische Prozesse innerhalb einer Krankenkasse.</w:t>
      </w:r>
    </w:p>
    <w:p w14:paraId="3AD9209E" w14:textId="77777777" w:rsidR="00FA4EDF" w:rsidRDefault="00FA4EDF">
      <w:pPr>
        <w:pStyle w:val="Normaalweb"/>
        <w:divId w:val="982394320"/>
        <w:rPr>
          <w:lang w:val="de-DE"/>
        </w:rPr>
      </w:pPr>
      <w:r>
        <w:rPr>
          <w:lang w:val="de-DE"/>
        </w:rPr>
        <w:t>In dieser Akte wurde am 19. September 2026 beim Provinzrat von Antwerpen eine Beschwerde gegen die Arbeitsweise des beratenden Arztes der CM eingereicht. Die Beschwerde betrifft die Erstellung widersprüchlicher Entscheidungen unter einer optisch identischen Unterschrift, ohne nachweisbaren Zugriff auf die aktuelle Krankenakte. Es stellt sich die Frage, ob diese Praxis mit den berufsethischen Grundsätzen der unabhängigen Ausübung der Medizin vereinbar ist.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71EABCF"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6C51614" w14:textId="77777777" w:rsidR="00FA4EDF" w:rsidRDefault="00FA4EDF">
            <w:pPr>
              <w:pStyle w:val="Normaalweb"/>
              <w:spacing w:before="120"/>
              <w:jc w:val="center"/>
              <w:rPr>
                <w:sz w:val="21"/>
                <w:szCs w:val="21"/>
              </w:rPr>
            </w:pPr>
            <w:r>
              <w:rPr>
                <w:noProof/>
                <w:sz w:val="21"/>
                <w:szCs w:val="21"/>
              </w:rPr>
              <w:drawing>
                <wp:inline distT="0" distB="0" distL="0" distR="0" wp14:anchorId="1207421B" wp14:editId="0965BF04">
                  <wp:extent cx="3810000" cy="1454150"/>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41ECDE73" w14:textId="77777777" w:rsidR="00FA4EDF" w:rsidRDefault="00FA4EDF">
            <w:pPr>
              <w:pStyle w:val="caption"/>
              <w:spacing w:after="120" w:afterAutospacing="0"/>
            </w:pPr>
            <w:r>
              <w:rPr>
                <w:rStyle w:val="Zwaar"/>
              </w:rPr>
              <w:t>Abbildung XIV.5 — Die Ärztekammer.</w:t>
            </w:r>
            <w:r>
              <w:t xml:space="preserve"> Disziplinarverfahren können zwar den einzelnen Arzt betreffen, nicht jedoch die Struktur, aus der die Entscheidung hervorgeht. Selbst eine begründete Beschwerde ändert nichts am Ergebnis für den Patienten, da die Krankenkasse den Arzt ersetzt und der Algorithmus unverändert bleibt.</w:t>
            </w:r>
          </w:p>
        </w:tc>
      </w:tr>
    </w:tbl>
    <w:p w14:paraId="2EB1E95C" w14:textId="77777777" w:rsidR="00FA4EDF" w:rsidRDefault="00FA4EDF">
      <w:pPr>
        <w:pStyle w:val="Kop3"/>
        <w:divId w:val="982394320"/>
        <w:rPr>
          <w:rFonts w:eastAsia="Times New Roman"/>
          <w:lang w:val="de-DE"/>
        </w:rPr>
      </w:pPr>
      <w:bookmarkStart w:id="56" w:name="_Toc242103092"/>
      <w:r>
        <w:rPr>
          <w:rFonts w:eastAsia="Times New Roman"/>
          <w:lang w:val="de-DE"/>
        </w:rPr>
        <w:t>Teil G – Was in diesem Kapitel festgelegt wird</w:t>
      </w:r>
      <w:bookmarkEnd w:id="56"/>
    </w:p>
    <w:p w14:paraId="7A523AFF" w14:textId="77777777" w:rsidR="00FA4EDF" w:rsidRDefault="00FA4EDF">
      <w:pPr>
        <w:pStyle w:val="Normaalweb"/>
        <w:divId w:val="982394320"/>
        <w:rPr>
          <w:lang w:val="de-DE"/>
        </w:rPr>
      </w:pPr>
      <w:r>
        <w:rPr>
          <w:lang w:val="de-DE"/>
        </w:rPr>
        <w:t>Die Frage, warum Hilfsmittel bezahlt werden, Leistungen jedoch nicht, hat eine strukturelle Antwort. Die CM erfüllt im Rahmen der gesetzlichen Krankenversicherung zwei gesetzlich voneinander getrennte Aufgaben. Die eine Aufgabe basiert auf messbaren Leistungen und festen Sätzen. Die andere basiert auf subjektiven Beurteilungen und nationalen Voraussetzungen.</w:t>
      </w:r>
    </w:p>
    <w:p w14:paraId="3FAE3AE7" w14:textId="77777777" w:rsidR="00FA4EDF" w:rsidRDefault="00FA4EDF">
      <w:pPr>
        <w:pStyle w:val="Normaalweb"/>
        <w:divId w:val="982394320"/>
        <w:rPr>
          <w:lang w:val="de-DE"/>
        </w:rPr>
      </w:pPr>
      <w:r>
        <w:rPr>
          <w:lang w:val="de-DE"/>
        </w:rPr>
        <w:t>Innerhalb derselben Einrichtung gibt es also zwei unterschiedliche Regelungen. Bei der medizinischen Versorgung muss die Krankenkasse keine Person beurteilen – sie bezahlt einfach eine Rechnung. Bei den Leistungen muss sie jedoch beurteilen, ob jemand arbeitsunfähig ist, und diese Beurteilung unterliegt den gesetzlich vorgeschriebenen Bedingungen. Für einen Grenzgänger sind diese Bedingungen problematisch, da sie auf nationalen Bezugszeiträumen und Aufenthaltsbedingungen basieren.</w:t>
      </w:r>
    </w:p>
    <w:p w14:paraId="1A1689E9" w14:textId="77777777" w:rsidR="00FA4EDF" w:rsidRDefault="00FA4EDF">
      <w:pPr>
        <w:pStyle w:val="Normaalweb"/>
        <w:divId w:val="982394320"/>
        <w:rPr>
          <w:lang w:val="de-DE"/>
        </w:rPr>
      </w:pPr>
      <w:r>
        <w:rPr>
          <w:lang w:val="de-DE"/>
        </w:rPr>
        <w:t>Und wenn die CM ablehnt, erweisen sich die beiden Aufsichtsbehörden – die CDZ und das Arbeitsauditorat – als nicht zuständig für Einzelfälle. Die Ärztekammer kann nur den einzelnen Arzt sanktionieren, nicht aber das System, das die Entscheidung steuert. Die Schlussfolgerung ist kein Vorwurf der Böswilligkeit. Es ist die Feststellung, dass das System die Verantwortung für das Ganze nirgendwo festlegt. Jede Behörde erledigt ihren eigenen Teil. Und keine einzige Behörde trägt die Gesamtverantwortung.</w:t>
      </w:r>
    </w:p>
    <w:p w14:paraId="6DB568E3"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xml:space="preserve">) bezeichnet. Die Informationen zur Finanzierung basieren auf den offiziellen Mitteilungen der CM, des LIKIV und der CDZ. Die verfahrensrechtlichen Informationen zum Arbeitsauditorat und zur </w:t>
      </w:r>
      <w:r>
        <w:rPr>
          <w:rFonts w:cs="Aptos"/>
          <w:lang w:val="de-DE"/>
        </w:rPr>
        <w:t>Ä</w:t>
      </w:r>
      <w:r>
        <w:rPr>
          <w:lang w:val="de-DE"/>
        </w:rPr>
        <w:t xml:space="preserve">rztekammer basieren auf Dokument B und </w:t>
      </w:r>
      <w:r>
        <w:rPr>
          <w:rFonts w:cs="Aptos"/>
          <w:lang w:val="de-DE"/>
        </w:rPr>
        <w:t>ö</w:t>
      </w:r>
      <w:r>
        <w:rPr>
          <w:lang w:val="de-DE"/>
        </w:rPr>
        <w:t>ffentlichen Quellen. Dieses Kapitel stellt keine rechtliche oder finanzielle Beratung dar.</w:t>
      </w:r>
    </w:p>
    <w:p w14:paraId="4FDDDB73" w14:textId="77777777" w:rsidR="00FA4EDF" w:rsidRDefault="00FA4EDF">
      <w:pPr>
        <w:pStyle w:val="marker"/>
        <w:ind w:left="800" w:right="800"/>
        <w:divId w:val="982394320"/>
        <w:rPr>
          <w:lang w:val="de-DE"/>
        </w:rPr>
      </w:pPr>
      <w:r>
        <w:br w:type="page"/>
      </w:r>
    </w:p>
    <w:p w14:paraId="1DBC1CDF" w14:textId="77777777" w:rsidR="00FA4EDF" w:rsidRDefault="00FA4EDF">
      <w:pPr>
        <w:pStyle w:val="Kop1"/>
        <w:divId w:val="982394320"/>
        <w:rPr>
          <w:rFonts w:eastAsia="Times New Roman"/>
          <w:lang w:val="de-DE"/>
        </w:rPr>
      </w:pPr>
      <w:bookmarkStart w:id="57" w:name="_Toc242103093"/>
      <w:r>
        <w:rPr>
          <w:rFonts w:eastAsia="Times New Roman"/>
          <w:lang w:val="de-DE"/>
        </w:rPr>
        <w:t>III. Niederlande</w:t>
      </w:r>
      <w:bookmarkEnd w:id="57"/>
    </w:p>
    <w:p w14:paraId="54AC62B0" w14:textId="77777777" w:rsidR="00FA4EDF" w:rsidRDefault="00FA4EDF">
      <w:pPr>
        <w:pStyle w:val="Kop2"/>
        <w:divId w:val="982394320"/>
        <w:rPr>
          <w:rFonts w:eastAsia="Times New Roman"/>
          <w:lang w:val="de-DE"/>
        </w:rPr>
      </w:pPr>
      <w:bookmarkStart w:id="58" w:name="_Toc242103094"/>
      <w:r>
        <w:rPr>
          <w:rFonts w:eastAsia="Times New Roman"/>
          <w:lang w:val="de-DE"/>
        </w:rPr>
        <w:t>Das UWV und die Mühle der Einsprüche</w:t>
      </w:r>
      <w:bookmarkEnd w:id="58"/>
    </w:p>
    <w:p w14:paraId="7452E54F" w14:textId="77777777" w:rsidR="00FA4EDF" w:rsidRDefault="00FA4EDF">
      <w:pPr>
        <w:pStyle w:val="lead"/>
        <w:divId w:val="982394320"/>
        <w:rPr>
          <w:lang w:val="de-DE"/>
        </w:rPr>
      </w:pPr>
      <w:r>
        <w:rPr>
          <w:lang w:val="de-DE"/>
        </w:rPr>
        <w:t>Das UWV prüft, ob jemand arbeitsunfähig ist und ob ein Anspruch auf eine Leistung besteht. Was folgt, ist keine Ablehnung. Es handelt sich um eine Reihe von Ablehnungen. Jede Ablehnung hat ihren eigenen Grund, ihr eigenes Verfahren und ihr eigenes Ergebnis. Keine einzige Ablehnung wird inhaltlich geprüft. Und die LfA, das belgische Pendant, wendet ihrerseits dieselbe Taktik in umgekehrter Richtung an.</w:t>
      </w:r>
    </w:p>
    <w:p w14:paraId="2B33ECB4" w14:textId="77777777" w:rsidR="00FA4EDF" w:rsidRDefault="00FA4EDF">
      <w:pPr>
        <w:pStyle w:val="Kop3"/>
        <w:divId w:val="982394320"/>
        <w:rPr>
          <w:rFonts w:eastAsia="Times New Roman"/>
          <w:lang w:val="de-DE"/>
        </w:rPr>
      </w:pPr>
      <w:bookmarkStart w:id="59" w:name="_Toc242103095"/>
      <w:r>
        <w:rPr>
          <w:rFonts w:eastAsia="Times New Roman"/>
          <w:lang w:val="de-DE"/>
        </w:rPr>
        <w:t>Teil A – Sechs Runden beim UWV</w:t>
      </w:r>
      <w:bookmarkEnd w:id="5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E8D218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20C898A" w14:textId="77777777" w:rsidR="00FA4EDF" w:rsidRDefault="00FA4EDF">
            <w:pPr>
              <w:pStyle w:val="Normaalweb"/>
              <w:spacing w:before="120"/>
              <w:jc w:val="center"/>
              <w:rPr>
                <w:sz w:val="21"/>
                <w:szCs w:val="21"/>
              </w:rPr>
            </w:pPr>
            <w:r>
              <w:rPr>
                <w:noProof/>
                <w:sz w:val="21"/>
                <w:szCs w:val="21"/>
              </w:rPr>
              <w:drawing>
                <wp:inline distT="0" distB="0" distL="0" distR="0" wp14:anchorId="31DC4A30" wp14:editId="13CBB830">
                  <wp:extent cx="3810000" cy="2286000"/>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360525EF" w14:textId="77777777" w:rsidR="00FA4EDF" w:rsidRDefault="00FA4EDF">
            <w:pPr>
              <w:pStyle w:val="caption"/>
              <w:spacing w:after="120" w:afterAutospacing="0"/>
            </w:pPr>
            <w:r>
              <w:rPr>
                <w:rStyle w:val="Zwaar"/>
              </w:rPr>
              <w:t>Abbildung IX.1 – Die sechs Runden.</w:t>
            </w:r>
            <w:r>
              <w:t xml:space="preserve"> Fünf Anträge, zwei Einsprüche, eine Überprüfung. Jede Runde endet mit einer formellen Ablehnung. In der gesamten Kette wird die medizinische Situation kein einziges Mal inhaltlich geprüft, trotz fünf unabhängiger medizinischer Gutachten und Hunderten von Seiten an Beweismaterial.</w:t>
            </w:r>
          </w:p>
        </w:tc>
      </w:tr>
    </w:tbl>
    <w:p w14:paraId="074B6759" w14:textId="77777777" w:rsidR="00FA4EDF" w:rsidRDefault="00FA4EDF">
      <w:pPr>
        <w:pStyle w:val="Kop3"/>
        <w:divId w:val="982394320"/>
        <w:rPr>
          <w:rFonts w:eastAsia="Times New Roman"/>
          <w:lang w:val="de-DE"/>
        </w:rPr>
      </w:pPr>
      <w:bookmarkStart w:id="60" w:name="_Toc242103096"/>
      <w:r>
        <w:rPr>
          <w:rFonts w:eastAsia="Times New Roman"/>
          <w:lang w:val="de-DE"/>
        </w:rPr>
        <w:t>Teil B – Die LfA und das C4-Formular</w:t>
      </w:r>
      <w:bookmarkEnd w:id="60"/>
    </w:p>
    <w:p w14:paraId="72C88331" w14:textId="77777777" w:rsidR="00FA4EDF" w:rsidRDefault="00FA4EDF">
      <w:pPr>
        <w:pStyle w:val="Normaalweb"/>
        <w:divId w:val="982394320"/>
        <w:rPr>
          <w:lang w:val="de-DE"/>
        </w:rPr>
      </w:pPr>
      <w:r>
        <w:rPr>
          <w:lang w:val="de-DE"/>
        </w:rPr>
        <w:t>Das UWV ist nicht die einzige Behörde, die die Ausstellung eines Berufslaufbahnnachweises blockiert. Die staatliche Arbeitsvermittlungsbehörde (LfA) wendet auf belgischer Seite eine ähnliche Vorgehensweise an, allerdings im Bereich der Bildungslaufbahn.</w:t>
      </w:r>
    </w:p>
    <w:p w14:paraId="115DE20B" w14:textId="77777777" w:rsidR="00FA4EDF" w:rsidRDefault="00FA4EDF">
      <w:pPr>
        <w:pStyle w:val="Kop4"/>
        <w:divId w:val="982394320"/>
        <w:rPr>
          <w:rFonts w:eastAsia="Times New Roman"/>
          <w:lang w:val="de-DE"/>
        </w:rPr>
      </w:pPr>
      <w:r>
        <w:rPr>
          <w:rFonts w:eastAsia="Times New Roman"/>
          <w:lang w:val="de-DE"/>
        </w:rPr>
        <w:t>Das Problem mit der beruflichen Laufbahn im Bildungswesen</w:t>
      </w:r>
    </w:p>
    <w:p w14:paraId="59B5818F" w14:textId="77777777" w:rsidR="00FA4EDF" w:rsidRDefault="00FA4EDF">
      <w:pPr>
        <w:pStyle w:val="Normaalweb"/>
        <w:divId w:val="982394320"/>
        <w:rPr>
          <w:lang w:val="de-DE"/>
        </w:rPr>
      </w:pPr>
      <w:r>
        <w:rPr>
          <w:lang w:val="de-DE"/>
        </w:rPr>
        <w:t xml:space="preserve">Der Partner ist als festangestellter Lehrer im flämischen Bildungswesen tätig. Für die Beantragung des europäischen Berufslaufbahnnachweises (PD U1) muss die LfA ein Formular ausfüllen, das die gesamte berufliche Laufbahn im Bildungswesen dokumentiert. Die LfA blockiert den Antrag jedoch mit der Forderung nach einem </w:t>
      </w:r>
      <w:r>
        <w:rPr>
          <w:rStyle w:val="Zwaar"/>
          <w:lang w:val="de-DE"/>
        </w:rPr>
        <w:t>C4-Formular</w:t>
      </w:r>
      <w:r>
        <w:rPr>
          <w:lang w:val="de-DE"/>
        </w:rPr>
        <w:t>.</w:t>
      </w:r>
    </w:p>
    <w:p w14:paraId="23382251" w14:textId="77777777" w:rsidR="00FA4EDF" w:rsidRDefault="00FA4EDF">
      <w:pPr>
        <w:pStyle w:val="Normaalweb"/>
        <w:divId w:val="982394320"/>
        <w:rPr>
          <w:lang w:val="de-DE"/>
        </w:rPr>
      </w:pPr>
      <w:r>
        <w:rPr>
          <w:lang w:val="de-DE"/>
        </w:rPr>
        <w:t>Was ist das C4-Formular? Es handelt sich um ein Kündigungsdokument aus der Privatwirtschaft. Es wird verwendet, wenn ein Arbeitnehmer in der Privatwirtschaft aus dem Dienst ausscheidet. Für festangestellte Lehrkräfte gibt es dieses Formular rechtlich gesehen nicht. Es gibt keine Kündigung, keinen privaten Arbeitgeber und kein C4-Formular.</w:t>
      </w:r>
    </w:p>
    <w:p w14:paraId="3B894F53" w14:textId="77777777" w:rsidR="00FA4EDF" w:rsidRDefault="00FA4EDF">
      <w:pPr>
        <w:pStyle w:val="Normaalweb"/>
        <w:divId w:val="982394320"/>
        <w:rPr>
          <w:lang w:val="de-DE"/>
        </w:rPr>
      </w:pPr>
      <w:r>
        <w:rPr>
          <w:lang w:val="de-DE"/>
        </w:rPr>
        <w:t>Die LfA wendet also die Logik des privaten Sektors auf eine Laufbahn an, die völlig außerhalb dieses Rahmens liegt. Die Behörde zwängt eine öffentliche Laufbahn in eine private Form.</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B7BDA70"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DB4EB16" w14:textId="77777777" w:rsidR="00FA4EDF" w:rsidRDefault="00FA4EDF">
            <w:pPr>
              <w:pStyle w:val="Normaalweb"/>
              <w:spacing w:before="120"/>
              <w:jc w:val="center"/>
              <w:rPr>
                <w:sz w:val="21"/>
                <w:szCs w:val="21"/>
              </w:rPr>
            </w:pPr>
            <w:r>
              <w:rPr>
                <w:noProof/>
                <w:sz w:val="21"/>
                <w:szCs w:val="21"/>
              </w:rPr>
              <w:drawing>
                <wp:inline distT="0" distB="0" distL="0" distR="0" wp14:anchorId="6754E896" wp14:editId="1966B21D">
                  <wp:extent cx="3810000" cy="1041400"/>
                  <wp:effectExtent l="0" t="0" r="0" b="635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40AB6CDB" w14:textId="77777777" w:rsidR="00FA4EDF" w:rsidRDefault="00FA4EDF">
            <w:pPr>
              <w:pStyle w:val="caption"/>
              <w:spacing w:after="120" w:afterAutospacing="0"/>
            </w:pPr>
            <w:r>
              <w:t>Die LfA verlangt ein C4-Formular für einen Werdegang, für den es rechtlich gesehen kein C4 gibt. Der Antrag wird blockiert. Der Bürger muss selbst einen alternativen Nachweis über die Agentur für Bildungsdienstleistungen (AGODI) vorlegen, die die offizielle Berechnung der finanziellen Dienstzeit ausstellt.</w:t>
            </w:r>
          </w:p>
        </w:tc>
      </w:tr>
    </w:tbl>
    <w:p w14:paraId="2977BC1A" w14:textId="77777777" w:rsidR="00FA4EDF" w:rsidRDefault="00FA4EDF">
      <w:pPr>
        <w:pStyle w:val="Kop4"/>
        <w:divId w:val="982394320"/>
        <w:rPr>
          <w:rFonts w:eastAsia="Times New Roman"/>
          <w:lang w:val="de-DE"/>
        </w:rPr>
      </w:pPr>
      <w:r>
        <w:rPr>
          <w:rFonts w:eastAsia="Times New Roman"/>
          <w:lang w:val="de-DE"/>
        </w:rPr>
        <w:t>Die manuelle Übermittlung</w:t>
      </w:r>
    </w:p>
    <w:p w14:paraId="7177FADF" w14:textId="77777777" w:rsidR="00FA4EDF" w:rsidRDefault="00FA4EDF">
      <w:pPr>
        <w:pStyle w:val="Normaalweb"/>
        <w:divId w:val="982394320"/>
        <w:rPr>
          <w:lang w:val="de-DE"/>
        </w:rPr>
      </w:pPr>
      <w:r>
        <w:rPr>
          <w:lang w:val="de-DE"/>
        </w:rPr>
        <w:t>Der Patient löst das Problem durch die manuelle Einreichung des AGODI-Nachweises. Die Agentur für Bildungsdienstleistungen stellt ein offizielles Dokument aus, aus dem der gesamte Bildungsweg hervorgeht. Dieses Dokument wird an die LfA übermittelt, woraufhin die zweite PD-U1-Bescheinigung ausgestellt wird.</w:t>
      </w:r>
    </w:p>
    <w:p w14:paraId="22E03D84" w14:textId="77777777" w:rsidR="00FA4EDF" w:rsidRDefault="00FA4EDF">
      <w:pPr>
        <w:pStyle w:val="Normaalweb"/>
        <w:divId w:val="982394320"/>
        <w:rPr>
          <w:lang w:val="de-DE"/>
        </w:rPr>
      </w:pPr>
      <w:r>
        <w:rPr>
          <w:lang w:val="de-DE"/>
        </w:rPr>
        <w:t>Dies führt zu einer dritten Ebene manueller Eingriffe. Der Patient fungiert nicht nur als Datenknotenpunkt zwischen zwei Ländern, sondern auch als Datenknotenpunkt zwischen zwei Behörden innerhalb desselben Landes: zwischen der föderalen LfA und der flämischen AGODI. Zwei Verwaltungsebenen, die über dieselben Laufdaten verfügen, tauschen diese Daten nicht automatisch aus.</w:t>
      </w:r>
    </w:p>
    <w:p w14:paraId="0FA4B837" w14:textId="77777777" w:rsidR="00FA4EDF" w:rsidRDefault="00FA4EDF">
      <w:pPr>
        <w:pStyle w:val="Kop3"/>
        <w:divId w:val="982394320"/>
        <w:rPr>
          <w:rFonts w:eastAsia="Times New Roman"/>
          <w:lang w:val="de-DE"/>
        </w:rPr>
      </w:pPr>
      <w:bookmarkStart w:id="61" w:name="_Toc242103097"/>
      <w:r>
        <w:rPr>
          <w:rFonts w:eastAsia="Times New Roman"/>
          <w:lang w:val="de-DE"/>
        </w:rPr>
        <w:t>Teil C – Die Weigerung, ausländische Daten zu synchronisieren</w:t>
      </w:r>
      <w:bookmarkEnd w:id="61"/>
    </w:p>
    <w:p w14:paraId="3D3BBF7E" w14:textId="77777777" w:rsidR="00FA4EDF" w:rsidRDefault="00FA4EDF">
      <w:pPr>
        <w:pStyle w:val="Normaalweb"/>
        <w:divId w:val="982394320"/>
        <w:rPr>
          <w:lang w:val="de-DE"/>
        </w:rPr>
      </w:pPr>
      <w:r>
        <w:rPr>
          <w:lang w:val="de-DE"/>
        </w:rPr>
        <w:t>Nach der Ausstellung der zweiten PD-U1-Bescheinigung reicht der Patient einen formellen Antrag ein, um die niederländischen Berufsdaten mit der belgischen MyCareer-Plattform abzugleichen. Die LfA lehnt dies ab.</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E84E7E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82E1060" w14:textId="77777777" w:rsidR="00FA4EDF" w:rsidRDefault="00FA4EDF">
            <w:pPr>
              <w:pStyle w:val="Normaalweb"/>
              <w:spacing w:before="120"/>
              <w:jc w:val="center"/>
              <w:rPr>
                <w:sz w:val="21"/>
                <w:szCs w:val="21"/>
              </w:rPr>
            </w:pPr>
            <w:r>
              <w:rPr>
                <w:noProof/>
                <w:sz w:val="21"/>
                <w:szCs w:val="21"/>
              </w:rPr>
              <w:drawing>
                <wp:inline distT="0" distB="0" distL="0" distR="0" wp14:anchorId="224D0D08" wp14:editId="63F06BDC">
                  <wp:extent cx="3810000" cy="1104900"/>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5A371747" w14:textId="77777777" w:rsidR="00FA4EDF" w:rsidRDefault="00FA4EDF">
            <w:pPr>
              <w:pStyle w:val="caption"/>
              <w:spacing w:after="120" w:afterAutospacing="0"/>
            </w:pPr>
            <w:r>
              <w:t>Das UWV liefert die Daten, die LfA weigert sich jedoch, diese zu verarbeiten. Der Patient umgeht die LfA über eine andere föderale Behörde. Zwei Behörden innerhalb desselben Landes können ihre Daten nicht untereinander austauschen, ohne dass der Bürger selbst als Datenvermittler fungiert.</w:t>
            </w:r>
          </w:p>
        </w:tc>
      </w:tr>
    </w:tbl>
    <w:p w14:paraId="1BC1F625" w14:textId="77777777" w:rsidR="00FA4EDF" w:rsidRDefault="00FA4EDF">
      <w:pPr>
        <w:pStyle w:val="Kop3"/>
        <w:divId w:val="982394320"/>
        <w:rPr>
          <w:rFonts w:eastAsia="Times New Roman"/>
          <w:lang w:val="de-DE"/>
        </w:rPr>
      </w:pPr>
      <w:bookmarkStart w:id="62" w:name="_Toc242103098"/>
      <w:r>
        <w:rPr>
          <w:rFonts w:eastAsia="Times New Roman"/>
          <w:lang w:val="de-DE"/>
        </w:rPr>
        <w:t>Teil D – Das Muster: Ablehnung aus verfahrensrechtlichen Gründen</w:t>
      </w:r>
      <w:bookmarkEnd w:id="62"/>
    </w:p>
    <w:p w14:paraId="7B0C9FC3" w14:textId="77777777" w:rsidR="00FA4EDF" w:rsidRDefault="00FA4EDF">
      <w:pPr>
        <w:pStyle w:val="Normaalweb"/>
        <w:divId w:val="982394320"/>
        <w:rPr>
          <w:lang w:val="de-DE"/>
        </w:rPr>
      </w:pPr>
      <w:r>
        <w:rPr>
          <w:lang w:val="de-DE"/>
        </w:rPr>
        <w:t xml:space="preserve">Was das UWV konsequent tut, ist keine Ablehnung. Es handelt sich um </w:t>
      </w:r>
      <w:r>
        <w:rPr>
          <w:rStyle w:val="Zwaar"/>
          <w:lang w:val="de-DE"/>
        </w:rPr>
        <w:t>eine verfahrensrechtliche Zurückweisung</w:t>
      </w:r>
      <w:r>
        <w:rPr>
          <w:lang w:val="de-DE"/>
        </w:rPr>
        <w:t>. Das ist ein grundlegender Unterschied.</w:t>
      </w:r>
    </w:p>
    <w:p w14:paraId="2E59F021" w14:textId="77777777" w:rsidR="00FA4EDF" w:rsidRDefault="00FA4EDF">
      <w:pPr>
        <w:pStyle w:val="Normaalweb"/>
        <w:divId w:val="982394320"/>
        <w:rPr>
          <w:lang w:val="de-DE"/>
        </w:rPr>
      </w:pPr>
      <w:r>
        <w:rPr>
          <w:lang w:val="de-DE"/>
        </w:rPr>
        <w:t xml:space="preserve">Im Falle einer sachlichen Ablehnung müsste das UWV feststellen: </w:t>
      </w:r>
      <w:r>
        <w:rPr>
          <w:rStyle w:val="Nadruk"/>
          <w:lang w:val="de-DE"/>
        </w:rPr>
        <w:t>Der gesundheitliche Zustand ist nicht schwerwiegend genug</w:t>
      </w:r>
      <w:r>
        <w:rPr>
          <w:lang w:val="de-DE"/>
        </w:rPr>
        <w:t>. Das würde bedeuten, dass ein Arzt den Patienten untersucht, die Amputationen festgestellt, die Sehschärfe geprüft und auf dieser Grundlage zu dem Schluss gekommen ist, dass kein Anspruch besteht.</w:t>
      </w:r>
    </w:p>
    <w:p w14:paraId="4B5DF83B" w14:textId="77777777" w:rsidR="00FA4EDF" w:rsidRDefault="00FA4EDF">
      <w:pPr>
        <w:pStyle w:val="Normaalweb"/>
        <w:divId w:val="982394320"/>
        <w:rPr>
          <w:lang w:val="de-DE"/>
        </w:rPr>
      </w:pPr>
      <w:r>
        <w:rPr>
          <w:lang w:val="de-DE"/>
        </w:rPr>
        <w:t xml:space="preserve">Bei einer formalen Ablehnung stellt das UWV fest: </w:t>
      </w:r>
      <w:r>
        <w:rPr>
          <w:rStyle w:val="Nadruk"/>
          <w:lang w:val="de-DE"/>
        </w:rPr>
        <w:t>Der Antrag erfüllt die Formvorschriften nicht</w:t>
      </w:r>
      <w:r>
        <w:rPr>
          <w:lang w:val="de-DE"/>
        </w:rPr>
        <w:t>. Kein Häkchen. Kein korrekter Stichtag. Kein Versicherungsgrund. Keine belgische Entscheidung. Kein C4-Formular.</w:t>
      </w:r>
    </w:p>
    <w:p w14:paraId="6F08CBE4" w14:textId="77777777" w:rsidR="00FA4EDF" w:rsidRDefault="00FA4EDF">
      <w:pPr>
        <w:pStyle w:val="Normaalweb"/>
        <w:divId w:val="982394320"/>
        <w:rPr>
          <w:lang w:val="de-DE"/>
        </w:rPr>
      </w:pPr>
      <w:r>
        <w:rPr>
          <w:lang w:val="de-DE"/>
        </w:rPr>
        <w:t>Die Ablehnung aus verfahrensrechtlichen Gründen hat für die Behörde drei Vorteile:</w:t>
      </w:r>
    </w:p>
    <w:p w14:paraId="3F82EF93" w14:textId="77777777" w:rsidR="00FA4EDF" w:rsidRDefault="00FA4EDF">
      <w:pPr>
        <w:numPr>
          <w:ilvl w:val="0"/>
          <w:numId w:val="11"/>
        </w:numPr>
        <w:spacing w:before="100" w:beforeAutospacing="1" w:after="100" w:afterAutospacing="1"/>
        <w:divId w:val="982394320"/>
        <w:rPr>
          <w:rFonts w:eastAsia="Times New Roman"/>
          <w:lang w:val="de-DE"/>
        </w:rPr>
      </w:pPr>
      <w:r>
        <w:rPr>
          <w:rStyle w:val="Zwaar"/>
          <w:rFonts w:eastAsia="Times New Roman"/>
          <w:lang w:val="de-DE"/>
        </w:rPr>
        <w:t>Es ist keine medizinische Beurteilung erforderlich.</w:t>
      </w:r>
      <w:r>
        <w:rPr>
          <w:rFonts w:eastAsia="Times New Roman"/>
          <w:lang w:val="de-DE"/>
        </w:rPr>
        <w:t xml:space="preserve"> Die Beurteilung wird übersprungen oder verschoben.</w:t>
      </w:r>
    </w:p>
    <w:p w14:paraId="1D2DBD16" w14:textId="77777777" w:rsidR="00FA4EDF" w:rsidRDefault="00FA4EDF">
      <w:pPr>
        <w:numPr>
          <w:ilvl w:val="0"/>
          <w:numId w:val="11"/>
        </w:numPr>
        <w:spacing w:before="100" w:beforeAutospacing="1" w:after="100" w:afterAutospacing="1"/>
        <w:divId w:val="982394320"/>
        <w:rPr>
          <w:rFonts w:eastAsia="Times New Roman"/>
          <w:lang w:val="de-DE"/>
        </w:rPr>
      </w:pPr>
      <w:r>
        <w:rPr>
          <w:rStyle w:val="Zwaar"/>
          <w:rFonts w:eastAsia="Times New Roman"/>
          <w:lang w:val="de-DE"/>
        </w:rPr>
        <w:t>Keine anfechtbare Entscheidung.</w:t>
      </w:r>
      <w:r>
        <w:rPr>
          <w:rFonts w:eastAsia="Times New Roman"/>
          <w:lang w:val="de-DE"/>
        </w:rPr>
        <w:t xml:space="preserve"> Formale Argumente lassen sich vor Gericht nur schwer anfechten.</w:t>
      </w:r>
    </w:p>
    <w:p w14:paraId="7EBBB0EE" w14:textId="77777777" w:rsidR="00FA4EDF" w:rsidRDefault="00FA4EDF">
      <w:pPr>
        <w:numPr>
          <w:ilvl w:val="0"/>
          <w:numId w:val="11"/>
        </w:numPr>
        <w:spacing w:before="100" w:beforeAutospacing="1" w:after="100" w:afterAutospacing="1"/>
        <w:divId w:val="982394320"/>
        <w:rPr>
          <w:rFonts w:eastAsia="Times New Roman"/>
          <w:lang w:val="de-DE"/>
        </w:rPr>
      </w:pPr>
      <w:r>
        <w:rPr>
          <w:rStyle w:val="Zwaar"/>
          <w:rFonts w:eastAsia="Times New Roman"/>
          <w:lang w:val="de-DE"/>
        </w:rPr>
        <w:t>Automatische Weiterleitung an den Bürger.</w:t>
      </w:r>
      <w:r>
        <w:rPr>
          <w:rFonts w:eastAsia="Times New Roman"/>
          <w:lang w:val="de-DE"/>
        </w:rPr>
        <w:t xml:space="preserve"> Der Bürger muss zunächst eine andere Entscheidung erzwingen, bevor die Behörde etwas unternimmt.</w:t>
      </w:r>
    </w:p>
    <w:p w14:paraId="017FA6A8" w14:textId="77777777" w:rsidR="00FA4EDF" w:rsidRDefault="00FA4EDF">
      <w:pPr>
        <w:pStyle w:val="Normaalweb"/>
        <w:divId w:val="982394320"/>
        <w:rPr>
          <w:lang w:val="de-DE"/>
        </w:rPr>
      </w:pPr>
      <w:r>
        <w:rPr>
          <w:lang w:val="de-DE"/>
        </w:rPr>
        <w:t>Das UWV und die LfA verfahren hier nach dem gleichen Muster, allerdings in umgekehrter Richtung. Das UWV weigert sich, die belgische Entscheidung zu prüfen. Die LfA weigert sich, die niederländische Entscheidung zu prüfen. Beide Behörden warten auf die jeweils andere, und keine von beiden übernimmt die Verantwortung.</w:t>
      </w:r>
    </w:p>
    <w:p w14:paraId="192928D1" w14:textId="77777777" w:rsidR="00FA4EDF" w:rsidRDefault="00FA4EDF">
      <w:pPr>
        <w:pStyle w:val="Kop3"/>
        <w:divId w:val="982394320"/>
        <w:rPr>
          <w:rFonts w:eastAsia="Times New Roman"/>
          <w:lang w:val="de-DE"/>
        </w:rPr>
      </w:pPr>
      <w:bookmarkStart w:id="63" w:name="_Toc242103099"/>
      <w:r>
        <w:rPr>
          <w:rFonts w:eastAsia="Times New Roman"/>
          <w:lang w:val="de-DE"/>
        </w:rPr>
        <w:t>Teil E – Die Ablehnungsgründe im Überblick</w:t>
      </w:r>
      <w:bookmarkEnd w:id="6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48820E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B0F8CBA" w14:textId="77777777" w:rsidR="00FA4EDF" w:rsidRDefault="00FA4EDF">
            <w:pPr>
              <w:pStyle w:val="Normaalweb"/>
              <w:spacing w:before="120"/>
              <w:jc w:val="center"/>
              <w:rPr>
                <w:sz w:val="21"/>
                <w:szCs w:val="21"/>
              </w:rPr>
            </w:pPr>
            <w:r>
              <w:rPr>
                <w:noProof/>
                <w:sz w:val="21"/>
                <w:szCs w:val="21"/>
              </w:rPr>
              <w:drawing>
                <wp:inline distT="0" distB="0" distL="0" distR="0" wp14:anchorId="0466F8A3" wp14:editId="1E0C9658">
                  <wp:extent cx="3810000" cy="1206500"/>
                  <wp:effectExtent l="0" t="0" r="0" b="0"/>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7E96A6C0" w14:textId="77777777" w:rsidR="00FA4EDF" w:rsidRDefault="00FA4EDF">
            <w:pPr>
              <w:pStyle w:val="caption"/>
              <w:spacing w:after="120" w:afterAutospacing="0"/>
            </w:pPr>
            <w:r>
              <w:rPr>
                <w:rStyle w:val="Zwaar"/>
              </w:rPr>
              <w:t>Abbildung IX.4 – Sechs Ablehnungen, sechs Gründe.</w:t>
            </w:r>
            <w:r>
              <w:t xml:space="preserve"> Alle Gründe sind verfahrensrechtlicher Natur. Keiner der Gründe ist medizinischer Natur. Die medizinische Situation wird in der gesamten Kette nicht inhaltlich geprüft.</w:t>
            </w:r>
          </w:p>
        </w:tc>
      </w:tr>
    </w:tbl>
    <w:p w14:paraId="256392F1" w14:textId="77777777" w:rsidR="00FA4EDF" w:rsidRDefault="00FA4EDF">
      <w:pPr>
        <w:pStyle w:val="Kop3"/>
        <w:divId w:val="982394320"/>
        <w:rPr>
          <w:rFonts w:eastAsia="Times New Roman"/>
          <w:lang w:val="de-DE"/>
        </w:rPr>
      </w:pPr>
      <w:bookmarkStart w:id="64" w:name="_Toc242103100"/>
      <w:r>
        <w:rPr>
          <w:rFonts w:eastAsia="Times New Roman"/>
          <w:lang w:val="de-DE"/>
        </w:rPr>
        <w:t>Teil F – Die beiden Einwände im Einzelnen</w:t>
      </w:r>
      <w:bookmarkEnd w:id="64"/>
    </w:p>
    <w:p w14:paraId="7808EA9C" w14:textId="77777777" w:rsidR="00FA4EDF" w:rsidRDefault="00FA4EDF">
      <w:pPr>
        <w:pStyle w:val="Kop4"/>
        <w:divId w:val="982394320"/>
        <w:rPr>
          <w:rFonts w:eastAsia="Times New Roman"/>
          <w:lang w:val="de-DE"/>
        </w:rPr>
      </w:pPr>
      <w:r>
        <w:rPr>
          <w:rFonts w:eastAsia="Times New Roman"/>
          <w:lang w:val="de-DE"/>
        </w:rPr>
        <w:t>Einwand 1 – Der Caren-Zusatz</w:t>
      </w:r>
    </w:p>
    <w:p w14:paraId="091D5252" w14:textId="77777777" w:rsidR="00FA4EDF" w:rsidRDefault="00FA4EDF">
      <w:pPr>
        <w:pStyle w:val="tijd"/>
        <w:divId w:val="982394320"/>
        <w:rPr>
          <w:lang w:val="de-DE"/>
        </w:rPr>
      </w:pPr>
      <w:r>
        <w:rPr>
          <w:lang w:val="de-DE"/>
        </w:rPr>
        <w:t>04.06.2026</w:t>
      </w:r>
    </w:p>
    <w:p w14:paraId="44EBB9C7" w14:textId="77777777" w:rsidR="00FA4EDF" w:rsidRDefault="00FA4EDF">
      <w:pPr>
        <w:pStyle w:val="Normaalweb"/>
        <w:divId w:val="982394320"/>
        <w:rPr>
          <w:lang w:val="de-DE"/>
        </w:rPr>
      </w:pPr>
      <w:r>
        <w:rPr>
          <w:lang w:val="de-DE"/>
        </w:rPr>
        <w:t>Am 1. Juni 2026 reicht der Patient drei zusätzliche Belege für den ersten Einspruch ein: den Caren-Bericht der niederländischen häuslichen Pflege (126 klinische Einträge, die den Krankenhausaufenthalt vom 11. April bis zum 9. Mai 2025 bestätigen), einen augenärztlichen Bericht des Universitätsklinikums sowie einen endokrinologischen Bericht.</w:t>
      </w:r>
    </w:p>
    <w:p w14:paraId="2242E4A8" w14:textId="77777777" w:rsidR="00FA4EDF" w:rsidRDefault="00FA4EDF">
      <w:pPr>
        <w:pStyle w:val="Normaalweb"/>
        <w:divId w:val="982394320"/>
        <w:rPr>
          <w:lang w:val="de-DE"/>
        </w:rPr>
      </w:pPr>
      <w:r>
        <w:rPr>
          <w:lang w:val="de-DE"/>
        </w:rPr>
        <w:t>Drei Tage später erklärt das UWV den Einspruch für unbegründet. Sechs Wochen vor der vom UWV selbst angekündigten Frist am 15. Juli 2026. Der Caren-Bericht – der niederländische Nachweis, der den Stichtag bestätigt – wird inhaltlich nicht behandelt.</w:t>
      </w:r>
    </w:p>
    <w:p w14:paraId="7B4AC0F1" w14:textId="77777777" w:rsidR="00FA4EDF" w:rsidRDefault="00FA4EDF">
      <w:pPr>
        <w:pStyle w:val="Kop4"/>
        <w:divId w:val="982394320"/>
        <w:rPr>
          <w:rFonts w:eastAsia="Times New Roman"/>
          <w:lang w:val="de-DE"/>
        </w:rPr>
      </w:pPr>
      <w:r>
        <w:rPr>
          <w:rFonts w:eastAsia="Times New Roman"/>
          <w:lang w:val="de-DE"/>
        </w:rPr>
        <w:t>Einwand 2 – Die Ablehnung durch Vester</w:t>
      </w:r>
    </w:p>
    <w:p w14:paraId="7DD8DB6D" w14:textId="77777777" w:rsidR="00FA4EDF" w:rsidRDefault="00FA4EDF">
      <w:pPr>
        <w:pStyle w:val="tijd"/>
        <w:divId w:val="982394320"/>
        <w:rPr>
          <w:lang w:val="de-DE"/>
        </w:rPr>
      </w:pPr>
      <w:r>
        <w:rPr>
          <w:lang w:val="de-DE"/>
        </w:rPr>
        <w:t>08.07.2026</w:t>
      </w:r>
    </w:p>
    <w:p w14:paraId="0366EACC" w14:textId="77777777" w:rsidR="00FA4EDF" w:rsidRDefault="00FA4EDF">
      <w:pPr>
        <w:pStyle w:val="Normaalweb"/>
        <w:divId w:val="982394320"/>
        <w:rPr>
          <w:lang w:val="de-DE"/>
        </w:rPr>
      </w:pPr>
      <w:r>
        <w:rPr>
          <w:lang w:val="de-DE"/>
        </w:rPr>
        <w:t>Der zweite Einwand betrifft den WIA-Ablehnungsbescheid vom 14. April 2026. Der Patient beruft sich auf das Vester-Urteil: Bei aufeinanderfolgenden Versicherungen in zwei Mitgliedstaaten darf ein Mitgliedstaat die Wartezeit nicht so anwenden, dass eine Einkommenslücke entsteht. Das UWV weist dies ausdrücklich zurück und argumentiert, dass die Einkommenslücke ohne einen formellen Bescheid aus Belgien nicht festgestellt werden könne.</w:t>
      </w:r>
    </w:p>
    <w:p w14:paraId="1E4A53E0" w14:textId="77777777" w:rsidR="00FA4EDF" w:rsidRDefault="00FA4EDF">
      <w:pPr>
        <w:pStyle w:val="Normaalweb"/>
        <w:divId w:val="982394320"/>
        <w:rPr>
          <w:lang w:val="de-DE"/>
        </w:rPr>
      </w:pPr>
      <w:r>
        <w:rPr>
          <w:lang w:val="de-DE"/>
        </w:rPr>
        <w:t>Da auch Belgien sich weigert, schließt das UWV die Akte mit dem Hinweis, dass der Bürger zunächst eine Entscheidung aus Belgien erwirken muss. Die Verantwortung für die Überwindung der Pattsituation wird auf den Bürger abgewälzt.</w:t>
      </w:r>
    </w:p>
    <w:p w14:paraId="248081F5" w14:textId="77777777" w:rsidR="00FA4EDF" w:rsidRDefault="00FA4EDF">
      <w:pPr>
        <w:pStyle w:val="Kop3"/>
        <w:divId w:val="982394320"/>
        <w:rPr>
          <w:rFonts w:eastAsia="Times New Roman"/>
          <w:lang w:val="de-DE"/>
        </w:rPr>
      </w:pPr>
      <w:bookmarkStart w:id="65" w:name="_Toc242103101"/>
      <w:r>
        <w:rPr>
          <w:rFonts w:eastAsia="Times New Roman"/>
          <w:lang w:val="de-DE"/>
        </w:rPr>
        <w:t>Teil G – Was in diesem Kapitel festgelegt wird</w:t>
      </w:r>
      <w:bookmarkEnd w:id="65"/>
    </w:p>
    <w:p w14:paraId="710655B7" w14:textId="77777777" w:rsidR="00FA4EDF" w:rsidRDefault="00FA4EDF">
      <w:pPr>
        <w:pStyle w:val="Normaalweb"/>
        <w:divId w:val="982394320"/>
        <w:rPr>
          <w:lang w:val="de-DE"/>
        </w:rPr>
      </w:pPr>
      <w:r>
        <w:rPr>
          <w:lang w:val="de-DE"/>
        </w:rPr>
        <w:t>Das UWV und die LfA verfahren nach dem gleichen Muster, nur in umgekehrter Richtung. Beide Behörden lehnen Anträge aus verfahrensrechtlichen Gründen ab. Beide Behörden weigern sich, die Unterlagen der jeweils anderen Seite zu prüfen. Beide Behörden schieben die Verantwortung zurück auf den Bürger.</w:t>
      </w:r>
    </w:p>
    <w:p w14:paraId="1B1332C9" w14:textId="77777777" w:rsidR="00FA4EDF" w:rsidRDefault="00FA4EDF">
      <w:pPr>
        <w:pStyle w:val="Normaalweb"/>
        <w:divId w:val="982394320"/>
        <w:rPr>
          <w:lang w:val="de-DE"/>
        </w:rPr>
      </w:pPr>
      <w:r>
        <w:rPr>
          <w:lang w:val="de-DE"/>
        </w:rPr>
        <w:t>Der Bürger steckt zwischen zwei Behörden fest, von denen jede ihre eigenen Bedingungen stellt, die von der anderen Behörde unerfüllbar gemacht wurden. Und in der gesamten Kette wird die medizinische Situation kein einziges Mal inhaltlich geprüft.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4293F88"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A9012AC"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Bei einer Ablehnung durch das UWV oder die LfA ist es wichtig zu prüfen, ob es sich um eine inhaltliche oder eine verfahrensrechtliche Ablehnung handelt. Eine verfahrensrechtliche Ablehnung lässt sich oft anfechten, indem man die Formvoraussetzung erfüllt – doch wenn diese Voraussetzung in der Praxis nicht erfüllbar ist (wie beispielsweise ein C4-Formular, das nicht existiert), kann ein </w:t>
            </w:r>
            <w:r>
              <w:rPr>
                <w:rStyle w:val="Nadruk"/>
                <w:rFonts w:eastAsia="Times New Roman"/>
                <w:szCs w:val="22"/>
              </w:rPr>
              <w:t>Antrag</w:t>
            </w:r>
            <w:r>
              <w:rPr>
                <w:rFonts w:eastAsia="Times New Roman"/>
                <w:szCs w:val="22"/>
              </w:rPr>
              <w:t xml:space="preserve"> </w:t>
            </w:r>
            <w:r>
              <w:rPr>
                <w:rStyle w:val="Nadruk"/>
                <w:rFonts w:eastAsia="Times New Roman"/>
                <w:szCs w:val="22"/>
              </w:rPr>
              <w:t>auf</w:t>
            </w:r>
            <w:r>
              <w:rPr>
                <w:rFonts w:eastAsia="Times New Roman"/>
                <w:szCs w:val="22"/>
              </w:rPr>
              <w:t xml:space="preserve"> </w:t>
            </w:r>
            <w:r>
              <w:rPr>
                <w:rStyle w:val="Nadruk"/>
                <w:rFonts w:eastAsia="Times New Roman"/>
                <w:szCs w:val="22"/>
              </w:rPr>
              <w:t>Überprüfung</w:t>
            </w:r>
            <w:r>
              <w:rPr>
                <w:rFonts w:eastAsia="Times New Roman"/>
                <w:szCs w:val="22"/>
              </w:rPr>
              <w:t xml:space="preserve"> gemäß Artikel 4:6 des Allgemeinen Verwaltungsrechtsgesetzes (NL) oder ein formeller Widerspruch (B</w:t>
            </w:r>
            <w:r>
              <w:rPr>
                <w:rFonts w:eastAsia="Times New Roman"/>
                <w:szCs w:val="22"/>
              </w:rPr>
              <w:t xml:space="preserve">E) der richtige Weg sein. </w:t>
            </w:r>
            <w:r>
              <w:rPr>
                <w:rFonts w:eastAsia="Times New Roman"/>
                <w:szCs w:val="22"/>
              </w:rPr>
              <w:br/>
            </w:r>
            <w:r>
              <w:rPr>
                <w:rFonts w:eastAsia="Times New Roman"/>
                <w:szCs w:val="22"/>
              </w:rPr>
              <w:br/>
              <w:t xml:space="preserve">Für die Karriereunterlagen: Beantragen Sie beim AGODI eine offizielle Berechnung der finanziellen Dienstzeit als alternativen Nachweis für die LfA. Für niederländische Daten: Geben Sie das PD-U1-Formular manuell über das MyCareer-Portal des FÖD Soziale Sicherheit ein. </w:t>
            </w:r>
          </w:p>
        </w:tc>
      </w:tr>
    </w:tbl>
    <w:p w14:paraId="0D76FF3A"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Die Angaben basieren auf Dokument B. Dieses Kapitel stellt keine Rechtsberatung dar.</w:t>
      </w:r>
    </w:p>
    <w:p w14:paraId="4F5B26BA" w14:textId="77777777" w:rsidR="00FA4EDF" w:rsidRDefault="00FA4EDF">
      <w:pPr>
        <w:pStyle w:val="marker"/>
        <w:ind w:left="800" w:right="800"/>
        <w:divId w:val="982394320"/>
        <w:rPr>
          <w:lang w:val="de-DE"/>
        </w:rPr>
      </w:pPr>
      <w:r>
        <w:br w:type="page"/>
      </w:r>
    </w:p>
    <w:p w14:paraId="4FD1909A" w14:textId="77777777" w:rsidR="00FA4EDF" w:rsidRDefault="00FA4EDF">
      <w:pPr>
        <w:pStyle w:val="Kop2"/>
        <w:divId w:val="982394320"/>
        <w:rPr>
          <w:rFonts w:eastAsia="Times New Roman"/>
          <w:lang w:val="de-DE"/>
        </w:rPr>
      </w:pPr>
      <w:bookmarkStart w:id="66" w:name="_Toc242103102"/>
      <w:r>
        <w:rPr>
          <w:rFonts w:eastAsia="Times New Roman"/>
          <w:lang w:val="de-DE"/>
        </w:rPr>
        <w:t>CZ – Die zwei Gesichter des Torwächters</w:t>
      </w:r>
      <w:bookmarkEnd w:id="66"/>
    </w:p>
    <w:p w14:paraId="35A556E3" w14:textId="77777777" w:rsidR="00FA4EDF" w:rsidRDefault="00FA4EDF">
      <w:pPr>
        <w:pStyle w:val="lead"/>
        <w:divId w:val="982394320"/>
        <w:rPr>
          <w:lang w:val="de-DE"/>
        </w:rPr>
      </w:pPr>
      <w:r>
        <w:rPr>
          <w:lang w:val="de-DE"/>
        </w:rPr>
        <w:t>CZ wendet für einen Einwohner der Niederlande mit einem Arbeitsplatz in Belgien die Abkommenspolice an. CZ erstattet die Kosten für die Gesundheitsversorgung, lehnt jedoch die Registrierung ab, die zu einem Gesundheitszuschlag führt. CZ verweigert zudem den Krankentransport und stellt dabei eine Anforderung, die es im Behandlungsland nicht gibt. In beiden Fällen gilt: Das Protokoll der Behörde hat Vorrang vor der medizinischen Realität. Und in beiden Fällen schließen die Behörden, die die Lücke schließen so</w:t>
      </w:r>
      <w:r>
        <w:rPr>
          <w:lang w:val="de-DE"/>
        </w:rPr>
        <w:t>llten, diese nicht.</w:t>
      </w:r>
    </w:p>
    <w:p w14:paraId="23030E5F" w14:textId="77777777" w:rsidR="00FA4EDF" w:rsidRDefault="00FA4EDF">
      <w:pPr>
        <w:pStyle w:val="Kop3"/>
        <w:divId w:val="982394320"/>
        <w:rPr>
          <w:rFonts w:eastAsia="Times New Roman"/>
          <w:lang w:val="de-DE"/>
        </w:rPr>
      </w:pPr>
      <w:bookmarkStart w:id="67" w:name="_Toc242103103"/>
      <w:r>
        <w:rPr>
          <w:rFonts w:eastAsia="Times New Roman"/>
          <w:lang w:val="de-DE"/>
        </w:rPr>
        <w:t>Geschichte 1 – Die Vertragspolice und der Gesundheitszuschlag</w:t>
      </w:r>
      <w:bookmarkEnd w:id="67"/>
    </w:p>
    <w:p w14:paraId="474B0610" w14:textId="77777777" w:rsidR="00FA4EDF" w:rsidRDefault="00FA4EDF">
      <w:pPr>
        <w:pStyle w:val="Kop4"/>
        <w:divId w:val="982394320"/>
        <w:rPr>
          <w:rFonts w:eastAsia="Times New Roman"/>
          <w:lang w:val="de-DE"/>
        </w:rPr>
      </w:pPr>
      <w:r>
        <w:rPr>
          <w:rFonts w:eastAsia="Times New Roman"/>
          <w:lang w:val="de-DE"/>
        </w:rPr>
        <w:t>Was ist eine Vertragspolice?</w:t>
      </w:r>
    </w:p>
    <w:p w14:paraId="24346C74" w14:textId="77777777" w:rsidR="00FA4EDF" w:rsidRDefault="00FA4EDF">
      <w:pPr>
        <w:pStyle w:val="Normaalweb"/>
        <w:divId w:val="982394320"/>
        <w:rPr>
          <w:lang w:val="de-DE"/>
        </w:rPr>
      </w:pPr>
      <w:r>
        <w:rPr>
          <w:lang w:val="de-DE"/>
        </w:rPr>
        <w:t>Eine Vertragsversicherung ist ein europäisches Instrument. Der Arbeitnehmer wohnt in den Niederlanden und arbeitet in Belgien. Gemäß den europäischen Koordinierungsvorschriften ist das Arbeitsland für die soziale Sicherheit zuständig. Der Arbeitnehmer zahlt seine Sozialbeiträge in Belgien an die belgische Krankenkasse.</w:t>
      </w:r>
    </w:p>
    <w:p w14:paraId="0A31736A" w14:textId="77777777" w:rsidR="00FA4EDF" w:rsidRDefault="00FA4EDF">
      <w:pPr>
        <w:pStyle w:val="Normaalweb"/>
        <w:divId w:val="982394320"/>
        <w:rPr>
          <w:lang w:val="de-DE"/>
        </w:rPr>
      </w:pPr>
      <w:r>
        <w:rPr>
          <w:lang w:val="de-DE"/>
        </w:rPr>
        <w:t>Er hat jedoch auch Anspruch auf Gesundheitsversorgung in seinem Wohnsitzland. Dafür ist die Vertragsversicherung vorgesehen: CZ fungiert als niederländischer Träger der Versicherung, erstattet die niederländischen Gesundheitskosten und rechnet diese mit Belgien ab.</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D928F23"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62551BF" w14:textId="77777777" w:rsidR="00FA4EDF" w:rsidRDefault="00FA4EDF">
            <w:pPr>
              <w:pStyle w:val="Normaalweb"/>
              <w:spacing w:before="120"/>
              <w:jc w:val="center"/>
              <w:rPr>
                <w:sz w:val="21"/>
                <w:szCs w:val="21"/>
              </w:rPr>
            </w:pPr>
            <w:r>
              <w:rPr>
                <w:noProof/>
                <w:sz w:val="21"/>
                <w:szCs w:val="21"/>
              </w:rPr>
              <w:drawing>
                <wp:inline distT="0" distB="0" distL="0" distR="0" wp14:anchorId="7E2C2642" wp14:editId="619B4E02">
                  <wp:extent cx="3810000" cy="1181100"/>
                  <wp:effectExtent l="0" t="0" r="0" b="0"/>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00BDD49F" w14:textId="77777777" w:rsidR="00FA4EDF" w:rsidRDefault="00FA4EDF">
            <w:pPr>
              <w:pStyle w:val="caption"/>
              <w:spacing w:after="120" w:afterAutospacing="0"/>
            </w:pPr>
            <w:r>
              <w:t>Der Beitrag geht an das Einsatzland (Belgien, über CM). CZ erstattet die niederländischen Gesundheitskosten, erhält jedoch keinen Beitrag. Die Eintragung in das RIV-Register ist für CZ mit Aufwand verbunden, ohne dass dem Einnahmen gegenüberstehen.</w:t>
            </w:r>
          </w:p>
        </w:tc>
      </w:tr>
    </w:tbl>
    <w:p w14:paraId="4A89EE1C" w14:textId="77777777" w:rsidR="00FA4EDF" w:rsidRDefault="00FA4EDF">
      <w:pPr>
        <w:pStyle w:val="Kop4"/>
        <w:divId w:val="982394320"/>
        <w:rPr>
          <w:rFonts w:eastAsia="Times New Roman"/>
          <w:lang w:val="de-DE"/>
        </w:rPr>
      </w:pPr>
      <w:r>
        <w:rPr>
          <w:rFonts w:eastAsia="Times New Roman"/>
          <w:lang w:val="de-DE"/>
        </w:rPr>
        <w:t>Die Argumentation von CZ</w:t>
      </w:r>
    </w:p>
    <w:p w14:paraId="28807696" w14:textId="77777777" w:rsidR="00FA4EDF" w:rsidRDefault="00FA4EDF">
      <w:pPr>
        <w:numPr>
          <w:ilvl w:val="0"/>
          <w:numId w:val="12"/>
        </w:numPr>
        <w:spacing w:before="100" w:beforeAutospacing="1" w:after="100" w:afterAutospacing="1"/>
        <w:divId w:val="982394320"/>
        <w:rPr>
          <w:rFonts w:eastAsia="Times New Roman"/>
          <w:lang w:val="de-DE"/>
        </w:rPr>
      </w:pPr>
      <w:r>
        <w:rPr>
          <w:rFonts w:eastAsia="Times New Roman"/>
          <w:lang w:val="de-DE"/>
        </w:rPr>
        <w:t>Die Vertragspolice ist keine niederländische Krankenversicherung im Sinne des Gesetzes über den Krankenversicherungszuschlag.</w:t>
      </w:r>
    </w:p>
    <w:p w14:paraId="63522285" w14:textId="77777777" w:rsidR="00FA4EDF" w:rsidRDefault="00FA4EDF">
      <w:pPr>
        <w:numPr>
          <w:ilvl w:val="0"/>
          <w:numId w:val="12"/>
        </w:numPr>
        <w:spacing w:before="100" w:beforeAutospacing="1" w:after="100" w:afterAutospacing="1"/>
        <w:divId w:val="982394320"/>
        <w:rPr>
          <w:rFonts w:eastAsia="Times New Roman"/>
          <w:lang w:val="de-DE"/>
        </w:rPr>
      </w:pPr>
      <w:r>
        <w:rPr>
          <w:rFonts w:eastAsia="Times New Roman"/>
          <w:lang w:val="de-DE"/>
        </w:rPr>
        <w:t>Die Prämie für die Vertragspolice wird im Arbeitsland (Belgien) gezahlt, nicht in den Niederlanden.</w:t>
      </w:r>
    </w:p>
    <w:p w14:paraId="610333D6" w14:textId="77777777" w:rsidR="00FA4EDF" w:rsidRDefault="00FA4EDF">
      <w:pPr>
        <w:numPr>
          <w:ilvl w:val="0"/>
          <w:numId w:val="12"/>
        </w:numPr>
        <w:spacing w:before="100" w:beforeAutospacing="1" w:after="100" w:afterAutospacing="1"/>
        <w:divId w:val="982394320"/>
        <w:rPr>
          <w:rFonts w:eastAsia="Times New Roman"/>
          <w:lang w:val="de-DE"/>
        </w:rPr>
      </w:pPr>
      <w:r>
        <w:rPr>
          <w:rFonts w:eastAsia="Times New Roman"/>
          <w:lang w:val="de-DE"/>
        </w:rPr>
        <w:t>Wer in Belgien krankenversichert ist, gilt nicht als Versicherter im Sinne des niederländischen Gesetzes über den Pflegezuschlag.</w:t>
      </w:r>
    </w:p>
    <w:p w14:paraId="52E88BAE" w14:textId="77777777" w:rsidR="00FA4EDF" w:rsidRDefault="00FA4EDF">
      <w:pPr>
        <w:numPr>
          <w:ilvl w:val="0"/>
          <w:numId w:val="12"/>
        </w:numPr>
        <w:spacing w:before="100" w:beforeAutospacing="1" w:after="100" w:afterAutospacing="1"/>
        <w:divId w:val="982394320"/>
        <w:rPr>
          <w:rFonts w:eastAsia="Times New Roman"/>
          <w:lang w:val="de-DE"/>
        </w:rPr>
      </w:pPr>
      <w:r>
        <w:rPr>
          <w:rFonts w:eastAsia="Times New Roman"/>
          <w:lang w:val="de-DE"/>
        </w:rPr>
        <w:t>Daher besteht kein Anspruch auf einen Pflegezuschlag.</w:t>
      </w:r>
    </w:p>
    <w:p w14:paraId="3E43847A" w14:textId="77777777" w:rsidR="00FA4EDF" w:rsidRDefault="00FA4EDF">
      <w:pPr>
        <w:pStyle w:val="Normaalweb"/>
        <w:divId w:val="982394320"/>
        <w:rPr>
          <w:lang w:val="de-DE"/>
        </w:rPr>
      </w:pPr>
      <w:r>
        <w:rPr>
          <w:lang w:val="de-DE"/>
        </w:rPr>
        <w:t>Die Folge: Der Inhaber einer Vertragspolice ist in den Niederlanden zwar krankenversichert, erhält jedoch keine Zulage. Die Zulagenbehörde stützt sich ausschließlich auf das RIV-Register. Was dort nicht vermerkt ist, existiert nicht.</w:t>
      </w:r>
    </w:p>
    <w:p w14:paraId="3F3E163C" w14:textId="77777777" w:rsidR="00FA4EDF" w:rsidRDefault="00FA4EDF">
      <w:pPr>
        <w:pStyle w:val="Kop3"/>
        <w:divId w:val="982394320"/>
        <w:rPr>
          <w:rFonts w:eastAsia="Times New Roman"/>
          <w:lang w:val="de-DE"/>
        </w:rPr>
      </w:pPr>
      <w:bookmarkStart w:id="68" w:name="_Toc242103104"/>
      <w:r>
        <w:rPr>
          <w:rFonts w:eastAsia="Times New Roman"/>
          <w:lang w:val="de-DE"/>
        </w:rPr>
        <w:t>Geschichte 1bis – Die Kette der Blockade: CZ, CAK, ZIN</w:t>
      </w:r>
      <w:bookmarkEnd w:id="68"/>
    </w:p>
    <w:p w14:paraId="4BE7D470" w14:textId="77777777" w:rsidR="00FA4EDF" w:rsidRDefault="00FA4EDF">
      <w:pPr>
        <w:pStyle w:val="Normaalweb"/>
        <w:divId w:val="982394320"/>
        <w:rPr>
          <w:lang w:val="de-DE"/>
        </w:rPr>
      </w:pPr>
      <w:r>
        <w:rPr>
          <w:lang w:val="de-DE"/>
        </w:rPr>
        <w:t>Die Weigerung von CZ, die Vertragspolice zu registrieren, ist nicht das einzige Problem. Das RIV-Register – die Referenzdatei der Versicherten nach dem Krankenversicherungsgesetz – wird vom Centraal Administratie Kantoor (CAK) verwaltet. Und das Zorginstituut Nederland (ZIN) überwacht die Umsetzung. In dieser Angelegenheit weigern sich alle drei beteiligten Stellen, das Problem zu lösen.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52FBC8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7CDA1F5" w14:textId="77777777" w:rsidR="00FA4EDF" w:rsidRDefault="00FA4EDF">
            <w:pPr>
              <w:pStyle w:val="Normaalweb"/>
              <w:spacing w:before="120"/>
              <w:jc w:val="center"/>
              <w:rPr>
                <w:sz w:val="21"/>
                <w:szCs w:val="21"/>
              </w:rPr>
            </w:pPr>
            <w:r>
              <w:rPr>
                <w:noProof/>
                <w:sz w:val="21"/>
                <w:szCs w:val="21"/>
              </w:rPr>
              <w:drawing>
                <wp:inline distT="0" distB="0" distL="0" distR="0" wp14:anchorId="5864FDF1" wp14:editId="7E4CC129">
                  <wp:extent cx="3810000" cy="1524000"/>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46CB029B" w14:textId="77777777" w:rsidR="00FA4EDF" w:rsidRDefault="00FA4EDF">
            <w:pPr>
              <w:pStyle w:val="caption"/>
              <w:spacing w:after="120" w:afterAutospacing="0"/>
            </w:pPr>
            <w:r>
              <w:rPr>
                <w:rStyle w:val="Zwaar"/>
              </w:rPr>
              <w:t>Abbildung X.2 – Das geschlossene Dreieck.</w:t>
            </w:r>
            <w:r>
              <w:t xml:space="preserve"> CZ lehnt die Registrierung ab. Das CAK verwaltet das Register, verweigert jedoch die Synchronisierung. Das ZIN übt die Aufsicht aus, verweigert jedoch die Einsicht in einzelne Akten. Jede Behörde verweist auf die andere. Der Bürger steckt in einem Kreislauf fest, den niemand durchbrechen kann.</w:t>
            </w:r>
          </w:p>
        </w:tc>
      </w:tr>
    </w:tbl>
    <w:p w14:paraId="4360D7DE" w14:textId="77777777" w:rsidR="00FA4EDF" w:rsidRDefault="00FA4EDF">
      <w:pPr>
        <w:pStyle w:val="Kop4"/>
        <w:divId w:val="982394320"/>
        <w:rPr>
          <w:rFonts w:eastAsia="Times New Roman"/>
          <w:lang w:val="de-DE"/>
        </w:rPr>
      </w:pPr>
      <w:r>
        <w:rPr>
          <w:rFonts w:eastAsia="Times New Roman"/>
          <w:lang w:val="de-DE"/>
        </w:rPr>
        <w:t>Die Argumentation des CAK</w:t>
      </w:r>
    </w:p>
    <w:p w14:paraId="7546427A" w14:textId="77777777" w:rsidR="00FA4EDF" w:rsidRDefault="00FA4EDF">
      <w:pPr>
        <w:pStyle w:val="Normaalweb"/>
        <w:divId w:val="982394320"/>
        <w:rPr>
          <w:lang w:val="de-DE"/>
        </w:rPr>
      </w:pPr>
      <w:r>
        <w:rPr>
          <w:lang w:val="de-DE"/>
        </w:rPr>
        <w:t>Das CAK verwaltet das Referenzregister der Versicherten nach dem Krankenversicherungsgesetz (RIV) und setzt die Vertragsregelungen um. Wenn der Patient im April 2026 offiziell verlangt, dass die aktive und bezahlte Vertragspolice in das Register eingetragen wird, deckt das CAK einen grundlegenden Architekturfehler in seinen eigenen Systemen auf.</w:t>
      </w:r>
    </w:p>
    <w:p w14:paraId="23713291" w14:textId="77777777" w:rsidR="00FA4EDF" w:rsidRDefault="00FA4EDF">
      <w:pPr>
        <w:pStyle w:val="Normaalweb"/>
        <w:divId w:val="982394320"/>
        <w:rPr>
          <w:lang w:val="de-DE"/>
        </w:rPr>
      </w:pPr>
      <w:r>
        <w:rPr>
          <w:lang w:val="de-DE"/>
        </w:rPr>
        <w:t>Die Behörde lehnt die Registrierung der Police mit einem verfahrensrechtlichen Argument ab. Das CAK erklärt, dass es ausschließlich „normale“ Grenzgänger registriert: Personen, die in den Niederlanden arbeiten und im Ausland wohnen. Für den umgekehrten Fall – Wohnen in den Niederlanden, Arbeiten im Ausland – ist im System schlichtweg keine entsprechende Kategorie vorgesehen.</w:t>
      </w:r>
    </w:p>
    <w:p w14:paraId="48AD9C0C" w14:textId="77777777" w:rsidR="00FA4EDF" w:rsidRDefault="00FA4EDF">
      <w:pPr>
        <w:pStyle w:val="Normaalweb"/>
        <w:divId w:val="982394320"/>
        <w:rPr>
          <w:lang w:val="de-DE"/>
        </w:rPr>
      </w:pPr>
      <w:r>
        <w:rPr>
          <w:lang w:val="de-DE"/>
        </w:rPr>
        <w:t>Das System kennt dieses Formularfeld nicht. Und anstatt das Feld hinzuzufügen, schließt das CAK die Akte.</w:t>
      </w:r>
    </w:p>
    <w:p w14:paraId="47485B1D" w14:textId="77777777" w:rsidR="00FA4EDF" w:rsidRDefault="00FA4EDF">
      <w:pPr>
        <w:pStyle w:val="Kop4"/>
        <w:divId w:val="982394320"/>
        <w:rPr>
          <w:rFonts w:eastAsia="Times New Roman"/>
          <w:lang w:val="de-DE"/>
        </w:rPr>
      </w:pPr>
      <w:r>
        <w:rPr>
          <w:rFonts w:eastAsia="Times New Roman"/>
          <w:lang w:val="de-DE"/>
        </w:rPr>
        <w:t>Die Argumentation von ZIN</w:t>
      </w:r>
    </w:p>
    <w:p w14:paraId="3DDC50CF" w14:textId="77777777" w:rsidR="00FA4EDF" w:rsidRDefault="00FA4EDF">
      <w:pPr>
        <w:pStyle w:val="Normaalweb"/>
        <w:divId w:val="982394320"/>
        <w:rPr>
          <w:lang w:val="de-DE"/>
        </w:rPr>
      </w:pPr>
      <w:r>
        <w:rPr>
          <w:lang w:val="de-DE"/>
        </w:rPr>
        <w:t>Das Zorginstituut Nederland verwaltet und überwacht das RIV-Register. Als der Patient das Institut im April 2026 auffordert, den Ausschluss aus dem Register zu prüfen und zu korrigieren, erklärt das Institut, keinen Einblick in einzelne personenbezogene Daten zu haben. Es weigert sich, das Register zu überprüfen, und verweist an CZ und das CAK.</w:t>
      </w:r>
    </w:p>
    <w:p w14:paraId="4814F6E8" w14:textId="77777777" w:rsidR="00FA4EDF" w:rsidRDefault="00FA4EDF">
      <w:pPr>
        <w:pStyle w:val="Normaalweb"/>
        <w:divId w:val="982394320"/>
        <w:rPr>
          <w:lang w:val="de-DE"/>
        </w:rPr>
      </w:pPr>
      <w:r>
        <w:rPr>
          <w:lang w:val="de-DE"/>
        </w:rPr>
        <w:t>Die Stelle, die das Register verwaltet, hat keinen Einblick in das Register. Das ist der Kern des geschlossenen Dreiecks: Jede Stelle verfügt über einen Teil der Befugnisse, aber keine einzelne Stelle hat die Gesamtheit der Befugnisse.</w:t>
      </w:r>
    </w:p>
    <w:p w14:paraId="6750F6B9" w14:textId="77777777" w:rsidR="00FA4EDF" w:rsidRDefault="00FA4EDF">
      <w:pPr>
        <w:pStyle w:val="Kop3"/>
        <w:divId w:val="982394320"/>
        <w:rPr>
          <w:rFonts w:eastAsia="Times New Roman"/>
          <w:lang w:val="de-DE"/>
        </w:rPr>
      </w:pPr>
      <w:bookmarkStart w:id="69" w:name="_Toc242103105"/>
      <w:r>
        <w:rPr>
          <w:rFonts w:eastAsia="Times New Roman"/>
          <w:lang w:val="de-DE"/>
        </w:rPr>
        <w:t>Geschichte 2 – Der Krankentransport</w:t>
      </w:r>
      <w:bookmarkEnd w:id="69"/>
    </w:p>
    <w:p w14:paraId="28160C3F" w14:textId="77777777" w:rsidR="00FA4EDF" w:rsidRDefault="00FA4EDF">
      <w:pPr>
        <w:pStyle w:val="Normaalweb"/>
        <w:divId w:val="982394320"/>
        <w:rPr>
          <w:lang w:val="de-DE"/>
        </w:rPr>
      </w:pPr>
      <w:r>
        <w:rPr>
          <w:lang w:val="de-DE"/>
        </w:rPr>
        <w:t>Aufgrund von Amputationen und Sehverlust kann der Patient nicht mehr selbstständig Auto fahren. Seine behandelnden Ärzte sind in Belgien. Er wohnt in den Niederlanden. Für diese Fahrten benötigt er einen behindertengerechten Transport – einen Krankentransport im Sitzen. In den Niederlanden wird dies über die Krankenkasse erstattet. Bei einer Vertragspolice ist dies die CZ.</w:t>
      </w:r>
    </w:p>
    <w:p w14:paraId="70E09C15" w14:textId="77777777" w:rsidR="00FA4EDF" w:rsidRDefault="00FA4EDF">
      <w:pPr>
        <w:pStyle w:val="Kop4"/>
        <w:divId w:val="982394320"/>
        <w:rPr>
          <w:rFonts w:eastAsia="Times New Roman"/>
          <w:lang w:val="de-DE"/>
        </w:rPr>
      </w:pPr>
      <w:r>
        <w:rPr>
          <w:rFonts w:eastAsia="Times New Roman"/>
          <w:lang w:val="de-DE"/>
        </w:rPr>
        <w:t>Was CZ fordert</w:t>
      </w:r>
    </w:p>
    <w:p w14:paraId="73D0D19B" w14:textId="77777777" w:rsidR="00FA4EDF" w:rsidRDefault="00FA4EDF">
      <w:pPr>
        <w:pStyle w:val="Normaalweb"/>
        <w:divId w:val="982394320"/>
        <w:rPr>
          <w:lang w:val="de-DE"/>
        </w:rPr>
      </w:pPr>
      <w:r>
        <w:rPr>
          <w:lang w:val="de-DE"/>
        </w:rPr>
        <w:t xml:space="preserve">Am 18. März 2026 reicht der Patient einen Antrag auf Genehmigung eines Krankentransports im Sitzen in das belgische Krankenhaus ein. CZ sendet am 25. März eine Informationsanfrage: Es ist eine </w:t>
      </w:r>
      <w:r>
        <w:rPr>
          <w:rStyle w:val="Zwaar"/>
          <w:lang w:val="de-DE"/>
        </w:rPr>
        <w:t>Perimetrie</w:t>
      </w:r>
      <w:r>
        <w:rPr>
          <w:lang w:val="de-DE"/>
        </w:rPr>
        <w:t xml:space="preserve"> erforderlich – eine Untersuchung des Gesichtsfeldes.</w:t>
      </w:r>
    </w:p>
    <w:p w14:paraId="2D060A71" w14:textId="77777777" w:rsidR="00FA4EDF" w:rsidRDefault="00FA4EDF">
      <w:pPr>
        <w:pStyle w:val="Normaalweb"/>
        <w:divId w:val="982394320"/>
        <w:rPr>
          <w:lang w:val="de-DE"/>
        </w:rPr>
      </w:pPr>
      <w:r>
        <w:rPr>
          <w:lang w:val="de-DE"/>
        </w:rPr>
        <w:t>Was ist die Perimetrie? Eine augenärztliche Untersuchung, bei der der gesamte Umfang des Gesichtsfeldes gemessen wird. Sie ist eine Standarduntersuchung in der niederländischen Augenheilkunde. Im belgischen Protokoll für diese spezifische Erkrankung – diabetische Retinopathie mit Makulaödem – ist sie jedoch keine Standarduntersuchung. Das belgische Krankenhaus führt diese Untersuchung bei diesem Patienten nicht durch, da sie nicht im Behandlungsprotokoll vorgesehen ist.</w:t>
      </w:r>
    </w:p>
    <w:p w14:paraId="5BCB5084" w14:textId="77777777" w:rsidR="00FA4EDF" w:rsidRDefault="00FA4EDF">
      <w:pPr>
        <w:pStyle w:val="Normaalweb"/>
        <w:divId w:val="982394320"/>
        <w:rPr>
          <w:lang w:val="de-DE"/>
        </w:rPr>
      </w:pPr>
      <w:r>
        <w:rPr>
          <w:lang w:val="de-DE"/>
        </w:rPr>
        <w:t>Die Folge: Der Patient kann den Nachweis nicht erbringen, da es diese Untersuchung in dem Land, in dem er behandelt wird, nicht gibt.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DA62AA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1DCAC06" w14:textId="77777777" w:rsidR="00FA4EDF" w:rsidRDefault="00FA4EDF">
            <w:pPr>
              <w:pStyle w:val="Normaalweb"/>
              <w:spacing w:before="120"/>
              <w:jc w:val="center"/>
              <w:rPr>
                <w:sz w:val="21"/>
                <w:szCs w:val="21"/>
              </w:rPr>
            </w:pPr>
            <w:r>
              <w:rPr>
                <w:noProof/>
                <w:sz w:val="21"/>
                <w:szCs w:val="21"/>
              </w:rPr>
              <w:drawing>
                <wp:inline distT="0" distB="0" distL="0" distR="0" wp14:anchorId="7D748207" wp14:editId="2FB6439E">
                  <wp:extent cx="3810000" cy="1041400"/>
                  <wp:effectExtent l="0" t="0" r="0" b="635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810000" cy="1041400"/>
                          </a:xfrm>
                          <a:prstGeom prst="rect">
                            <a:avLst/>
                          </a:prstGeom>
                          <a:noFill/>
                          <a:ln>
                            <a:noFill/>
                          </a:ln>
                        </pic:spPr>
                      </pic:pic>
                    </a:graphicData>
                  </a:graphic>
                </wp:inline>
              </w:drawing>
            </w:r>
          </w:p>
          <w:p w14:paraId="29C03461" w14:textId="77777777" w:rsidR="00FA4EDF" w:rsidRDefault="00FA4EDF">
            <w:pPr>
              <w:pStyle w:val="caption"/>
              <w:spacing w:after="120" w:afterAutospacing="0"/>
            </w:pPr>
            <w:r>
              <w:t>CZ verlangt eine Untersuchung, die im Behandlungsland nicht standardmäßig durchgeführt wird. Der Patient kann den Nachweis nicht erbringen – nicht, weil er es nicht will, sondern weil diese Untersuchung nicht im Protokoll seines behandelnden Arztes vorgesehen ist.</w:t>
            </w:r>
          </w:p>
        </w:tc>
      </w:tr>
    </w:tbl>
    <w:p w14:paraId="7AC02CF3" w14:textId="77777777" w:rsidR="00FA4EDF" w:rsidRDefault="00FA4EDF">
      <w:pPr>
        <w:pStyle w:val="Kop4"/>
        <w:divId w:val="982394320"/>
        <w:rPr>
          <w:rFonts w:eastAsia="Times New Roman"/>
          <w:lang w:val="de-DE"/>
        </w:rPr>
      </w:pPr>
      <w:r>
        <w:rPr>
          <w:rFonts w:eastAsia="Times New Roman"/>
          <w:lang w:val="de-DE"/>
        </w:rPr>
        <w:t>Der Verfahrensreigen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81448E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9895B04" w14:textId="77777777" w:rsidR="00FA4EDF" w:rsidRDefault="00FA4EDF">
            <w:pPr>
              <w:pStyle w:val="Normaalweb"/>
              <w:spacing w:before="120"/>
              <w:jc w:val="center"/>
              <w:rPr>
                <w:sz w:val="21"/>
                <w:szCs w:val="21"/>
              </w:rPr>
            </w:pPr>
            <w:r>
              <w:rPr>
                <w:noProof/>
                <w:sz w:val="21"/>
                <w:szCs w:val="21"/>
              </w:rPr>
              <w:drawing>
                <wp:inline distT="0" distB="0" distL="0" distR="0" wp14:anchorId="046C4293" wp14:editId="30A47200">
                  <wp:extent cx="3810000" cy="2286000"/>
                  <wp:effectExtent l="0" t="0" r="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10000" cy="2286000"/>
                          </a:xfrm>
                          <a:prstGeom prst="rect">
                            <a:avLst/>
                          </a:prstGeom>
                          <a:noFill/>
                          <a:ln>
                            <a:noFill/>
                          </a:ln>
                        </pic:spPr>
                      </pic:pic>
                    </a:graphicData>
                  </a:graphic>
                </wp:inline>
              </w:drawing>
            </w:r>
          </w:p>
          <w:p w14:paraId="6575824A" w14:textId="77777777" w:rsidR="00FA4EDF" w:rsidRDefault="00FA4EDF">
            <w:pPr>
              <w:pStyle w:val="caption"/>
              <w:spacing w:after="120" w:afterAutospacing="0"/>
            </w:pPr>
            <w:r>
              <w:rPr>
                <w:rStyle w:val="Zwaar"/>
              </w:rPr>
              <w:t>Abbildung X.4 – Der Tanz.</w:t>
            </w:r>
            <w:r>
              <w:t xml:space="preserve"> </w:t>
            </w:r>
            <w:r>
              <w:t>Fünf Runden, drei Ablehnungen, eine Eskalation. Jedes Mal eine neue verfahrensrechtliche Forderung. Jedes Mal wird ihr stattgegeben. Und jedes Mal verschiebt sich die Schwelle. Der Patient legt den Nachweis vor, das Protokoll akzeptiert ihn nicht.</w:t>
            </w:r>
          </w:p>
        </w:tc>
      </w:tr>
    </w:tbl>
    <w:p w14:paraId="6D3E38C2" w14:textId="77777777" w:rsidR="00FA4EDF" w:rsidRDefault="00FA4EDF">
      <w:pPr>
        <w:pStyle w:val="Kop3"/>
        <w:divId w:val="982394320"/>
        <w:rPr>
          <w:rFonts w:eastAsia="Times New Roman"/>
          <w:lang w:val="de-DE"/>
        </w:rPr>
      </w:pPr>
      <w:bookmarkStart w:id="70" w:name="_Toc242103106"/>
      <w:r>
        <w:rPr>
          <w:rFonts w:eastAsia="Times New Roman"/>
          <w:lang w:val="de-DE"/>
        </w:rPr>
        <w:t>Teil C – Die Parallele: CZ und CM</w:t>
      </w:r>
      <w:bookmarkEnd w:id="7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0CEA87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7145F12" w14:textId="77777777" w:rsidR="00FA4EDF" w:rsidRDefault="00FA4EDF">
            <w:pPr>
              <w:pStyle w:val="Normaalweb"/>
              <w:spacing w:before="120"/>
              <w:jc w:val="center"/>
              <w:rPr>
                <w:sz w:val="21"/>
                <w:szCs w:val="21"/>
              </w:rPr>
            </w:pPr>
            <w:r>
              <w:rPr>
                <w:noProof/>
                <w:sz w:val="21"/>
                <w:szCs w:val="21"/>
              </w:rPr>
              <w:drawing>
                <wp:inline distT="0" distB="0" distL="0" distR="0" wp14:anchorId="3FDD4789" wp14:editId="4C06818A">
                  <wp:extent cx="3810000" cy="1670050"/>
                  <wp:effectExtent l="0" t="0" r="0" b="6350"/>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810000" cy="1670050"/>
                          </a:xfrm>
                          <a:prstGeom prst="rect">
                            <a:avLst/>
                          </a:prstGeom>
                          <a:noFill/>
                          <a:ln>
                            <a:noFill/>
                          </a:ln>
                        </pic:spPr>
                      </pic:pic>
                    </a:graphicData>
                  </a:graphic>
                </wp:inline>
              </w:drawing>
            </w:r>
          </w:p>
          <w:p w14:paraId="338FDAEE" w14:textId="77777777" w:rsidR="00FA4EDF" w:rsidRDefault="00FA4EDF">
            <w:pPr>
              <w:pStyle w:val="caption"/>
              <w:spacing w:after="120" w:afterAutospacing="0"/>
            </w:pPr>
            <w:r>
              <w:rPr>
                <w:rStyle w:val="Zwaar"/>
              </w:rPr>
              <w:t>Abbildung X.5 – Die Parallele.</w:t>
            </w:r>
            <w:r>
              <w:t xml:space="preserve"> CM und CZ folgen derselben Logik: Medizinische Beweise werden anerkannt, wenn sie in das eigene Protokoll passen, und abgelehnt, wenn das Protokoll eine formale Voraussetzung stellt, die der Patient nicht erfüllen kann. Das Protokoll ist die Wahrheit, nicht der Körper.</w:t>
            </w:r>
          </w:p>
        </w:tc>
      </w:tr>
    </w:tbl>
    <w:p w14:paraId="0320B193" w14:textId="77777777" w:rsidR="00FA4EDF" w:rsidRDefault="00FA4EDF">
      <w:pPr>
        <w:pStyle w:val="Kop3"/>
        <w:divId w:val="982394320"/>
        <w:rPr>
          <w:rFonts w:eastAsia="Times New Roman"/>
          <w:lang w:val="de-DE"/>
        </w:rPr>
      </w:pPr>
      <w:bookmarkStart w:id="71" w:name="_Toc242103107"/>
      <w:r>
        <w:rPr>
          <w:rFonts w:eastAsia="Times New Roman"/>
          <w:lang w:val="de-DE"/>
        </w:rPr>
        <w:t>Teil D – Was das bringt</w:t>
      </w:r>
      <w:bookmarkEnd w:id="71"/>
    </w:p>
    <w:p w14:paraId="18490290" w14:textId="77777777" w:rsidR="00FA4EDF" w:rsidRDefault="00FA4EDF">
      <w:pPr>
        <w:pStyle w:val="Normaalweb"/>
        <w:divId w:val="982394320"/>
        <w:rPr>
          <w:lang w:val="de-DE"/>
        </w:rPr>
      </w:pPr>
      <w:r>
        <w:rPr>
          <w:lang w:val="de-DE"/>
        </w:rPr>
        <w:t>Der Patient hat in beiden Fällen den bestmöglichen Nachweis erbracht, den er erbringen kann. Im ersten Fall: eine aktive Vertragspolice, bezahlte Prämien, zuständige Stelle in Belgien. Im zweiten Fall: eine vollständige Krankenakte mit Angaben zu Amputationen, Sehschärfewerten und einem akademischen Gutachten eines Universitätskrankenhauses.</w:t>
      </w:r>
    </w:p>
    <w:p w14:paraId="43F3FD98" w14:textId="77777777" w:rsidR="00FA4EDF" w:rsidRDefault="00FA4EDF">
      <w:pPr>
        <w:pStyle w:val="Normaalweb"/>
        <w:divId w:val="982394320"/>
        <w:rPr>
          <w:lang w:val="de-DE"/>
        </w:rPr>
      </w:pPr>
      <w:r>
        <w:rPr>
          <w:lang w:val="de-DE"/>
        </w:rPr>
        <w:t>In beiden Fällen lehnt CZ den Antrag aus verfahrensrechtlichen Gründen ab. Die Vertragspolice ist keine niederländische Versicherung. Die Perimetrie fehlt. Die Kilometerberechnung ist falsch. Der alte Brief hat mehr Gewicht als der neue Bericht.</w:t>
      </w:r>
    </w:p>
    <w:p w14:paraId="0254924E" w14:textId="77777777" w:rsidR="00FA4EDF" w:rsidRDefault="00FA4EDF">
      <w:pPr>
        <w:pStyle w:val="Normaalweb"/>
        <w:divId w:val="982394320"/>
        <w:rPr>
          <w:lang w:val="de-DE"/>
        </w:rPr>
      </w:pPr>
      <w:r>
        <w:rPr>
          <w:lang w:val="de-DE"/>
        </w:rPr>
        <w:t>Der Kern der Sache ist nicht, dass CZ Fehler macht. Der Kernpunkt ist, dass das CZ-Protokoll über der medizinischen Realität steht. Und da das Gesetz CZ den Spielraum gibt, das Protokoll zu befolgen, liegt kein Verstoß vor. Nur ein Ergebnis, das die Familie nicht verkraften kann. Und das Dreieck aus CZ, CAK und ZIN schließt sich um die Familie herum, ohne eine einzige Lücke zu lassen.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68330D0"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017D64E6"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Bei Ablehnungen durch CZ aus protokolltechnischen Gründen gibt es vier Möglichkeiten: </w:t>
            </w:r>
          </w:p>
          <w:p w14:paraId="429485A0" w14:textId="77777777" w:rsidR="00FA4EDF" w:rsidRDefault="00FA4EDF">
            <w:pPr>
              <w:numPr>
                <w:ilvl w:val="0"/>
                <w:numId w:val="13"/>
              </w:numPr>
              <w:spacing w:before="100" w:beforeAutospacing="1" w:after="100" w:afterAutospacing="1"/>
              <w:rPr>
                <w:rFonts w:eastAsia="Times New Roman"/>
                <w:szCs w:val="22"/>
              </w:rPr>
            </w:pPr>
            <w:r>
              <w:rPr>
                <w:rFonts w:eastAsia="Times New Roman"/>
                <w:szCs w:val="22"/>
              </w:rPr>
              <w:t>Formeller Einspruch bei CZ selbst, mit dem Hinweis auf die Unmöglichkeit, den geforderten Nachweis zu erbringen (Unvereinbarkeit mit dem Protokoll). Fügen Sie eine Erklärung des behandelnden Arztes bei, dass die geforderte Untersuchung nicht im Behandlungsprotokoll vorgesehen ist.</w:t>
            </w:r>
          </w:p>
          <w:p w14:paraId="56D73332" w14:textId="77777777" w:rsidR="00FA4EDF" w:rsidRDefault="00FA4EDF">
            <w:pPr>
              <w:numPr>
                <w:ilvl w:val="0"/>
                <w:numId w:val="13"/>
              </w:numPr>
              <w:spacing w:before="100" w:beforeAutospacing="1" w:after="100" w:afterAutospacing="1"/>
              <w:rPr>
                <w:rFonts w:eastAsia="Times New Roman"/>
                <w:szCs w:val="22"/>
              </w:rPr>
            </w:pPr>
            <w:r>
              <w:rPr>
                <w:rFonts w:eastAsia="Times New Roman"/>
                <w:szCs w:val="22"/>
              </w:rPr>
              <w:t>Eskalation an das Büro für belgische Angelegenheiten (BBZ) bei der SVB. Das BBZ kann Druck ausüben, verfügt jedoch über keine zwingende Befugnis.</w:t>
            </w:r>
          </w:p>
          <w:p w14:paraId="18D3D75D" w14:textId="77777777" w:rsidR="00FA4EDF" w:rsidRDefault="00FA4EDF">
            <w:pPr>
              <w:numPr>
                <w:ilvl w:val="0"/>
                <w:numId w:val="13"/>
              </w:numPr>
              <w:spacing w:before="100" w:beforeAutospacing="1" w:after="100" w:afterAutospacing="1"/>
              <w:rPr>
                <w:rFonts w:eastAsia="Times New Roman"/>
                <w:szCs w:val="22"/>
              </w:rPr>
            </w:pPr>
            <w:r>
              <w:rPr>
                <w:rFonts w:eastAsia="Times New Roman"/>
                <w:szCs w:val="22"/>
              </w:rPr>
              <w:t>Für den Pflegezuschlag: formeller Widerspruch beim Dienst Toeslagen auf der Grundlage der Abrechnungsübersichten von CZ, aus denen hervorgeht, dass Sie die niederländische Selbstbeteiligung bezahlt haben.</w:t>
            </w:r>
          </w:p>
          <w:p w14:paraId="11F9C83B" w14:textId="77777777" w:rsidR="00FA4EDF" w:rsidRDefault="00FA4EDF">
            <w:pPr>
              <w:numPr>
                <w:ilvl w:val="0"/>
                <w:numId w:val="13"/>
              </w:numPr>
              <w:spacing w:before="100" w:beforeAutospacing="1" w:after="100" w:afterAutospacing="1"/>
              <w:rPr>
                <w:rFonts w:eastAsia="Times New Roman"/>
                <w:szCs w:val="22"/>
              </w:rPr>
            </w:pPr>
            <w:r>
              <w:rPr>
                <w:rFonts w:eastAsia="Times New Roman"/>
                <w:szCs w:val="22"/>
              </w:rPr>
              <w:t>Auskunftsersuchen gemäß Artikel 15 DSGVO bei CZ, CAK und ZIN, bezogen auf die EESSI-Protokolldateien und die RIV-Registrierungsversuche. Dies macht die Kommunikation messbar und kann nachträglich eine manuelle Korrektur erzwingen.</w:t>
            </w:r>
          </w:p>
        </w:tc>
      </w:tr>
    </w:tbl>
    <w:p w14:paraId="61F469F0"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bezeichnet. Die Angaben basieren auf Dokument B. Dieses Kapitel stellt keine Rechtsberatung dar.</w:t>
      </w:r>
    </w:p>
    <w:p w14:paraId="79CE43DD" w14:textId="77777777" w:rsidR="00FA4EDF" w:rsidRDefault="00FA4EDF">
      <w:pPr>
        <w:pStyle w:val="marker"/>
        <w:ind w:left="800" w:right="800"/>
        <w:divId w:val="982394320"/>
        <w:rPr>
          <w:lang w:val="de-DE"/>
        </w:rPr>
      </w:pPr>
      <w:r>
        <w:br w:type="page"/>
      </w:r>
    </w:p>
    <w:p w14:paraId="6C357C79" w14:textId="77777777" w:rsidR="00FA4EDF" w:rsidRDefault="00FA4EDF">
      <w:pPr>
        <w:pStyle w:val="Kop2"/>
        <w:divId w:val="982394320"/>
        <w:rPr>
          <w:rFonts w:eastAsia="Times New Roman"/>
          <w:lang w:val="de-DE"/>
        </w:rPr>
      </w:pPr>
      <w:bookmarkStart w:id="72" w:name="_Toc242103108"/>
      <w:r>
        <w:rPr>
          <w:rFonts w:eastAsia="Times New Roman"/>
          <w:lang w:val="de-DE"/>
        </w:rPr>
        <w:t>Die Gemeinde Hulst-Treppe</w:t>
      </w:r>
      <w:bookmarkEnd w:id="72"/>
    </w:p>
    <w:p w14:paraId="5AF50F96" w14:textId="77777777" w:rsidR="00FA4EDF" w:rsidRDefault="00FA4EDF">
      <w:pPr>
        <w:pStyle w:val="lead"/>
        <w:divId w:val="982394320"/>
        <w:rPr>
          <w:lang w:val="de-DE"/>
        </w:rPr>
      </w:pPr>
      <w:r>
        <w:rPr>
          <w:lang w:val="de-DE"/>
        </w:rPr>
        <w:t xml:space="preserve">In den Niederlanden ist die Gemeinde die erste Anlaufstelle für Menschen, die in finanzielle Not geraten. Für einen Grenzgänger in Zeeuws-Vlaanderen wäre die Gemeinde Hulst die logische Anlaufstelle, um Sozialhilfe, Sonderhilfe oder soziale Unterstützung zu beantragen. Die Praxis sieht jedoch anders aus. Die Gemeinde nimmt den Hilferuf entgegen, gewährt jedoch keine finanziellen Mittel. Sie stellt Hardware und Hilfe zur Verfügung. Dabei verwendet sie Berechnungsmodelle, die die tatsächliche Situation nicht </w:t>
      </w:r>
      <w:r>
        <w:rPr>
          <w:lang w:val="de-DE"/>
        </w:rPr>
        <w:t>berücksichtigen. Mittlerweile ist zwar ein formeller Einspruch anhängig – doch die Entscheidung darüber wurde erneut vertagt.</w:t>
      </w:r>
    </w:p>
    <w:p w14:paraId="0663E169" w14:textId="77777777" w:rsidR="00FA4EDF" w:rsidRDefault="00FA4EDF">
      <w:pPr>
        <w:pStyle w:val="Kop3"/>
        <w:divId w:val="982394320"/>
        <w:rPr>
          <w:rFonts w:eastAsia="Times New Roman"/>
          <w:lang w:val="de-DE"/>
        </w:rPr>
      </w:pPr>
      <w:bookmarkStart w:id="73" w:name="_Toc242103109"/>
      <w:r>
        <w:rPr>
          <w:rFonts w:eastAsia="Times New Roman"/>
          <w:lang w:val="de-DE"/>
        </w:rPr>
        <w:t>Teil A – Die Gemeinde als erste Anlaufstelle, die nicht hilft</w:t>
      </w:r>
      <w:bookmarkEnd w:id="73"/>
    </w:p>
    <w:p w14:paraId="40CB2C8C" w14:textId="77777777" w:rsidR="00FA4EDF" w:rsidRDefault="00FA4EDF">
      <w:pPr>
        <w:pStyle w:val="Kop4"/>
        <w:divId w:val="982394320"/>
        <w:rPr>
          <w:rFonts w:eastAsia="Times New Roman"/>
          <w:lang w:val="de-DE"/>
        </w:rPr>
      </w:pPr>
      <w:r>
        <w:rPr>
          <w:rFonts w:eastAsia="Times New Roman"/>
          <w:lang w:val="de-DE"/>
        </w:rPr>
        <w:t>Was die Gemeinde hätte tun können</w:t>
      </w:r>
    </w:p>
    <w:p w14:paraId="4D78C190" w14:textId="77777777" w:rsidR="00FA4EDF" w:rsidRDefault="00FA4EDF">
      <w:pPr>
        <w:pStyle w:val="Normaalweb"/>
        <w:divId w:val="982394320"/>
        <w:rPr>
          <w:lang w:val="de-DE"/>
        </w:rPr>
      </w:pPr>
      <w:r>
        <w:rPr>
          <w:lang w:val="de-DE"/>
        </w:rPr>
        <w:t>Im niederländischen Sozialsystem stehen der Gemeinde drei Instrumente zur Verfügung, um Einkommensnotlagen abzufedern:</w:t>
      </w:r>
    </w:p>
    <w:p w14:paraId="2CA68ED3" w14:textId="77777777" w:rsidR="00FA4EDF" w:rsidRDefault="00FA4EDF">
      <w:pPr>
        <w:numPr>
          <w:ilvl w:val="0"/>
          <w:numId w:val="14"/>
        </w:numPr>
        <w:spacing w:before="100" w:beforeAutospacing="1" w:after="100" w:afterAutospacing="1"/>
        <w:divId w:val="982394320"/>
        <w:rPr>
          <w:rFonts w:eastAsia="Times New Roman"/>
          <w:lang w:val="de-DE"/>
        </w:rPr>
      </w:pPr>
      <w:r>
        <w:rPr>
          <w:rStyle w:val="Zwaar"/>
          <w:rFonts w:eastAsia="Times New Roman"/>
          <w:lang w:val="de-DE"/>
        </w:rPr>
        <w:t>Sozialhilfe</w:t>
      </w:r>
      <w:r>
        <w:rPr>
          <w:rFonts w:eastAsia="Times New Roman"/>
          <w:lang w:val="de-DE"/>
        </w:rPr>
        <w:t xml:space="preserve"> (Teilhabegesetz) – eine monatliche Leistung für Personen, die kein oder nur ein geringes Einkommen haben.</w:t>
      </w:r>
    </w:p>
    <w:p w14:paraId="0CC20282" w14:textId="77777777" w:rsidR="00FA4EDF" w:rsidRDefault="00FA4EDF">
      <w:pPr>
        <w:numPr>
          <w:ilvl w:val="0"/>
          <w:numId w:val="14"/>
        </w:numPr>
        <w:spacing w:before="100" w:beforeAutospacing="1" w:after="100" w:afterAutospacing="1"/>
        <w:divId w:val="982394320"/>
        <w:rPr>
          <w:rFonts w:eastAsia="Times New Roman"/>
          <w:lang w:val="de-DE"/>
        </w:rPr>
      </w:pPr>
      <w:r>
        <w:rPr>
          <w:rStyle w:val="Zwaar"/>
          <w:rFonts w:eastAsia="Times New Roman"/>
          <w:lang w:val="de-DE"/>
        </w:rPr>
        <w:t>Sonderbeihilfe</w:t>
      </w:r>
      <w:r>
        <w:rPr>
          <w:rFonts w:eastAsia="Times New Roman"/>
          <w:lang w:val="de-DE"/>
        </w:rPr>
        <w:t xml:space="preserve"> – eine einmalige Zuwendung zur Deckung unvorhergesehener, notwendiger Kosten.</w:t>
      </w:r>
    </w:p>
    <w:p w14:paraId="09E6DE24" w14:textId="77777777" w:rsidR="00FA4EDF" w:rsidRDefault="00FA4EDF">
      <w:pPr>
        <w:numPr>
          <w:ilvl w:val="0"/>
          <w:numId w:val="14"/>
        </w:numPr>
        <w:spacing w:before="100" w:beforeAutospacing="1" w:after="100" w:afterAutospacing="1"/>
        <w:divId w:val="982394320"/>
        <w:rPr>
          <w:rFonts w:eastAsia="Times New Roman"/>
          <w:lang w:val="de-DE"/>
        </w:rPr>
      </w:pPr>
      <w:r>
        <w:rPr>
          <w:rStyle w:val="Zwaar"/>
          <w:rFonts w:eastAsia="Times New Roman"/>
          <w:lang w:val="de-DE"/>
        </w:rPr>
        <w:t>Wmo-Unterstützung</w:t>
      </w:r>
      <w:r>
        <w:rPr>
          <w:rFonts w:eastAsia="Times New Roman"/>
          <w:lang w:val="de-DE"/>
        </w:rPr>
        <w:t xml:space="preserve"> – soziale Unterstützung, darunter Haushaltshilfe und Beförderungsdienste.</w:t>
      </w:r>
    </w:p>
    <w:p w14:paraId="78E4C54B" w14:textId="77777777" w:rsidR="00FA4EDF" w:rsidRDefault="00FA4EDF">
      <w:pPr>
        <w:pStyle w:val="Normaalweb"/>
        <w:divId w:val="982394320"/>
        <w:rPr>
          <w:lang w:val="de-DE"/>
        </w:rPr>
      </w:pPr>
      <w:r>
        <w:rPr>
          <w:lang w:val="de-DE"/>
        </w:rPr>
        <w:t>Diese drei Maßnahmen sollen greifen, wenn das Einkommen ausfällt oder nicht ausreicht. Für einen Grenzgänger, der sich in einer medizinischen Notlage befindet und dessen Einkommensquelle vollständig weggebrochen ist, ist dies genau die Situation, für die sie vorgesehen sind.</w:t>
      </w:r>
    </w:p>
    <w:p w14:paraId="7B71D39D" w14:textId="77777777" w:rsidR="00FA4EDF" w:rsidRDefault="00FA4EDF">
      <w:pPr>
        <w:pStyle w:val="Kop4"/>
        <w:divId w:val="982394320"/>
        <w:rPr>
          <w:rFonts w:eastAsia="Times New Roman"/>
          <w:lang w:val="de-DE"/>
        </w:rPr>
      </w:pPr>
      <w:r>
        <w:rPr>
          <w:rFonts w:eastAsia="Times New Roman"/>
          <w:lang w:val="de-DE"/>
        </w:rPr>
        <w:t>Was die Gemeinde unternommen hat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90D99B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8D03A86" w14:textId="77777777" w:rsidR="00FA4EDF" w:rsidRDefault="00FA4EDF">
            <w:pPr>
              <w:pStyle w:val="Normaalweb"/>
              <w:spacing w:before="120"/>
              <w:jc w:val="center"/>
              <w:rPr>
                <w:sz w:val="21"/>
                <w:szCs w:val="21"/>
              </w:rPr>
            </w:pPr>
            <w:r>
              <w:rPr>
                <w:noProof/>
                <w:sz w:val="21"/>
                <w:szCs w:val="21"/>
              </w:rPr>
              <w:drawing>
                <wp:inline distT="0" distB="0" distL="0" distR="0" wp14:anchorId="64064309" wp14:editId="06176EE9">
                  <wp:extent cx="3810000" cy="2355850"/>
                  <wp:effectExtent l="0" t="0" r="0" b="6350"/>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810000" cy="2355850"/>
                          </a:xfrm>
                          <a:prstGeom prst="rect">
                            <a:avLst/>
                          </a:prstGeom>
                          <a:noFill/>
                          <a:ln>
                            <a:noFill/>
                          </a:ln>
                        </pic:spPr>
                      </pic:pic>
                    </a:graphicData>
                  </a:graphic>
                </wp:inline>
              </w:drawing>
            </w:r>
          </w:p>
          <w:p w14:paraId="476216B3" w14:textId="77777777" w:rsidR="00FA4EDF" w:rsidRDefault="00FA4EDF">
            <w:pPr>
              <w:pStyle w:val="caption"/>
              <w:spacing w:after="120" w:afterAutospacing="0"/>
            </w:pPr>
            <w:r>
              <w:rPr>
                <w:rStyle w:val="Zwaar"/>
              </w:rPr>
              <w:t>Abbildung XI.1 – Die erste Hotline</w:t>
            </w:r>
            <w:r>
              <w:t xml:space="preserve">, </w:t>
            </w:r>
            <w:r>
              <w:rPr>
                <w:rStyle w:val="Zwaar"/>
              </w:rPr>
              <w:t>die nicht hilft.</w:t>
            </w:r>
            <w:r>
              <w:t xml:space="preserve"> Die Gemeinde erhält über einen Zeitraum von elf Monaten sechsmal eine formelle Meldung. Jedes Mal folgt eine prozedurale Antwort oder gar keine Antwort. Sozialhilfe und Sonderhilfe werden nicht geprüft. Der einzige formelle Vorgang, der derzeit läuft, ist der Widerspruch vom 22. Juli 2026 – und die Entscheidung darüber wurde vertagt.</w:t>
            </w:r>
          </w:p>
        </w:tc>
      </w:tr>
    </w:tbl>
    <w:p w14:paraId="39CE95F0" w14:textId="77777777" w:rsidR="00FA4EDF" w:rsidRDefault="00FA4EDF">
      <w:pPr>
        <w:pStyle w:val="Kop3"/>
        <w:divId w:val="982394320"/>
        <w:rPr>
          <w:rFonts w:eastAsia="Times New Roman"/>
          <w:lang w:val="de-DE"/>
        </w:rPr>
      </w:pPr>
      <w:bookmarkStart w:id="74" w:name="_Toc242103110"/>
      <w:r>
        <w:rPr>
          <w:rFonts w:eastAsia="Times New Roman"/>
          <w:lang w:val="de-DE"/>
        </w:rPr>
        <w:t>Teil B – Das laufende Widerspruchsverfahren</w:t>
      </w:r>
      <w:bookmarkEnd w:id="74"/>
    </w:p>
    <w:p w14:paraId="455AE237" w14:textId="77777777" w:rsidR="00FA4EDF" w:rsidRDefault="00FA4EDF">
      <w:pPr>
        <w:pStyle w:val="Normaalweb"/>
        <w:divId w:val="982394320"/>
        <w:rPr>
          <w:lang w:val="de-DE"/>
        </w:rPr>
      </w:pPr>
      <w:r>
        <w:rPr>
          <w:lang w:val="de-DE"/>
        </w:rPr>
        <w:t>Als formeller Schritt bleibt der Einspruch, der am 22. Juli 2026 gegen den Bescheid vom 22. Juni 2026 bezüglich der Sonderhilfe eingelegt wurde. Dies ist der erste Zeitpunkt, zu dem die Gemeinde den Antrag formell prüfen muss. Die Gemeinde hat darauf mit einer Verlängerung der Entscheidungsfrist reagiert.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5E852F4"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AA54381" w14:textId="77777777" w:rsidR="00FA4EDF" w:rsidRDefault="00FA4EDF">
            <w:pPr>
              <w:pStyle w:val="Normaalweb"/>
              <w:spacing w:before="120"/>
              <w:jc w:val="center"/>
              <w:rPr>
                <w:sz w:val="21"/>
                <w:szCs w:val="21"/>
              </w:rPr>
            </w:pPr>
            <w:r>
              <w:rPr>
                <w:noProof/>
                <w:sz w:val="21"/>
                <w:szCs w:val="21"/>
              </w:rPr>
              <w:drawing>
                <wp:inline distT="0" distB="0" distL="0" distR="0" wp14:anchorId="312FDA35" wp14:editId="02FB8484">
                  <wp:extent cx="3810000" cy="1181100"/>
                  <wp:effectExtent l="0" t="0" r="0" b="0"/>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11B7871" w14:textId="77777777" w:rsidR="00FA4EDF" w:rsidRDefault="00FA4EDF">
            <w:pPr>
              <w:pStyle w:val="caption"/>
              <w:spacing w:after="120" w:afterAutospacing="0"/>
            </w:pPr>
            <w:r>
              <w:rPr>
                <w:rStyle w:val="Zwaar"/>
              </w:rPr>
              <w:t>Abbildung XI.2 – Der laufende Widerspruch.</w:t>
            </w:r>
            <w:r>
              <w:t xml:space="preserve"> Der Widerspruch gegen den Bescheid über die Sonderhilfe wurde am 22. Juli 2026 eingereicht. Die Gemeinde hat den Eingang am 21. September 2026 bestätigt und die Entscheidungsfrist um sechs Wochen verlängert. Der Antragsteller hat keine mündliche Erläuterung beantragt, da die Gründe bereits ausreichend dargelegt wurden.</w:t>
            </w:r>
          </w:p>
        </w:tc>
      </w:tr>
    </w:tbl>
    <w:p w14:paraId="4CC3348E" w14:textId="77777777" w:rsidR="00FA4EDF" w:rsidRDefault="00FA4EDF">
      <w:pPr>
        <w:pStyle w:val="Kop3"/>
        <w:divId w:val="982394320"/>
        <w:rPr>
          <w:rFonts w:eastAsia="Times New Roman"/>
          <w:lang w:val="de-DE"/>
        </w:rPr>
      </w:pPr>
      <w:bookmarkStart w:id="75" w:name="_Toc242103111"/>
      <w:r>
        <w:rPr>
          <w:rFonts w:eastAsia="Times New Roman"/>
          <w:lang w:val="de-DE"/>
        </w:rPr>
        <w:t>Teil C – Die Rechenmodelle, die die Realität nicht erfassen</w:t>
      </w:r>
      <w:bookmarkEnd w:id="75"/>
    </w:p>
    <w:p w14:paraId="77C40439" w14:textId="77777777" w:rsidR="00FA4EDF" w:rsidRDefault="00FA4EDF">
      <w:pPr>
        <w:pStyle w:val="Normaalweb"/>
        <w:divId w:val="982394320"/>
        <w:rPr>
          <w:lang w:val="de-DE"/>
        </w:rPr>
      </w:pPr>
      <w:r>
        <w:rPr>
          <w:lang w:val="de-DE"/>
        </w:rPr>
        <w:t>Warum die Gemeinde, genau wie Parentia, keine Mittel bereitstellt, hängt mit dem Berechnungsmodell zusammen. Sozialhilfe und Sonderhilfe werden anhand einer Einkommensgrenze geprüft. Das ist im Prinzip logisch. Aber das Modell berücksichtigt nicht die tatsächliche Situation.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1563B3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5E2FA57" w14:textId="77777777" w:rsidR="00FA4EDF" w:rsidRDefault="00FA4EDF">
            <w:pPr>
              <w:pStyle w:val="Normaalweb"/>
              <w:spacing w:before="120"/>
              <w:jc w:val="center"/>
              <w:rPr>
                <w:sz w:val="21"/>
                <w:szCs w:val="21"/>
              </w:rPr>
            </w:pPr>
            <w:r>
              <w:rPr>
                <w:noProof/>
                <w:sz w:val="21"/>
                <w:szCs w:val="21"/>
              </w:rPr>
              <w:drawing>
                <wp:inline distT="0" distB="0" distL="0" distR="0" wp14:anchorId="1C5C0066" wp14:editId="48A1D1D4">
                  <wp:extent cx="3810000" cy="1181100"/>
                  <wp:effectExtent l="0" t="0" r="0" b="0"/>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5FAAAA5A" w14:textId="77777777" w:rsidR="00FA4EDF" w:rsidRDefault="00FA4EDF">
            <w:pPr>
              <w:pStyle w:val="caption"/>
              <w:spacing w:after="120" w:afterAutospacing="0"/>
            </w:pPr>
            <w:r>
              <w:t>Das Berechnungsmodell stützt sich auf Steuerdaten aus der Vergangenheit. Es berücksichtigt nicht, dass das tatsächliche Einkommen auf null gesunken ist, dass die medizinischen Kosten gestiegen sind und dass der Haushalt unterhalb der Armutsgrenze lebt. Genau das gleiche Muster wie bei Parentia.</w:t>
            </w:r>
          </w:p>
        </w:tc>
      </w:tr>
    </w:tbl>
    <w:p w14:paraId="542AF590" w14:textId="77777777" w:rsidR="00FA4EDF" w:rsidRDefault="00FA4EDF">
      <w:pPr>
        <w:pStyle w:val="Kop3"/>
        <w:divId w:val="982394320"/>
        <w:rPr>
          <w:rFonts w:eastAsia="Times New Roman"/>
          <w:lang w:val="de-DE"/>
        </w:rPr>
      </w:pPr>
      <w:bookmarkStart w:id="76" w:name="_Toc242103112"/>
      <w:r>
        <w:rPr>
          <w:rFonts w:eastAsia="Times New Roman"/>
          <w:lang w:val="de-DE"/>
        </w:rPr>
        <w:t>Teil D – Die Mobilitätskapriolen</w:t>
      </w:r>
      <w:bookmarkEnd w:id="76"/>
    </w:p>
    <w:p w14:paraId="0F1B78D2" w14:textId="77777777" w:rsidR="00FA4EDF" w:rsidRDefault="00FA4EDF">
      <w:pPr>
        <w:pStyle w:val="Normaalweb"/>
        <w:divId w:val="982394320"/>
        <w:rPr>
          <w:lang w:val="de-DE"/>
        </w:rPr>
      </w:pPr>
      <w:r>
        <w:rPr>
          <w:lang w:val="de-DE"/>
        </w:rPr>
        <w:t>Die Gemeinde bietet allerdings etwas an: Mobilität. Zwei Regelungen: den Behindertenparkausweis (GPK) und den Wmo-Ausweis für behindertengerechten Transport. Beide funktionieren – zumindest teilweise. Und beide sind mit einer eigenen Zuzahlung verbunden.</w:t>
      </w:r>
    </w:p>
    <w:p w14:paraId="2BF6CC29" w14:textId="77777777" w:rsidR="00FA4EDF" w:rsidRDefault="00FA4EDF">
      <w:pPr>
        <w:pStyle w:val="Kop4"/>
        <w:divId w:val="982394320"/>
        <w:rPr>
          <w:rFonts w:eastAsia="Times New Roman"/>
          <w:lang w:val="de-DE"/>
        </w:rPr>
      </w:pPr>
      <w:r>
        <w:rPr>
          <w:rFonts w:eastAsia="Times New Roman"/>
          <w:lang w:val="de-DE"/>
        </w:rPr>
        <w:t>Der Behindertenparkausweis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6DF4523"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602F964" w14:textId="77777777" w:rsidR="00FA4EDF" w:rsidRDefault="00FA4EDF">
            <w:pPr>
              <w:pStyle w:val="Normaalweb"/>
              <w:spacing w:before="120"/>
              <w:jc w:val="center"/>
              <w:rPr>
                <w:sz w:val="21"/>
                <w:szCs w:val="21"/>
              </w:rPr>
            </w:pPr>
            <w:r>
              <w:rPr>
                <w:noProof/>
                <w:sz w:val="21"/>
                <w:szCs w:val="21"/>
              </w:rPr>
              <w:drawing>
                <wp:inline distT="0" distB="0" distL="0" distR="0" wp14:anchorId="4E11E681" wp14:editId="38D11866">
                  <wp:extent cx="3810000" cy="971550"/>
                  <wp:effectExtent l="0" t="0" r="0" b="0"/>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810000" cy="971550"/>
                          </a:xfrm>
                          <a:prstGeom prst="rect">
                            <a:avLst/>
                          </a:prstGeom>
                          <a:noFill/>
                          <a:ln>
                            <a:noFill/>
                          </a:ln>
                        </pic:spPr>
                      </pic:pic>
                    </a:graphicData>
                  </a:graphic>
                </wp:inline>
              </w:drawing>
            </w:r>
          </w:p>
          <w:p w14:paraId="2B264985" w14:textId="77777777" w:rsidR="00FA4EDF" w:rsidRDefault="00FA4EDF">
            <w:pPr>
              <w:pStyle w:val="caption"/>
              <w:spacing w:after="120" w:afterAutospacing="0"/>
            </w:pPr>
            <w:r>
              <w:t>Der Patient besitzt einen europäischen Parkausweis der belgischen Bundesregierung. Die Gemeinde Hulst weigert sich, diesen anzuerkennen, und verlangt eine neue lokale Prüfung, für die Gebühren anfallen. Auffällig ist: Der Patient musste am 17.09.2026 die medizinischen Unterlagen erneut einreichen, obwohl diese bereits am 07.03.2026 und am 20.08.2026 vorgelegt worden waren.</w:t>
            </w:r>
          </w:p>
        </w:tc>
      </w:tr>
    </w:tbl>
    <w:p w14:paraId="6E6C370A" w14:textId="77777777" w:rsidR="00FA4EDF" w:rsidRDefault="00FA4EDF">
      <w:pPr>
        <w:pStyle w:val="Kop4"/>
        <w:divId w:val="982394320"/>
        <w:rPr>
          <w:rFonts w:eastAsia="Times New Roman"/>
          <w:lang w:val="de-DE"/>
        </w:rPr>
      </w:pPr>
      <w:r>
        <w:rPr>
          <w:rFonts w:eastAsia="Times New Roman"/>
          <w:lang w:val="de-DE"/>
        </w:rPr>
        <w:t>Der Wmo-Ausweis und der Eigenanteil</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6BCA9A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888670E" w14:textId="77777777" w:rsidR="00FA4EDF" w:rsidRDefault="00FA4EDF">
            <w:pPr>
              <w:pStyle w:val="Normaalweb"/>
              <w:spacing w:before="120"/>
              <w:jc w:val="center"/>
              <w:rPr>
                <w:sz w:val="21"/>
                <w:szCs w:val="21"/>
              </w:rPr>
            </w:pPr>
            <w:r>
              <w:rPr>
                <w:noProof/>
                <w:sz w:val="21"/>
                <w:szCs w:val="21"/>
              </w:rPr>
              <w:drawing>
                <wp:inline distT="0" distB="0" distL="0" distR="0" wp14:anchorId="5CDAF0C8" wp14:editId="198906A8">
                  <wp:extent cx="3810000" cy="1104900"/>
                  <wp:effectExtent l="0" t="0" r="0" b="0"/>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33E657A2" w14:textId="77777777" w:rsidR="00FA4EDF" w:rsidRDefault="00FA4EDF">
            <w:pPr>
              <w:pStyle w:val="caption"/>
              <w:spacing w:after="120" w:afterAutospacing="0"/>
            </w:pPr>
            <w:r>
              <w:t>Der Wmo-Ausweis verschafft dem Patienten Mobilität. Doch die Eigenbeteiligung fällt in eine Zeit ohne Einkommen. Und wer nicht rechtzeitig zahlt, verliert den Ausweis.</w:t>
            </w:r>
          </w:p>
        </w:tc>
      </w:tr>
    </w:tbl>
    <w:p w14:paraId="2EC48624" w14:textId="77777777" w:rsidR="00FA4EDF" w:rsidRDefault="00FA4EDF">
      <w:pPr>
        <w:pStyle w:val="Kop3"/>
        <w:divId w:val="982394320"/>
        <w:rPr>
          <w:rFonts w:eastAsia="Times New Roman"/>
          <w:lang w:val="de-DE"/>
        </w:rPr>
      </w:pPr>
      <w:bookmarkStart w:id="77" w:name="_Toc242103113"/>
      <w:r>
        <w:rPr>
          <w:rFonts w:eastAsia="Times New Roman"/>
          <w:lang w:val="de-DE"/>
        </w:rPr>
        <w:t>Teil E – Die Obergrenzen für den Wmo-Beförderungsdienst</w:t>
      </w:r>
      <w:bookmarkEnd w:id="7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923014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45AE832" w14:textId="77777777" w:rsidR="00FA4EDF" w:rsidRDefault="00FA4EDF">
            <w:pPr>
              <w:pStyle w:val="Normaalweb"/>
              <w:spacing w:before="120"/>
              <w:jc w:val="center"/>
              <w:rPr>
                <w:sz w:val="21"/>
                <w:szCs w:val="21"/>
              </w:rPr>
            </w:pPr>
            <w:r>
              <w:rPr>
                <w:noProof/>
                <w:sz w:val="21"/>
                <w:szCs w:val="21"/>
              </w:rPr>
              <w:drawing>
                <wp:inline distT="0" distB="0" distL="0" distR="0" wp14:anchorId="710A4722" wp14:editId="2CD2440A">
                  <wp:extent cx="3810000" cy="1384300"/>
                  <wp:effectExtent l="0" t="0" r="0" b="635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6E8AAD30" w14:textId="77777777" w:rsidR="00FA4EDF" w:rsidRDefault="00FA4EDF">
            <w:pPr>
              <w:pStyle w:val="caption"/>
              <w:spacing w:after="120" w:afterAutospacing="0"/>
            </w:pPr>
            <w:r>
              <w:t>Das System erlaubt Fahrten zu Universitätskliniken jenseits der Grenze, lehnt jedoch Fahrten zu belgischen Behörden ab, die genau dieselbe Entfernung haben. Auch eine Begleitanfrage bei Sehverlust wird nicht erfasst.</w:t>
            </w:r>
          </w:p>
        </w:tc>
      </w:tr>
    </w:tbl>
    <w:p w14:paraId="2EF4B791" w14:textId="77777777" w:rsidR="00FA4EDF" w:rsidRDefault="00FA4EDF">
      <w:pPr>
        <w:pStyle w:val="Kop3"/>
        <w:divId w:val="982394320"/>
        <w:rPr>
          <w:rFonts w:eastAsia="Times New Roman"/>
          <w:lang w:val="de-DE"/>
        </w:rPr>
      </w:pPr>
      <w:bookmarkStart w:id="78" w:name="_Toc242103114"/>
      <w:r>
        <w:rPr>
          <w:rFonts w:eastAsia="Times New Roman"/>
          <w:lang w:val="de-DE"/>
        </w:rPr>
        <w:t>Teil F – Das Muster wiederholt sich</w:t>
      </w:r>
      <w:bookmarkEnd w:id="7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FC771F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D33070B" w14:textId="77777777" w:rsidR="00FA4EDF" w:rsidRDefault="00FA4EDF">
            <w:pPr>
              <w:pStyle w:val="Normaalweb"/>
              <w:spacing w:before="120"/>
              <w:jc w:val="center"/>
              <w:rPr>
                <w:sz w:val="21"/>
                <w:szCs w:val="21"/>
              </w:rPr>
            </w:pPr>
            <w:r>
              <w:rPr>
                <w:noProof/>
                <w:sz w:val="21"/>
                <w:szCs w:val="21"/>
              </w:rPr>
              <w:drawing>
                <wp:inline distT="0" distB="0" distL="0" distR="0" wp14:anchorId="6DA83406" wp14:editId="47629A9D">
                  <wp:extent cx="3810000" cy="1333500"/>
                  <wp:effectExtent l="0" t="0" r="0" b="0"/>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29A23B3E" w14:textId="77777777" w:rsidR="00FA4EDF" w:rsidRDefault="00FA4EDF">
            <w:pPr>
              <w:pStyle w:val="caption"/>
              <w:spacing w:after="120" w:afterAutospacing="0"/>
            </w:pPr>
            <w:r>
              <w:rPr>
                <w:rStyle w:val="Zwaar"/>
              </w:rPr>
              <w:t>Abbildung XI.5 – Drei Instanzen, ein Muster.</w:t>
            </w:r>
            <w:r>
              <w:t xml:space="preserve"> Parentia, die Gemeinde Hulst und CZ wenden alle drei denselben Mechanismus an: Die medizinische Realität wird anerkannt, sofern sie in das Protokoll passt, und abgelehnt, wenn das Protokoll eine Formvoraussetzung stellt, die der Bürger nicht erfüllen kann.</w:t>
            </w:r>
          </w:p>
        </w:tc>
      </w:tr>
    </w:tbl>
    <w:p w14:paraId="316B2223" w14:textId="77777777" w:rsidR="00FA4EDF" w:rsidRDefault="00FA4EDF">
      <w:pPr>
        <w:pStyle w:val="Kop3"/>
        <w:divId w:val="982394320"/>
        <w:rPr>
          <w:rFonts w:eastAsia="Times New Roman"/>
          <w:lang w:val="de-DE"/>
        </w:rPr>
      </w:pPr>
      <w:bookmarkStart w:id="79" w:name="_Toc242103115"/>
      <w:r>
        <w:rPr>
          <w:rFonts w:eastAsia="Times New Roman"/>
          <w:lang w:val="de-DE"/>
        </w:rPr>
        <w:t>Was die Gemeinde hätte sein sollen</w:t>
      </w:r>
      <w:bookmarkEnd w:id="79"/>
    </w:p>
    <w:p w14:paraId="76096EA8" w14:textId="77777777" w:rsidR="00FA4EDF" w:rsidRDefault="00FA4EDF">
      <w:pPr>
        <w:pStyle w:val="Normaalweb"/>
        <w:divId w:val="982394320"/>
        <w:rPr>
          <w:lang w:val="de-DE"/>
        </w:rPr>
      </w:pPr>
      <w:r>
        <w:rPr>
          <w:lang w:val="de-DE"/>
        </w:rPr>
        <w:t>Theoretisch ist die Gemeinde die erste Anlaufstelle. Die Gemeinde kennt die Einwohner, hat einen Überblick über die Situation vor Ort und verfügt über die Mittel, um schnell einzugreifen. In diesem Fall hat die Gemeinde dies jedoch nicht getan. Sie erhielt den Hilferuf sechs Mal und gab sechs verfahrenstechnische Antworten. Nicht ein einziges Mal wurde die finanzielle Situation inhaltlich geprüft.</w:t>
      </w:r>
    </w:p>
    <w:p w14:paraId="62E709FB" w14:textId="77777777" w:rsidR="00FA4EDF" w:rsidRDefault="00FA4EDF">
      <w:pPr>
        <w:pStyle w:val="Normaalweb"/>
        <w:divId w:val="982394320"/>
        <w:rPr>
          <w:lang w:val="de-DE"/>
        </w:rPr>
      </w:pPr>
      <w:r>
        <w:rPr>
          <w:lang w:val="de-DE"/>
        </w:rPr>
        <w:t xml:space="preserve">Und der Kern der Sache ist folgender: </w:t>
      </w:r>
      <w:r>
        <w:rPr>
          <w:rStyle w:val="Zwaar"/>
          <w:lang w:val="de-DE"/>
        </w:rPr>
        <w:t>Theoretisch müsste der Geldfluss ausreichen.</w:t>
      </w:r>
      <w:r>
        <w:rPr>
          <w:lang w:val="de-DE"/>
        </w:rPr>
        <w:t xml:space="preserve"> Das belgische Krankengeld, die niederländische WIA, die Zulagen, das Kindergeld – zusammen sollten sie den Haushalt über Wasser halten. Das Problem ist nicht, dass das Geld fehlt. Das Problem ist, dass niemand die Lücke schließt, die zwischen den einzelnen Töpfen entstanden ist. Die medizinischen Kosten sind der Auslöser, aber der administrative Stillstand ist die Ursache für die Verarmung.</w:t>
      </w:r>
    </w:p>
    <w:p w14:paraId="5476D233" w14:textId="77777777" w:rsidR="00FA4EDF" w:rsidRDefault="00FA4EDF">
      <w:pPr>
        <w:pStyle w:val="Normaalweb"/>
        <w:divId w:val="982394320"/>
        <w:rPr>
          <w:lang w:val="de-DE"/>
        </w:rPr>
      </w:pPr>
      <w:r>
        <w:rPr>
          <w:lang w:val="de-DE"/>
        </w:rPr>
        <w:t>Das einzige formelle Verfahren, das derzeit läuft, ist der Widerspruch vom 22. Juli 2026. Die Entscheidungsfrist dafür wurde um sechs Wochen verlängert. Der Antragsteller hat keine mündliche Erläuterung beantragt, da die Gründe bereits ausreichend dargelegt wurden. Die Entscheidung folgt zu einem späteren Zeitpunkt. Bis dahin bleibt die finanzielle Situation unverändert.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5743C82"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D6ADD92"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Die Gemeinde ist gesetzlich verpflichtet, Anträge auf Sozialhilfe und Sonderhilfe zu prüfen. Eine Ablehnung aufgrund formaler Voraussetzungen oder aufgrund eines Einkommensmodells, das die tatsächliche Situation nicht widerspiegelt, kann angefochten werden. Vier Schritte: </w:t>
            </w:r>
          </w:p>
          <w:p w14:paraId="37C30B39" w14:textId="77777777" w:rsidR="00FA4EDF" w:rsidRDefault="00FA4EDF">
            <w:pPr>
              <w:numPr>
                <w:ilvl w:val="0"/>
                <w:numId w:val="15"/>
              </w:numPr>
              <w:spacing w:before="100" w:beforeAutospacing="1" w:after="100" w:afterAutospacing="1"/>
              <w:rPr>
                <w:rFonts w:eastAsia="Times New Roman"/>
                <w:szCs w:val="22"/>
              </w:rPr>
            </w:pPr>
            <w:r>
              <w:rPr>
                <w:rFonts w:eastAsia="Times New Roman"/>
                <w:szCs w:val="22"/>
              </w:rPr>
              <w:t>Reichen Sie einen formellen Antrag auf Sonderhilfe ein und geben Sie dabei die konkrete Notlage an (medizinische Kosten, Schulden, gesperrte Sozialleistungen).</w:t>
            </w:r>
          </w:p>
          <w:p w14:paraId="509253CF" w14:textId="77777777" w:rsidR="00FA4EDF" w:rsidRDefault="00FA4EDF">
            <w:pPr>
              <w:numPr>
                <w:ilvl w:val="0"/>
                <w:numId w:val="15"/>
              </w:numPr>
              <w:spacing w:before="100" w:beforeAutospacing="1" w:after="100" w:afterAutospacing="1"/>
              <w:rPr>
                <w:rFonts w:eastAsia="Times New Roman"/>
                <w:szCs w:val="22"/>
              </w:rPr>
            </w:pPr>
            <w:r>
              <w:rPr>
                <w:rFonts w:eastAsia="Times New Roman"/>
                <w:szCs w:val="22"/>
              </w:rPr>
              <w:t>Wenn die Gemeinde nicht innerhalb der gesetzlichen Frist (8 Wochen) reagiert, reichen Sie einen Widerspruch wegen nicht fristgerechter Entscheidung ein.</w:t>
            </w:r>
          </w:p>
          <w:p w14:paraId="18A61EB1" w14:textId="77777777" w:rsidR="00FA4EDF" w:rsidRDefault="00FA4EDF">
            <w:pPr>
              <w:numPr>
                <w:ilvl w:val="0"/>
                <w:numId w:val="15"/>
              </w:numPr>
              <w:spacing w:before="100" w:beforeAutospacing="1" w:after="100" w:afterAutospacing="1"/>
              <w:rPr>
                <w:rFonts w:eastAsia="Times New Roman"/>
                <w:szCs w:val="22"/>
              </w:rPr>
            </w:pPr>
            <w:r>
              <w:rPr>
                <w:rFonts w:eastAsia="Times New Roman"/>
                <w:szCs w:val="22"/>
              </w:rPr>
              <w:t>Bitten Sie um ein persönliches Gespräch mit einem Schuldenberater oder einem Sozialberater.</w:t>
            </w:r>
          </w:p>
          <w:p w14:paraId="37F434C2" w14:textId="77777777" w:rsidR="00FA4EDF" w:rsidRDefault="00FA4EDF">
            <w:pPr>
              <w:numPr>
                <w:ilvl w:val="0"/>
                <w:numId w:val="15"/>
              </w:numPr>
              <w:spacing w:before="100" w:beforeAutospacing="1" w:after="100" w:afterAutospacing="1"/>
              <w:rPr>
                <w:rFonts w:eastAsia="Times New Roman"/>
                <w:szCs w:val="22"/>
              </w:rPr>
            </w:pPr>
            <w:r>
              <w:rPr>
                <w:rFonts w:eastAsia="Times New Roman"/>
                <w:szCs w:val="22"/>
              </w:rPr>
              <w:t>Wenn die Gemeinde weiterhin ablehnt: formeller Widerspruch beim Bürgermeister- und Beigeordnetenkollegium und gegebenenfalls Klage vor dem Verwaltungsgericht. Beachten Sie, dass die Gemeinde die Entscheidungsfrist gesetzlich um sechs Wochen verlängern darf (Art. 7:10 Abs. 3 Awb) – genau das ist hier geschehen.</w:t>
            </w:r>
          </w:p>
          <w:p w14:paraId="2E98C2C1" w14:textId="77777777" w:rsidR="00FA4EDF" w:rsidRDefault="00FA4EDF">
            <w:pPr>
              <w:spacing w:after="0"/>
              <w:rPr>
                <w:rFonts w:eastAsia="Times New Roman"/>
                <w:szCs w:val="22"/>
              </w:rPr>
            </w:pPr>
            <w:r>
              <w:rPr>
                <w:rFonts w:eastAsia="Times New Roman"/>
                <w:szCs w:val="22"/>
              </w:rPr>
              <w:t xml:space="preserve">Was den Wmo-Ausweis und den GPK betrifft: Ein europäischer Parkausweis ist ein anerkanntes EU-Dokument. Die Gemeinde darf die Übernahme nicht einfach so ablehnen. Ein formeller Widerspruch auf der Grundlage der gegenseitigen Anerkennung kann helfen. </w:t>
            </w:r>
          </w:p>
        </w:tc>
      </w:tr>
    </w:tbl>
    <w:p w14:paraId="47420B43"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bezeichnet. Die Angaben basieren auf Dokument B. Dieses Kapitel stellt keine Rechtsberatung dar.</w:t>
      </w:r>
    </w:p>
    <w:p w14:paraId="385CA993" w14:textId="77777777" w:rsidR="00FA4EDF" w:rsidRDefault="00FA4EDF">
      <w:pPr>
        <w:pStyle w:val="marker"/>
        <w:ind w:left="800" w:right="800"/>
        <w:divId w:val="982394320"/>
        <w:rPr>
          <w:lang w:val="de-DE"/>
        </w:rPr>
      </w:pPr>
      <w:r>
        <w:br w:type="page"/>
      </w:r>
    </w:p>
    <w:p w14:paraId="41CEB20A" w14:textId="77777777" w:rsidR="00FA4EDF" w:rsidRDefault="00FA4EDF">
      <w:pPr>
        <w:pStyle w:val="Kop2"/>
        <w:divId w:val="982394320"/>
        <w:rPr>
          <w:rFonts w:eastAsia="Times New Roman"/>
          <w:lang w:val="de-DE"/>
        </w:rPr>
      </w:pPr>
      <w:bookmarkStart w:id="80" w:name="_Toc242103116"/>
      <w:r>
        <w:rPr>
          <w:rFonts w:eastAsia="Times New Roman"/>
          <w:lang w:val="de-DE"/>
        </w:rPr>
        <w:t>Finanzamt und Zulagen</w:t>
      </w:r>
      <w:bookmarkEnd w:id="80"/>
    </w:p>
    <w:p w14:paraId="3190FDEE" w14:textId="77777777" w:rsidR="00FA4EDF" w:rsidRDefault="00FA4EDF">
      <w:pPr>
        <w:pStyle w:val="lead"/>
        <w:divId w:val="982394320"/>
        <w:rPr>
          <w:lang w:val="de-DE"/>
        </w:rPr>
      </w:pPr>
      <w:r>
        <w:rPr>
          <w:lang w:val="de-DE"/>
        </w:rPr>
        <w:t>Die Behörde für Sozialbeihilfen zahlt drei einkommensabhängige Beihilfen aus: Krankenversicherungszuschuss, Mietzuschuss und kindgebundenes Budget. In dieser Familie gibt es eine Person, die vollständig erwerbsunfähig ist, eine, die teilweise erwerbsunfähig ist, und eine, die erwerbstätig ist. Und die Steuererklärung selbst konfrontiert den Bürger mit einer Aufgabe, die er nicht erfüllen kann: die Angabe eines Gesamteinkommens, das ihm nicht bekannt ist, wobei er selbst für die Richtigkeit der Angaben veran</w:t>
      </w:r>
      <w:r>
        <w:rPr>
          <w:lang w:val="de-DE"/>
        </w:rPr>
        <w:t>twortlich ist.</w:t>
      </w:r>
    </w:p>
    <w:p w14:paraId="226A5433" w14:textId="77777777" w:rsidR="00FA4EDF" w:rsidRDefault="00FA4EDF">
      <w:pPr>
        <w:pStyle w:val="Kop3"/>
        <w:divId w:val="982394320"/>
        <w:rPr>
          <w:rFonts w:eastAsia="Times New Roman"/>
          <w:lang w:val="de-DE"/>
        </w:rPr>
      </w:pPr>
      <w:bookmarkStart w:id="81" w:name="_Toc242103117"/>
      <w:r>
        <w:rPr>
          <w:rFonts w:eastAsia="Times New Roman"/>
          <w:lang w:val="de-DE"/>
        </w:rPr>
        <w:t>Teil A – Die drei Zulagen</w:t>
      </w:r>
      <w:bookmarkEnd w:id="8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93F922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42CFFF7" w14:textId="77777777" w:rsidR="00FA4EDF" w:rsidRDefault="00FA4EDF">
            <w:pPr>
              <w:pStyle w:val="Normaalweb"/>
              <w:spacing w:before="120"/>
              <w:jc w:val="center"/>
              <w:rPr>
                <w:sz w:val="21"/>
                <w:szCs w:val="21"/>
              </w:rPr>
            </w:pPr>
            <w:r>
              <w:rPr>
                <w:noProof/>
                <w:sz w:val="21"/>
                <w:szCs w:val="21"/>
              </w:rPr>
              <w:drawing>
                <wp:inline distT="0" distB="0" distL="0" distR="0" wp14:anchorId="11B58F74" wp14:editId="5BEDA869">
                  <wp:extent cx="3810000" cy="13970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810000" cy="1397000"/>
                          </a:xfrm>
                          <a:prstGeom prst="rect">
                            <a:avLst/>
                          </a:prstGeom>
                          <a:noFill/>
                          <a:ln>
                            <a:noFill/>
                          </a:ln>
                        </pic:spPr>
                      </pic:pic>
                    </a:graphicData>
                  </a:graphic>
                </wp:inline>
              </w:drawing>
            </w:r>
          </w:p>
          <w:p w14:paraId="2D64A5F6" w14:textId="77777777" w:rsidR="00FA4EDF" w:rsidRDefault="00FA4EDF">
            <w:pPr>
              <w:pStyle w:val="caption"/>
              <w:spacing w:after="120" w:afterAutospacing="0"/>
            </w:pPr>
            <w:r>
              <w:rPr>
                <w:rStyle w:val="Zwaar"/>
              </w:rPr>
              <w:t>Abbildung XIII.1 – Drei Zulagen.</w:t>
            </w:r>
            <w:r>
              <w:t xml:space="preserve"> Die Pflegezulage bleibt bei null, da CZ die Vertragspolice nicht als niederländische Versicherung registriert. Der Mietzuschlag wird teilweise gewährt, doch weicht das Anrechnungs-Einkommen aufgrund des im Ausland erzielten Einkommens ab. Das kindgebundene Budget wurde erst nach der Verknüpfung mit der SVB gewährt – und rückwirkend ausgezahlt.</w:t>
            </w:r>
          </w:p>
        </w:tc>
      </w:tr>
    </w:tbl>
    <w:p w14:paraId="66D7B0F2" w14:textId="77777777" w:rsidR="00FA4EDF" w:rsidRDefault="00FA4EDF">
      <w:pPr>
        <w:pStyle w:val="Kop3"/>
        <w:divId w:val="982394320"/>
        <w:rPr>
          <w:rFonts w:eastAsia="Times New Roman"/>
          <w:lang w:val="de-DE"/>
        </w:rPr>
      </w:pPr>
      <w:bookmarkStart w:id="82" w:name="_Toc242103118"/>
      <w:r>
        <w:rPr>
          <w:rFonts w:eastAsia="Times New Roman"/>
          <w:lang w:val="de-DE"/>
        </w:rPr>
        <w:t>Teil B – Die dahinterstehende Mechanik</w:t>
      </w:r>
      <w:bookmarkEnd w:id="82"/>
    </w:p>
    <w:p w14:paraId="7BAC23A1" w14:textId="77777777" w:rsidR="00FA4EDF" w:rsidRDefault="00FA4EDF">
      <w:pPr>
        <w:pStyle w:val="Normaalweb"/>
        <w:divId w:val="982394320"/>
        <w:rPr>
          <w:lang w:val="de-DE"/>
        </w:rPr>
      </w:pPr>
      <w:r>
        <w:rPr>
          <w:lang w:val="de-DE"/>
        </w:rPr>
        <w:t>Was die Ergebnisse zu den Zulagen nicht zeigen, ist, was der Bürger tun muss, um zu diesen Ergebnissen zu gelangen. Und was schiefgeht, wenn er es nicht tut oder nicht tun kann.</w:t>
      </w:r>
    </w:p>
    <w:p w14:paraId="15DFD106" w14:textId="77777777" w:rsidR="00FA4EDF" w:rsidRDefault="00FA4EDF">
      <w:pPr>
        <w:pStyle w:val="Kop4"/>
        <w:divId w:val="982394320"/>
        <w:rPr>
          <w:rFonts w:eastAsia="Times New Roman"/>
          <w:lang w:val="de-DE"/>
        </w:rPr>
      </w:pPr>
      <w:r>
        <w:rPr>
          <w:rFonts w:eastAsia="Times New Roman"/>
          <w:lang w:val="de-DE"/>
        </w:rPr>
        <w:t>Das Welteinkommen, das der Bürger eingeben muss</w:t>
      </w:r>
    </w:p>
    <w:p w14:paraId="46629EA2" w14:textId="77777777" w:rsidR="00FA4EDF" w:rsidRDefault="00FA4EDF">
      <w:pPr>
        <w:pStyle w:val="Normaalweb"/>
        <w:divId w:val="982394320"/>
        <w:rPr>
          <w:lang w:val="de-DE"/>
        </w:rPr>
      </w:pPr>
      <w:r>
        <w:rPr>
          <w:lang w:val="de-DE"/>
        </w:rPr>
        <w:t xml:space="preserve">Die niederländische Steuerbehörde verlangt bei der Einkommensteuererklärung die Angabe des </w:t>
      </w:r>
      <w:r>
        <w:rPr>
          <w:rStyle w:val="Zwaar"/>
          <w:lang w:val="de-DE"/>
        </w:rPr>
        <w:t>weltweiten Einkommens</w:t>
      </w:r>
      <w:r>
        <w:rPr>
          <w:lang w:val="de-DE"/>
        </w:rPr>
        <w:t>: also aller Einkünfte, die der Bürger weltweit erzielt hat. Für einen Grenzgänger bedeutet das: das belgische Gehalt, die belgischen Sozialleistungen, die belgischen Vergünstigungen – einfach alles.</w:t>
      </w:r>
    </w:p>
    <w:p w14:paraId="506C8351" w14:textId="77777777" w:rsidR="00FA4EDF" w:rsidRDefault="00FA4EDF">
      <w:pPr>
        <w:pStyle w:val="Normaalweb"/>
        <w:divId w:val="982394320"/>
        <w:rPr>
          <w:lang w:val="de-DE"/>
        </w:rPr>
      </w:pPr>
      <w:r>
        <w:rPr>
          <w:lang w:val="de-DE"/>
        </w:rPr>
        <w:t>Diese Daten werden dem Bürger jedoch nicht automatisch zur Verfügung gestellt. Die belgische Steuerbehörde übermittelt sie nicht an die niederländische Steuerbehörde. Die DAC-Infrastruktur (Richtlinie über die Verwaltungszusammenarbeit) ist für den automatischen Austausch von Einkommensdaten vorgesehen – doch dieser Austausch erfolgt nicht in Echtzeit und ist nicht immer vollständig. Der Bürger muss die Beträge selbst auf der Grundlage seiner eigenen Gehaltsabrechnungen, Leistungsbescheide und seiner Schätz</w:t>
      </w:r>
      <w:r>
        <w:rPr>
          <w:lang w:val="de-DE"/>
        </w:rPr>
        <w:t>ung seines belgischen Einkommens eingeben.</w:t>
      </w:r>
    </w:p>
    <w:p w14:paraId="6DF6ABCA" w14:textId="77777777" w:rsidR="00FA4EDF" w:rsidRDefault="00FA4EDF">
      <w:pPr>
        <w:pStyle w:val="Normaalweb"/>
        <w:divId w:val="982394320"/>
        <w:rPr>
          <w:lang w:val="de-DE"/>
        </w:rPr>
      </w:pPr>
      <w:r>
        <w:rPr>
          <w:lang w:val="de-DE"/>
        </w:rPr>
        <w:t>Die Steuerbehörde legt die Verantwortung ausdrücklich beim Bürger. Was der Bürger angibt, wird als wahr angenommen. Stimmt es nicht, folgt später eine Korrektur. Und im Falle einer Korrektur kann ein Zuschlag zurückgefordert werden.</w:t>
      </w:r>
    </w:p>
    <w:p w14:paraId="2B295DC5" w14:textId="77777777" w:rsidR="00FA4EDF" w:rsidRDefault="00FA4EDF">
      <w:pPr>
        <w:pStyle w:val="Kop4"/>
        <w:divId w:val="982394320"/>
        <w:rPr>
          <w:rFonts w:eastAsia="Times New Roman"/>
          <w:lang w:val="de-DE"/>
        </w:rPr>
      </w:pPr>
      <w:r>
        <w:rPr>
          <w:rFonts w:eastAsia="Times New Roman"/>
          <w:lang w:val="de-DE"/>
        </w:rPr>
        <w:t>Das gemeinsame Einkommen im Vergleich zum Welteinkommen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812E03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CFF0BEE" w14:textId="77777777" w:rsidR="00FA4EDF" w:rsidRDefault="00FA4EDF">
            <w:pPr>
              <w:pStyle w:val="Normaalweb"/>
              <w:spacing w:before="120"/>
              <w:jc w:val="center"/>
              <w:rPr>
                <w:sz w:val="21"/>
                <w:szCs w:val="21"/>
              </w:rPr>
            </w:pPr>
            <w:r>
              <w:rPr>
                <w:noProof/>
                <w:sz w:val="21"/>
                <w:szCs w:val="21"/>
              </w:rPr>
              <w:drawing>
                <wp:inline distT="0" distB="0" distL="0" distR="0" wp14:anchorId="11477071" wp14:editId="5847F778">
                  <wp:extent cx="3810000" cy="1250950"/>
                  <wp:effectExtent l="0" t="0" r="0" b="6350"/>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0F79A09A" w14:textId="77777777" w:rsidR="00FA4EDF" w:rsidRDefault="00FA4EDF">
            <w:pPr>
              <w:pStyle w:val="caption"/>
              <w:spacing w:after="120" w:afterAutospacing="0"/>
            </w:pPr>
            <w:r>
              <w:rPr>
                <w:rStyle w:val="Zwaar"/>
              </w:rPr>
              <w:t>Abbildung XIII.2 – Welteinkommen im Vergleich zum gemeinsamen Einkommen.</w:t>
            </w:r>
            <w:r>
              <w:t xml:space="preserve"> Das belgische Einkommen wird gemäß dem Steuerabkommen in Belgien besteuert und in den Niederlanden steuerfrei gestellt. Für die Zulagen wird es jedoch vollständig als Welteinkommen angerechnet. Ein Euro in Belgien ist nicht dasselbe wie ein Euro in den Niederlanden – andere Kaufkraft, andere soziale Absicherung, andere Kostenstruktur. Im Zulagenmodell wird dieser Unterschied nicht berücksichtigt.</w:t>
            </w:r>
          </w:p>
        </w:tc>
      </w:tr>
    </w:tbl>
    <w:p w14:paraId="1730F853" w14:textId="77777777" w:rsidR="00FA4EDF" w:rsidRDefault="00FA4EDF">
      <w:pPr>
        <w:pStyle w:val="Kop3"/>
        <w:divId w:val="982394320"/>
        <w:rPr>
          <w:rFonts w:eastAsia="Times New Roman"/>
          <w:lang w:val="de-DE"/>
        </w:rPr>
      </w:pPr>
      <w:bookmarkStart w:id="83" w:name="_Toc242103119"/>
      <w:r>
        <w:rPr>
          <w:rFonts w:eastAsia="Times New Roman"/>
          <w:lang w:val="de-DE"/>
        </w:rPr>
        <w:t>Teil C – Die medizinischen Kosten, die auf null gesunken sind</w:t>
      </w:r>
      <w:bookmarkEnd w:id="83"/>
    </w:p>
    <w:p w14:paraId="4CB3472B" w14:textId="77777777" w:rsidR="00FA4EDF" w:rsidRDefault="00FA4EDF">
      <w:pPr>
        <w:pStyle w:val="Normaalweb"/>
        <w:divId w:val="982394320"/>
        <w:rPr>
          <w:lang w:val="de-DE"/>
        </w:rPr>
      </w:pPr>
      <w:r>
        <w:rPr>
          <w:lang w:val="de-DE"/>
        </w:rPr>
        <w:t xml:space="preserve">Der Patient versucht daraufhin, die medizinischen Kosten als </w:t>
      </w:r>
      <w:r>
        <w:rPr>
          <w:rStyle w:val="Zwaar"/>
          <w:lang w:val="de-DE"/>
        </w:rPr>
        <w:t>personenbezogenen Freibetrag</w:t>
      </w:r>
      <w:r>
        <w:rPr>
          <w:lang w:val="de-DE"/>
        </w:rPr>
        <w:t xml:space="preserve"> geltend zu machen. Medizinische Kosten, die einen bestimmten Schwellenwert überschreiten, sind in den Niederlanden vom Einkommen abzugsfähig. Das senkt das zu versteuernde Einkommen – und damit auch die Bemessungsgrundlage für die Zulagen.</w:t>
      </w:r>
    </w:p>
    <w:p w14:paraId="14BE0D3F" w14:textId="77777777" w:rsidR="00FA4EDF" w:rsidRDefault="00FA4EDF">
      <w:pPr>
        <w:pStyle w:val="Normaalweb"/>
        <w:divId w:val="982394320"/>
        <w:rPr>
          <w:lang w:val="de-DE"/>
        </w:rPr>
      </w:pPr>
      <w:r>
        <w:rPr>
          <w:lang w:val="de-DE"/>
        </w:rPr>
        <w:t>Die Strategie ist logisch: Durch den Abzug der medizinischen Kosten sinkt das Anrechnungs-Einkommen, und die Zulagen steigen. Dies ist eine indirekte Möglichkeit, die Familie für die Kosten zu entschädigen, die das System nicht erstattet.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50752F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A0EEE72" w14:textId="77777777" w:rsidR="00FA4EDF" w:rsidRDefault="00FA4EDF">
            <w:pPr>
              <w:pStyle w:val="Normaalweb"/>
              <w:spacing w:before="120"/>
              <w:jc w:val="center"/>
              <w:rPr>
                <w:sz w:val="21"/>
                <w:szCs w:val="21"/>
              </w:rPr>
            </w:pPr>
            <w:r>
              <w:rPr>
                <w:noProof/>
                <w:sz w:val="21"/>
                <w:szCs w:val="21"/>
              </w:rPr>
              <w:drawing>
                <wp:inline distT="0" distB="0" distL="0" distR="0" wp14:anchorId="3AD18A0B" wp14:editId="4CF1188F">
                  <wp:extent cx="3810000" cy="1250950"/>
                  <wp:effectExtent l="0" t="0" r="0" b="6350"/>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09DE6CF9" w14:textId="77777777" w:rsidR="00FA4EDF" w:rsidRDefault="00FA4EDF">
            <w:pPr>
              <w:pStyle w:val="caption"/>
              <w:spacing w:after="120" w:afterAutospacing="0"/>
            </w:pPr>
            <w:r>
              <w:rPr>
                <w:rStyle w:val="Zwaar"/>
              </w:rPr>
              <w:t>Abbildung XIII.3 – Die medizinischen Kosten.</w:t>
            </w:r>
            <w:r>
              <w:t xml:space="preserve"> Der Patient gibt die medizinischen Kosten ein. Das Berechnungsmodell wendet den Freibetrag an. Das Ergebnis ist null. Das Anrechnungs-Einkommen sinkt nicht, die Zulagen bleiben unverändert, und die tatsächlichen Kosten belasten weiterhin die Familie.</w:t>
            </w:r>
          </w:p>
        </w:tc>
      </w:tr>
    </w:tbl>
    <w:p w14:paraId="7506A4A5" w14:textId="77777777" w:rsidR="00FA4EDF" w:rsidRDefault="00FA4EDF">
      <w:pPr>
        <w:pStyle w:val="Kop3"/>
        <w:divId w:val="982394320"/>
        <w:rPr>
          <w:rFonts w:eastAsia="Times New Roman"/>
          <w:lang w:val="de-DE"/>
        </w:rPr>
      </w:pPr>
      <w:bookmarkStart w:id="84" w:name="_Toc242103120"/>
      <w:r>
        <w:rPr>
          <w:rFonts w:eastAsia="Times New Roman"/>
          <w:lang w:val="de-DE"/>
        </w:rPr>
        <w:t>Teil D – Die Verantwortung der Bürger</w:t>
      </w:r>
      <w:bookmarkEnd w:id="84"/>
    </w:p>
    <w:p w14:paraId="1AE742C2" w14:textId="77777777" w:rsidR="00FA4EDF" w:rsidRDefault="00FA4EDF">
      <w:pPr>
        <w:pStyle w:val="Normaalweb"/>
        <w:divId w:val="982394320"/>
        <w:rPr>
          <w:lang w:val="de-DE"/>
        </w:rPr>
      </w:pPr>
      <w:r>
        <w:rPr>
          <w:lang w:val="de-DE"/>
        </w:rPr>
        <w:t>Die Steuerbehörde betont immer wieder, dass die Verantwortung für die Richtigkeit der Steuererklärung beim Bürger liegt. Der Bürger muss:</w:t>
      </w:r>
    </w:p>
    <w:p w14:paraId="34F8C6D9" w14:textId="77777777" w:rsidR="00FA4EDF" w:rsidRDefault="00FA4EDF">
      <w:pPr>
        <w:numPr>
          <w:ilvl w:val="0"/>
          <w:numId w:val="16"/>
        </w:numPr>
        <w:spacing w:before="100" w:beforeAutospacing="1" w:after="100" w:afterAutospacing="1"/>
        <w:divId w:val="982394320"/>
        <w:rPr>
          <w:rFonts w:eastAsia="Times New Roman"/>
          <w:lang w:val="de-DE"/>
        </w:rPr>
      </w:pPr>
      <w:r>
        <w:rPr>
          <w:rFonts w:eastAsia="Times New Roman"/>
          <w:lang w:val="de-DE"/>
        </w:rPr>
        <w:t>Das Welteinkommen eingeben, einschließlich ausländischer Komponenten, die ihm nicht automatisch zur Verfügung gestellt werden.</w:t>
      </w:r>
    </w:p>
    <w:p w14:paraId="46F1396A" w14:textId="77777777" w:rsidR="00FA4EDF" w:rsidRDefault="00FA4EDF">
      <w:pPr>
        <w:numPr>
          <w:ilvl w:val="0"/>
          <w:numId w:val="16"/>
        </w:numPr>
        <w:spacing w:before="100" w:beforeAutospacing="1" w:after="100" w:afterAutospacing="1"/>
        <w:divId w:val="982394320"/>
        <w:rPr>
          <w:rFonts w:eastAsia="Times New Roman"/>
          <w:lang w:val="de-DE"/>
        </w:rPr>
      </w:pPr>
      <w:r>
        <w:rPr>
          <w:rFonts w:eastAsia="Times New Roman"/>
          <w:lang w:val="de-DE"/>
        </w:rPr>
        <w:t>Die Richtigkeit der von ihm selbst geschätzten Beträge nachweisen.</w:t>
      </w:r>
    </w:p>
    <w:p w14:paraId="2F347565" w14:textId="77777777" w:rsidR="00FA4EDF" w:rsidRDefault="00FA4EDF">
      <w:pPr>
        <w:numPr>
          <w:ilvl w:val="0"/>
          <w:numId w:val="16"/>
        </w:numPr>
        <w:spacing w:before="100" w:beforeAutospacing="1" w:after="100" w:afterAutospacing="1"/>
        <w:divId w:val="982394320"/>
        <w:rPr>
          <w:rFonts w:eastAsia="Times New Roman"/>
          <w:lang w:val="de-DE"/>
        </w:rPr>
      </w:pPr>
      <w:r>
        <w:rPr>
          <w:rFonts w:eastAsia="Times New Roman"/>
          <w:lang w:val="de-DE"/>
        </w:rPr>
        <w:t>Die Folgen von Fehlern tragen, einschließlich der Rückforderung von Zulagen.</w:t>
      </w:r>
    </w:p>
    <w:p w14:paraId="0A886E06" w14:textId="77777777" w:rsidR="00FA4EDF" w:rsidRDefault="00FA4EDF">
      <w:pPr>
        <w:numPr>
          <w:ilvl w:val="0"/>
          <w:numId w:val="16"/>
        </w:numPr>
        <w:spacing w:before="100" w:beforeAutospacing="1" w:after="100" w:afterAutospacing="1"/>
        <w:divId w:val="982394320"/>
        <w:rPr>
          <w:rFonts w:eastAsia="Times New Roman"/>
          <w:lang w:val="de-DE"/>
        </w:rPr>
      </w:pPr>
      <w:r>
        <w:rPr>
          <w:rFonts w:eastAsia="Times New Roman"/>
          <w:lang w:val="de-DE"/>
        </w:rPr>
        <w:t>Selbst überprüfen, ob der automatische Datenaustausch zwischen Belgien und den Niederlanden funktioniert hat.</w:t>
      </w:r>
    </w:p>
    <w:p w14:paraId="2EF196DA" w14:textId="77777777" w:rsidR="00FA4EDF" w:rsidRDefault="00FA4EDF">
      <w:pPr>
        <w:numPr>
          <w:ilvl w:val="0"/>
          <w:numId w:val="16"/>
        </w:numPr>
        <w:spacing w:before="100" w:beforeAutospacing="1" w:after="100" w:afterAutospacing="1"/>
        <w:divId w:val="982394320"/>
        <w:rPr>
          <w:rFonts w:eastAsia="Times New Roman"/>
          <w:lang w:val="de-DE"/>
        </w:rPr>
      </w:pPr>
      <w:r>
        <w:rPr>
          <w:rFonts w:eastAsia="Times New Roman"/>
          <w:lang w:val="de-DE"/>
        </w:rPr>
        <w:t>Die DAC-Protokolldateien selbst abrufen, um zu überprüfen, was ausgetauscht wurde.</w:t>
      </w:r>
    </w:p>
    <w:p w14:paraId="0534E54B" w14:textId="77777777" w:rsidR="00FA4EDF" w:rsidRDefault="00FA4EDF">
      <w:pPr>
        <w:pStyle w:val="Normaalweb"/>
        <w:divId w:val="982394320"/>
        <w:rPr>
          <w:lang w:val="de-DE"/>
        </w:rPr>
      </w:pPr>
      <w:r>
        <w:rPr>
          <w:lang w:val="de-DE"/>
        </w:rPr>
        <w:t>Und wenn der automatische Datenaustausch nicht funktioniert hat – wenn Belgien die Daten nicht übermittelt hat oder wenn die Niederlande sie nicht verarbeitet haben –, ist das kein Grund, die Steuererklärung aufzuschieben. Der Bürger muss das selbst regeln.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9A7F248"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4D1548" w14:textId="77777777" w:rsidR="00FA4EDF" w:rsidRDefault="00FA4EDF">
            <w:pPr>
              <w:pStyle w:val="Normaalweb"/>
              <w:spacing w:before="120"/>
              <w:jc w:val="center"/>
              <w:rPr>
                <w:sz w:val="21"/>
                <w:szCs w:val="21"/>
              </w:rPr>
            </w:pPr>
            <w:r>
              <w:rPr>
                <w:noProof/>
                <w:sz w:val="21"/>
                <w:szCs w:val="21"/>
              </w:rPr>
              <w:drawing>
                <wp:inline distT="0" distB="0" distL="0" distR="0" wp14:anchorId="6A99041B" wp14:editId="4AF8FC3A">
                  <wp:extent cx="3810000" cy="1104900"/>
                  <wp:effectExtent l="0" t="0" r="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7D365D58" w14:textId="77777777" w:rsidR="00FA4EDF" w:rsidRDefault="00FA4EDF">
            <w:pPr>
              <w:pStyle w:val="caption"/>
              <w:spacing w:after="120" w:afterAutospacing="0"/>
            </w:pPr>
            <w:r>
              <w:t>Die Steuerbehörde überträgt die Verantwortung für die Richtigkeit der Angaben auf den Bürger. Der Bürger kann jedoch nicht immer die richtigen Daten ermitteln, da der automatische Datenaustausch zwischen Belgien und den Niederlanden nicht vollständig ist. Das System wälzt das Risiko eines Verwaltungsfehlers auf denjenigen ab, der am wenigsten dafür verantwortlich ist.</w:t>
            </w:r>
          </w:p>
        </w:tc>
      </w:tr>
    </w:tbl>
    <w:p w14:paraId="2B066AA1" w14:textId="77777777" w:rsidR="00FA4EDF" w:rsidRDefault="00FA4EDF">
      <w:pPr>
        <w:pStyle w:val="Kop3"/>
        <w:divId w:val="982394320"/>
        <w:rPr>
          <w:rFonts w:eastAsia="Times New Roman"/>
          <w:lang w:val="de-DE"/>
        </w:rPr>
      </w:pPr>
      <w:bookmarkStart w:id="85" w:name="_Toc242103121"/>
      <w:r>
        <w:rPr>
          <w:rFonts w:eastAsia="Times New Roman"/>
          <w:lang w:val="de-DE"/>
        </w:rPr>
        <w:t>Teil E – Was das bringt</w:t>
      </w:r>
      <w:bookmarkEnd w:id="85"/>
    </w:p>
    <w:p w14:paraId="30357E5A" w14:textId="77777777" w:rsidR="00FA4EDF" w:rsidRDefault="00FA4EDF">
      <w:pPr>
        <w:pStyle w:val="Normaalweb"/>
        <w:divId w:val="982394320"/>
        <w:rPr>
          <w:lang w:val="de-DE"/>
        </w:rPr>
      </w:pPr>
      <w:r>
        <w:rPr>
          <w:lang w:val="de-DE"/>
        </w:rPr>
        <w:t>Drei Zulagen, drei Ergebnisse. Eine vollständig gesperrt, eine teilweise, eine funktioniert. Und in der Steuererklärung selbst wird der Bürger aufgefordert, ein Einkommen anzugeben, das er nicht berechnen kann, wobei die Verantwortung für die Richtigkeit bei ihm selbst liegt und eine Neuberechnung automatisch erfolgt, sobald die Steuerbehörde die tatsächlichen Zahlen vorliegen hat.</w:t>
      </w:r>
    </w:p>
    <w:p w14:paraId="0F3D10B3" w14:textId="77777777" w:rsidR="00FA4EDF" w:rsidRDefault="00FA4EDF">
      <w:pPr>
        <w:pStyle w:val="Normaalweb"/>
        <w:divId w:val="982394320"/>
        <w:rPr>
          <w:lang w:val="de-DE"/>
        </w:rPr>
      </w:pPr>
      <w:r>
        <w:rPr>
          <w:lang w:val="de-DE"/>
        </w:rPr>
        <w:t>Was sich hier abzeichnet, ist ein Muster, das sich durch die gesamte Akte zieht. Das System verfügt über die Instrumente, die Gesetze und die Absichten, den Bürger zu unterstützen. Aber das System interpretiert die Realität nicht so, wie der Bürger sie erlebt. Die Zulagen werden auf der Grundlage eines Referenzeinkommens berechnet, bei dem ein belgischer Euro wie ein niederländischer Euro behandelt wird. Die medizinischen Kosten werden erfasst, führen jedoch zu keinem Abzug. Und der Bürger ist selbst für di</w:t>
      </w:r>
      <w:r>
        <w:rPr>
          <w:lang w:val="de-DE"/>
        </w:rPr>
        <w:t>e Richtigkeit eines Einkommens verantwortlich, das er nicht kennt.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58588938"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34B659E0"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Bei grenzüberschreitenden Einkünften und Zulagen sind drei Dinge wichtig: </w:t>
            </w:r>
          </w:p>
          <w:p w14:paraId="52A2BEB7" w14:textId="77777777" w:rsidR="00FA4EDF" w:rsidRDefault="00FA4EDF">
            <w:pPr>
              <w:numPr>
                <w:ilvl w:val="0"/>
                <w:numId w:val="17"/>
              </w:numPr>
              <w:spacing w:before="100" w:beforeAutospacing="1" w:after="100" w:afterAutospacing="1"/>
              <w:rPr>
                <w:rFonts w:eastAsia="Times New Roman"/>
                <w:szCs w:val="22"/>
              </w:rPr>
            </w:pPr>
            <w:r>
              <w:rPr>
                <w:rFonts w:eastAsia="Times New Roman"/>
                <w:szCs w:val="22"/>
              </w:rPr>
              <w:t>Fordern Sie bei der belgischen Steuerbehörde eine Übersicht über das Jahreseinkommen an und geben Sie diese in der niederländischen Steuererklärung an. Bewahren Sie alle Unterlagen auf.</w:t>
            </w:r>
          </w:p>
          <w:p w14:paraId="487B523D" w14:textId="77777777" w:rsidR="00FA4EDF" w:rsidRDefault="00FA4EDF">
            <w:pPr>
              <w:numPr>
                <w:ilvl w:val="0"/>
                <w:numId w:val="17"/>
              </w:numPr>
              <w:spacing w:before="100" w:beforeAutospacing="1" w:after="100" w:afterAutospacing="1"/>
              <w:rPr>
                <w:rFonts w:eastAsia="Times New Roman"/>
                <w:szCs w:val="22"/>
              </w:rPr>
            </w:pPr>
            <w:r>
              <w:rPr>
                <w:rFonts w:eastAsia="Times New Roman"/>
                <w:szCs w:val="22"/>
              </w:rPr>
              <w:t>Beantragen Sie eine Fristverlängerung, wenn die Angaben noch nicht vollständig sind – das verlängert die Frist, nicht aber die Verantwortung.</w:t>
            </w:r>
          </w:p>
          <w:p w14:paraId="3E0ECD3F" w14:textId="77777777" w:rsidR="00FA4EDF" w:rsidRDefault="00FA4EDF">
            <w:pPr>
              <w:numPr>
                <w:ilvl w:val="0"/>
                <w:numId w:val="17"/>
              </w:numPr>
              <w:spacing w:before="100" w:beforeAutospacing="1" w:after="100" w:afterAutospacing="1"/>
              <w:rPr>
                <w:rFonts w:eastAsia="Times New Roman"/>
                <w:szCs w:val="22"/>
              </w:rPr>
            </w:pPr>
            <w:r>
              <w:rPr>
                <w:rFonts w:eastAsia="Times New Roman"/>
                <w:szCs w:val="22"/>
              </w:rPr>
              <w:t>Wenn die Zulagen neu berechnet oder zurückgefordert werden: Legen Sie auf der Grundlage der tatsächlichen Zahlen und mit Belegen Widerspruch ein. Begründen Sie den Widerspruch damit, dass das zu berücksichtigende Einkommen nicht korrekt ermittelt wurde.</w:t>
            </w:r>
          </w:p>
          <w:p w14:paraId="58E4B09E" w14:textId="77777777" w:rsidR="00FA4EDF" w:rsidRDefault="00FA4EDF">
            <w:pPr>
              <w:spacing w:after="0"/>
              <w:rPr>
                <w:rFonts w:eastAsia="Times New Roman"/>
                <w:szCs w:val="22"/>
              </w:rPr>
            </w:pPr>
            <w:r>
              <w:rPr>
                <w:rFonts w:eastAsia="Times New Roman"/>
                <w:szCs w:val="22"/>
              </w:rPr>
              <w:t xml:space="preserve">Speziell zum Pflegezuschlag: Die Sperre liegt bei der CZ (RIV-Registrierung), nicht beim Dienst Toeslagen. Eine manuelle Korrektur über die CZ-Abrechnungen und den Nachweis über die gezahlte Selbstbeteiligung ist der Weg, um die Sperre aufzuheben. </w:t>
            </w:r>
          </w:p>
        </w:tc>
      </w:tr>
    </w:tbl>
    <w:p w14:paraId="579511CB" w14:textId="77777777" w:rsidR="00FA4EDF" w:rsidRDefault="00FA4EDF">
      <w:pPr>
        <w:pStyle w:val="noot"/>
        <w:spacing w:after="120" w:afterAutospacing="0"/>
        <w:divId w:val="982394320"/>
        <w:rPr>
          <w:lang w:val="de-DE"/>
        </w:rPr>
      </w:pPr>
      <w:r>
        <w:rPr>
          <w:lang w:val="de-DE"/>
        </w:rPr>
        <w:t>Alle Organisationen in diesem Kapitel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Die Angaben basieren auf Dokument B. Dieses Kapitel stellt keine steuerliche oder rechtliche Beratung dar. F</w:t>
      </w:r>
      <w:r>
        <w:rPr>
          <w:rFonts w:cs="Aptos"/>
          <w:lang w:val="de-DE"/>
        </w:rPr>
        <w:t>ü</w:t>
      </w:r>
      <w:r>
        <w:rPr>
          <w:lang w:val="de-DE"/>
        </w:rPr>
        <w:t>r die genauen Betr</w:t>
      </w:r>
      <w:r>
        <w:rPr>
          <w:rFonts w:cs="Aptos"/>
          <w:lang w:val="de-DE"/>
        </w:rPr>
        <w:t>ä</w:t>
      </w:r>
      <w:r>
        <w:rPr>
          <w:lang w:val="de-DE"/>
        </w:rPr>
        <w:t>ge und Bedingungen wenden Sie sich bitte an das Finanzamt oder einen Steuerberater.</w:t>
      </w:r>
    </w:p>
    <w:p w14:paraId="645D0DD1" w14:textId="77777777" w:rsidR="00FA4EDF" w:rsidRDefault="00FA4EDF">
      <w:pPr>
        <w:pStyle w:val="marker"/>
        <w:ind w:left="800" w:right="800"/>
        <w:divId w:val="982394320"/>
        <w:rPr>
          <w:lang w:val="de-DE"/>
        </w:rPr>
      </w:pPr>
      <w:r>
        <w:br w:type="page"/>
      </w:r>
    </w:p>
    <w:p w14:paraId="67E16874" w14:textId="77777777" w:rsidR="00FA4EDF" w:rsidRDefault="00FA4EDF">
      <w:pPr>
        <w:pStyle w:val="Kop1"/>
        <w:divId w:val="982394320"/>
        <w:rPr>
          <w:rFonts w:eastAsia="Times New Roman"/>
          <w:lang w:val="de-DE"/>
        </w:rPr>
      </w:pPr>
      <w:bookmarkStart w:id="86" w:name="_Toc242103122"/>
      <w:r>
        <w:rPr>
          <w:rFonts w:eastAsia="Times New Roman"/>
          <w:lang w:val="de-DE"/>
        </w:rPr>
        <w:t>IV. Hin und her</w:t>
      </w:r>
      <w:bookmarkEnd w:id="86"/>
    </w:p>
    <w:p w14:paraId="4D711B0F" w14:textId="77777777" w:rsidR="00FA4EDF" w:rsidRDefault="00FA4EDF">
      <w:pPr>
        <w:pStyle w:val="Kop2"/>
        <w:divId w:val="982394320"/>
        <w:rPr>
          <w:rFonts w:eastAsia="Times New Roman"/>
          <w:lang w:val="de-DE"/>
        </w:rPr>
      </w:pPr>
      <w:bookmarkStart w:id="87" w:name="_Toc242103123"/>
      <w:r>
        <w:rPr>
          <w:rFonts w:eastAsia="Times New Roman"/>
          <w:lang w:val="de-DE"/>
        </w:rPr>
        <w:t>Das manuelle U1-Problem</w:t>
      </w:r>
      <w:bookmarkEnd w:id="87"/>
    </w:p>
    <w:p w14:paraId="0727DE07" w14:textId="77777777" w:rsidR="00FA4EDF" w:rsidRDefault="00FA4EDF">
      <w:pPr>
        <w:pStyle w:val="lead"/>
        <w:divId w:val="982394320"/>
        <w:rPr>
          <w:lang w:val="de-DE"/>
        </w:rPr>
      </w:pPr>
      <w:r>
        <w:rPr>
          <w:lang w:val="de-DE"/>
        </w:rPr>
        <w:t>Das PD U1 ist der europäische Nachweis über den beruflichen Werdegang einer Person. Ein Grenzgänger benötigt es in beide Richtungen: um seine in Belgien zurückgelegten Jahre in den Niederlanden anrechnen zu lassen und um seine in den Niederlanden zurückgelegten Jahre in Belgien anrechnen zu lassen. In beiden Richtungen erfolgt die Übertragung manuell. Und der ESSPASS wird dieses Problem bis 2030 nicht lösen, da der Bürger weiterhin das Bindeglied bleibt.</w:t>
      </w:r>
    </w:p>
    <w:p w14:paraId="1F7D6246" w14:textId="77777777" w:rsidR="00FA4EDF" w:rsidRDefault="00FA4EDF">
      <w:pPr>
        <w:pStyle w:val="Kop3"/>
        <w:divId w:val="982394320"/>
        <w:rPr>
          <w:rFonts w:eastAsia="Times New Roman"/>
          <w:lang w:val="de-DE"/>
        </w:rPr>
      </w:pPr>
      <w:bookmarkStart w:id="88" w:name="_Toc242103124"/>
      <w:r>
        <w:rPr>
          <w:rFonts w:eastAsia="Times New Roman"/>
          <w:lang w:val="de-DE"/>
        </w:rPr>
        <w:t>Die beiden Richtungen</w:t>
      </w:r>
      <w:bookmarkEnd w:id="88"/>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88B7790"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82FE5F5" w14:textId="77777777" w:rsidR="00FA4EDF" w:rsidRDefault="00FA4EDF">
            <w:pPr>
              <w:pStyle w:val="Normaalweb"/>
              <w:spacing w:before="120"/>
              <w:jc w:val="center"/>
              <w:rPr>
                <w:sz w:val="21"/>
                <w:szCs w:val="21"/>
              </w:rPr>
            </w:pPr>
            <w:r>
              <w:rPr>
                <w:noProof/>
                <w:sz w:val="21"/>
                <w:szCs w:val="21"/>
              </w:rPr>
              <w:drawing>
                <wp:inline distT="0" distB="0" distL="0" distR="0" wp14:anchorId="1C081CD2" wp14:editId="0725AA0A">
                  <wp:extent cx="3810000" cy="1270000"/>
                  <wp:effectExtent l="0" t="0" r="0" b="635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810000" cy="1270000"/>
                          </a:xfrm>
                          <a:prstGeom prst="rect">
                            <a:avLst/>
                          </a:prstGeom>
                          <a:noFill/>
                          <a:ln>
                            <a:noFill/>
                          </a:ln>
                        </pic:spPr>
                      </pic:pic>
                    </a:graphicData>
                  </a:graphic>
                </wp:inline>
              </w:drawing>
            </w:r>
          </w:p>
          <w:p w14:paraId="5095A944" w14:textId="77777777" w:rsidR="00FA4EDF" w:rsidRDefault="00FA4EDF">
            <w:pPr>
              <w:pStyle w:val="caption"/>
              <w:spacing w:after="120" w:afterAutospacing="0"/>
            </w:pPr>
            <w:r>
              <w:rPr>
                <w:rStyle w:val="Zwaar"/>
              </w:rPr>
              <w:t>Abbildung VIII.1 – Zwei Richtungen.</w:t>
            </w:r>
            <w:r>
              <w:t xml:space="preserve"> Richtung 1 funktioniert: Die LfA übermittelt das PD U1 für den belgischen Werdegang an das UWV. Richtung 2 ist blockiert: Das UWV übermittelt das PD U1 für den niederländischen Werdegang, aber die LfA weigert sich, ausländische Werdangsdaten in ihr System zu integrieren. In beiden Richtungen muss der Bürger das Dokument selbst von einer Behörde zur anderen bringen.</w:t>
            </w:r>
          </w:p>
        </w:tc>
      </w:tr>
    </w:tbl>
    <w:p w14:paraId="39768B55" w14:textId="77777777" w:rsidR="00FA4EDF" w:rsidRDefault="00FA4EDF">
      <w:pPr>
        <w:pStyle w:val="Kop3"/>
        <w:divId w:val="982394320"/>
        <w:rPr>
          <w:rFonts w:eastAsia="Times New Roman"/>
          <w:lang w:val="de-DE"/>
        </w:rPr>
      </w:pPr>
      <w:bookmarkStart w:id="89" w:name="_Toc242103125"/>
      <w:r>
        <w:rPr>
          <w:rFonts w:eastAsia="Times New Roman"/>
          <w:lang w:val="de-DE"/>
        </w:rPr>
        <w:t>Richtung 1 – Von Belgien in die Niederlande</w:t>
      </w:r>
      <w:bookmarkEnd w:id="89"/>
    </w:p>
    <w:p w14:paraId="13CC0251" w14:textId="77777777" w:rsidR="00FA4EDF" w:rsidRDefault="00FA4EDF">
      <w:pPr>
        <w:pStyle w:val="Normaalweb"/>
        <w:divId w:val="982394320"/>
        <w:rPr>
          <w:lang w:val="de-DE"/>
        </w:rPr>
      </w:pPr>
      <w:r>
        <w:rPr>
          <w:lang w:val="de-DE"/>
        </w:rPr>
        <w:t>Der Bürger hat 21 Jahre lang in Belgien gearbeitet. Um Anspruch auf niederländische Leistungen zu haben, muss diese belgische Beschäftigungszeit im niederländischen System nachweisbar sein. Die LfA übermittelt dazu das Formular PD U1 an das UWV.</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A9443AD"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818704" w14:textId="77777777" w:rsidR="00FA4EDF" w:rsidRDefault="00FA4EDF">
            <w:pPr>
              <w:pStyle w:val="Normaalweb"/>
              <w:spacing w:before="120"/>
              <w:jc w:val="center"/>
              <w:rPr>
                <w:sz w:val="21"/>
                <w:szCs w:val="21"/>
              </w:rPr>
            </w:pPr>
            <w:r>
              <w:rPr>
                <w:noProof/>
                <w:sz w:val="21"/>
                <w:szCs w:val="21"/>
              </w:rPr>
              <w:drawing>
                <wp:inline distT="0" distB="0" distL="0" distR="0" wp14:anchorId="6B73CDF1" wp14:editId="16D8684A">
                  <wp:extent cx="3810000" cy="901700"/>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482550A9" w14:textId="77777777" w:rsidR="00FA4EDF" w:rsidRDefault="00FA4EDF">
            <w:pPr>
              <w:pStyle w:val="caption"/>
              <w:spacing w:after="120" w:afterAutospacing="0"/>
            </w:pPr>
            <w:r>
              <w:t>Die LfA stellt drei PD-U1-Formulare zur Verfügung. Beim Vergleich stellt sich heraus, dass fünf Zeiträume fehlen – studentische Tätigkeiten aus dem Jahr 1999, Lücken in den Jahren 2001–2002 sowie Übergangszeiträume. Der Bürger beantragt die ergänzenden Bescheinigungen selbst. Erst nach manueller Ergänzung ist die Akte vollständig. Die Verwaltung funktioniert, aber ausschließlich deshalb, weil der Bürger die Lücken selbst entdeckt und schließt.</w:t>
            </w:r>
          </w:p>
        </w:tc>
      </w:tr>
    </w:tbl>
    <w:p w14:paraId="04F52D5A" w14:textId="77777777" w:rsidR="00FA4EDF" w:rsidRDefault="00FA4EDF">
      <w:pPr>
        <w:pStyle w:val="Kop3"/>
        <w:divId w:val="982394320"/>
        <w:rPr>
          <w:rFonts w:eastAsia="Times New Roman"/>
          <w:lang w:val="de-DE"/>
        </w:rPr>
      </w:pPr>
      <w:bookmarkStart w:id="90" w:name="_Toc242103126"/>
      <w:r>
        <w:rPr>
          <w:rFonts w:eastAsia="Times New Roman"/>
          <w:lang w:val="de-DE"/>
        </w:rPr>
        <w:t>Richtung 2 – Von den Niederlanden nach Belgien</w:t>
      </w:r>
      <w:bookmarkEnd w:id="90"/>
    </w:p>
    <w:p w14:paraId="4CD97F94" w14:textId="77777777" w:rsidR="00FA4EDF" w:rsidRDefault="00FA4EDF">
      <w:pPr>
        <w:pStyle w:val="Normaalweb"/>
        <w:divId w:val="982394320"/>
        <w:rPr>
          <w:lang w:val="de-DE"/>
        </w:rPr>
      </w:pPr>
      <w:r>
        <w:rPr>
          <w:lang w:val="de-DE"/>
        </w:rPr>
        <w:t>Der Bürger hat außerdem acht Monate in den Niederlanden gearbeitet. Um Anspruch auf belgische Leistungen zu haben, muss diese niederländische Beschäftigungszeit im belgischen System nachweisbar sein. Das UWV stellt hierfür das Formular PD U1 aus. Die LfA weigert sich jedoch, ausländische Beschäftigungsdaten in ihr System zu integrieren.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2B32F8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F003F36" w14:textId="77777777" w:rsidR="00FA4EDF" w:rsidRDefault="00FA4EDF">
            <w:pPr>
              <w:pStyle w:val="Normaalweb"/>
              <w:spacing w:before="120"/>
              <w:jc w:val="center"/>
              <w:rPr>
                <w:sz w:val="21"/>
                <w:szCs w:val="21"/>
              </w:rPr>
            </w:pPr>
            <w:r>
              <w:rPr>
                <w:noProof/>
                <w:sz w:val="21"/>
                <w:szCs w:val="21"/>
              </w:rPr>
              <w:drawing>
                <wp:inline distT="0" distB="0" distL="0" distR="0" wp14:anchorId="13EACF01" wp14:editId="7646D7F9">
                  <wp:extent cx="3810000" cy="1104900"/>
                  <wp:effectExtent l="0" t="0" r="0" b="0"/>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5785CA6A" w14:textId="77777777" w:rsidR="00FA4EDF" w:rsidRDefault="00FA4EDF">
            <w:pPr>
              <w:pStyle w:val="caption"/>
              <w:spacing w:after="120" w:afterAutospacing="0"/>
            </w:pPr>
            <w:r>
              <w:t>Das UWV stellt ein PD U1 für die 8 niederländischen Monate zur Verfügung. Die LfA weigert sich, diese Daten in ihr System zu integrieren: Die Behörde versteht sich als Absender, nicht als Empfänger. Die einzige Lösung besteht darin, dass der Bürger die niederländischen Berufsdaten manuell in das Portal einer anderen belgischen Bundesbehörde (FÖD Soziale Sicherheit) eingibt, die die Daten anschließend in MyCareer überträgt.</w:t>
            </w:r>
          </w:p>
        </w:tc>
      </w:tr>
    </w:tbl>
    <w:p w14:paraId="6F325063" w14:textId="77777777" w:rsidR="00FA4EDF" w:rsidRDefault="00FA4EDF">
      <w:pPr>
        <w:pStyle w:val="Kop3"/>
        <w:divId w:val="982394320"/>
        <w:rPr>
          <w:rFonts w:eastAsia="Times New Roman"/>
          <w:lang w:val="de-DE"/>
        </w:rPr>
      </w:pPr>
      <w:bookmarkStart w:id="91" w:name="_Toc242103127"/>
      <w:r>
        <w:rPr>
          <w:rFonts w:eastAsia="Times New Roman"/>
          <w:lang w:val="de-DE"/>
        </w:rPr>
        <w:t>Das Muster</w:t>
      </w:r>
      <w:bookmarkEnd w:id="91"/>
    </w:p>
    <w:tbl>
      <w:tblPr>
        <w:tblW w:w="5000" w:type="pct"/>
        <w:tblCellMar>
          <w:top w:w="15" w:type="dxa"/>
          <w:left w:w="15" w:type="dxa"/>
          <w:bottom w:w="15" w:type="dxa"/>
          <w:right w:w="15" w:type="dxa"/>
        </w:tblCellMar>
        <w:tblLook w:val="04A0" w:firstRow="1" w:lastRow="0" w:firstColumn="1" w:lastColumn="0" w:noHBand="0" w:noVBand="1"/>
      </w:tblPr>
      <w:tblGrid>
        <w:gridCol w:w="1992"/>
        <w:gridCol w:w="3532"/>
        <w:gridCol w:w="3532"/>
      </w:tblGrid>
      <w:tr w:rsidR="00000000" w14:paraId="00FFF6A1" w14:textId="77777777">
        <w:trPr>
          <w:divId w:val="982394320"/>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7842CEB6"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Aspekt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360119EC"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Richtung 1 — BE → NL</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634C4BAC"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Richtung 2 — NL → BE</w:t>
            </w:r>
          </w:p>
        </w:tc>
      </w:tr>
      <w:tr w:rsidR="00000000" w14:paraId="4F14564D"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A53C9A" w14:textId="77777777" w:rsidR="00FA4EDF" w:rsidRDefault="00FA4EDF">
            <w:pPr>
              <w:spacing w:before="200" w:after="360"/>
              <w:rPr>
                <w:rFonts w:eastAsia="Times New Roman"/>
                <w:sz w:val="21"/>
                <w:szCs w:val="21"/>
              </w:rPr>
            </w:pPr>
            <w:r>
              <w:rPr>
                <w:rStyle w:val="Zwaar"/>
                <w:rFonts w:eastAsia="Times New Roman"/>
                <w:sz w:val="21"/>
                <w:szCs w:val="21"/>
              </w:rPr>
              <w:t>Herausgeber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C12D00A" w14:textId="77777777" w:rsidR="00FA4EDF" w:rsidRDefault="00FA4EDF">
            <w:pPr>
              <w:spacing w:before="200" w:after="360"/>
              <w:rPr>
                <w:rFonts w:eastAsia="Times New Roman"/>
                <w:sz w:val="21"/>
                <w:szCs w:val="21"/>
              </w:rPr>
            </w:pPr>
            <w:r>
              <w:rPr>
                <w:rFonts w:eastAsia="Times New Roman"/>
                <w:sz w:val="21"/>
                <w:szCs w:val="21"/>
              </w:rPr>
              <w:t>LfA (Antwerpen)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8C3EAD2" w14:textId="77777777" w:rsidR="00FA4EDF" w:rsidRDefault="00FA4EDF">
            <w:pPr>
              <w:spacing w:before="200" w:after="360"/>
              <w:rPr>
                <w:rFonts w:eastAsia="Times New Roman"/>
                <w:sz w:val="21"/>
                <w:szCs w:val="21"/>
              </w:rPr>
            </w:pPr>
            <w:r>
              <w:rPr>
                <w:rFonts w:eastAsia="Times New Roman"/>
                <w:sz w:val="21"/>
                <w:szCs w:val="21"/>
              </w:rPr>
              <w:t>UWV</w:t>
            </w:r>
          </w:p>
        </w:tc>
      </w:tr>
      <w:tr w:rsidR="00000000" w14:paraId="4A9EAA57"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A3FA3E9" w14:textId="77777777" w:rsidR="00FA4EDF" w:rsidRDefault="00FA4EDF">
            <w:pPr>
              <w:spacing w:before="200" w:after="360"/>
              <w:rPr>
                <w:rFonts w:eastAsia="Times New Roman"/>
                <w:sz w:val="21"/>
                <w:szCs w:val="21"/>
              </w:rPr>
            </w:pPr>
            <w:r>
              <w:rPr>
                <w:rStyle w:val="Zwaar"/>
                <w:rFonts w:eastAsia="Times New Roman"/>
                <w:sz w:val="21"/>
                <w:szCs w:val="21"/>
              </w:rPr>
              <w:t>Empfangsstelle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7FF69D" w14:textId="77777777" w:rsidR="00FA4EDF" w:rsidRDefault="00FA4EDF">
            <w:pPr>
              <w:spacing w:before="200" w:after="360"/>
              <w:rPr>
                <w:rFonts w:eastAsia="Times New Roman"/>
                <w:sz w:val="21"/>
                <w:szCs w:val="21"/>
              </w:rPr>
            </w:pPr>
            <w:r>
              <w:rPr>
                <w:rFonts w:eastAsia="Times New Roman"/>
                <w:sz w:val="21"/>
                <w:szCs w:val="21"/>
              </w:rPr>
              <w:t>UWV</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624BE21" w14:textId="77777777" w:rsidR="00FA4EDF" w:rsidRDefault="00FA4EDF">
            <w:pPr>
              <w:spacing w:before="200" w:after="360"/>
              <w:rPr>
                <w:rFonts w:eastAsia="Times New Roman"/>
                <w:sz w:val="21"/>
                <w:szCs w:val="21"/>
              </w:rPr>
            </w:pPr>
            <w:r>
              <w:rPr>
                <w:rFonts w:eastAsia="Times New Roman"/>
                <w:sz w:val="21"/>
                <w:szCs w:val="21"/>
              </w:rPr>
              <w:t>LfA</w:t>
            </w:r>
          </w:p>
        </w:tc>
      </w:tr>
      <w:tr w:rsidR="00000000" w14:paraId="51CE8D51"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3F9A7D8" w14:textId="77777777" w:rsidR="00FA4EDF" w:rsidRDefault="00FA4EDF">
            <w:pPr>
              <w:spacing w:before="200" w:after="360"/>
              <w:rPr>
                <w:rFonts w:eastAsia="Times New Roman"/>
                <w:sz w:val="21"/>
                <w:szCs w:val="21"/>
              </w:rPr>
            </w:pPr>
            <w:r>
              <w:rPr>
                <w:rStyle w:val="Zwaar"/>
                <w:rFonts w:eastAsia="Times New Roman"/>
                <w:sz w:val="21"/>
                <w:szCs w:val="21"/>
              </w:rPr>
              <w:t>Dauer der beruflichen Laufbahn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A8D3F2" w14:textId="77777777" w:rsidR="00FA4EDF" w:rsidRDefault="00FA4EDF">
            <w:pPr>
              <w:spacing w:before="200" w:after="360"/>
              <w:rPr>
                <w:rFonts w:eastAsia="Times New Roman"/>
                <w:sz w:val="21"/>
                <w:szCs w:val="21"/>
              </w:rPr>
            </w:pPr>
            <w:r>
              <w:rPr>
                <w:rFonts w:eastAsia="Times New Roman"/>
                <w:sz w:val="21"/>
                <w:szCs w:val="21"/>
              </w:rPr>
              <w:t>21 Jahre und 2 Monate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6D7D9E1" w14:textId="77777777" w:rsidR="00FA4EDF" w:rsidRDefault="00FA4EDF">
            <w:pPr>
              <w:spacing w:before="200" w:after="360"/>
              <w:rPr>
                <w:rFonts w:eastAsia="Times New Roman"/>
                <w:sz w:val="21"/>
                <w:szCs w:val="21"/>
              </w:rPr>
            </w:pPr>
            <w:r>
              <w:rPr>
                <w:rFonts w:eastAsia="Times New Roman"/>
                <w:sz w:val="21"/>
                <w:szCs w:val="21"/>
              </w:rPr>
              <w:t>8 Monate</w:t>
            </w:r>
          </w:p>
        </w:tc>
      </w:tr>
      <w:tr w:rsidR="00000000" w14:paraId="54744B0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C102A93" w14:textId="77777777" w:rsidR="00FA4EDF" w:rsidRDefault="00FA4EDF">
            <w:pPr>
              <w:spacing w:before="200" w:after="360"/>
              <w:rPr>
                <w:rFonts w:eastAsia="Times New Roman"/>
                <w:sz w:val="21"/>
                <w:szCs w:val="21"/>
              </w:rPr>
            </w:pPr>
            <w:r>
              <w:rPr>
                <w:rStyle w:val="Zwaar"/>
                <w:rFonts w:eastAsia="Times New Roman"/>
                <w:sz w:val="21"/>
                <w:szCs w:val="21"/>
              </w:rPr>
              <w:t>Antrag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33E348E" w14:textId="77777777" w:rsidR="00FA4EDF" w:rsidRDefault="00FA4EDF">
            <w:pPr>
              <w:spacing w:before="200" w:after="360"/>
              <w:rPr>
                <w:rFonts w:eastAsia="Times New Roman"/>
                <w:sz w:val="21"/>
                <w:szCs w:val="21"/>
              </w:rPr>
            </w:pPr>
            <w:r>
              <w:rPr>
                <w:rFonts w:eastAsia="Times New Roman"/>
                <w:sz w:val="21"/>
                <w:szCs w:val="21"/>
              </w:rPr>
              <w:t>Manuell, per E-Mail oder über das Formular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472D578" w14:textId="77777777" w:rsidR="00FA4EDF" w:rsidRDefault="00FA4EDF">
            <w:pPr>
              <w:spacing w:before="200" w:after="360"/>
              <w:rPr>
                <w:rFonts w:eastAsia="Times New Roman"/>
                <w:sz w:val="21"/>
                <w:szCs w:val="21"/>
              </w:rPr>
            </w:pPr>
            <w:r>
              <w:rPr>
                <w:rFonts w:eastAsia="Times New Roman"/>
                <w:sz w:val="21"/>
                <w:szCs w:val="21"/>
              </w:rPr>
              <w:t>Manuell, per Formular</w:t>
            </w:r>
          </w:p>
        </w:tc>
      </w:tr>
      <w:tr w:rsidR="00000000" w14:paraId="6142C2C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C6F8E6F" w14:textId="77777777" w:rsidR="00FA4EDF" w:rsidRDefault="00FA4EDF">
            <w:pPr>
              <w:spacing w:before="200" w:after="360"/>
              <w:rPr>
                <w:rFonts w:eastAsia="Times New Roman"/>
                <w:sz w:val="21"/>
                <w:szCs w:val="21"/>
              </w:rPr>
            </w:pPr>
            <w:r>
              <w:rPr>
                <w:rStyle w:val="Zwaar"/>
                <w:rFonts w:eastAsia="Times New Roman"/>
                <w:sz w:val="21"/>
                <w:szCs w:val="21"/>
              </w:rPr>
              <w:t>Lieferung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EB7FCF6" w14:textId="77777777" w:rsidR="00FA4EDF" w:rsidRDefault="00FA4EDF">
            <w:pPr>
              <w:spacing w:before="200" w:after="360"/>
              <w:rPr>
                <w:rFonts w:eastAsia="Times New Roman"/>
                <w:sz w:val="21"/>
                <w:szCs w:val="21"/>
              </w:rPr>
            </w:pPr>
            <w:r>
              <w:rPr>
                <w:rFonts w:eastAsia="Times New Roman"/>
                <w:sz w:val="21"/>
                <w:szCs w:val="21"/>
              </w:rPr>
              <w:t>Funktioniert, auch bei fehlenden Zeiträumen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702B87" w14:textId="77777777" w:rsidR="00FA4EDF" w:rsidRDefault="00FA4EDF">
            <w:pPr>
              <w:spacing w:before="200" w:after="360"/>
              <w:rPr>
                <w:rFonts w:eastAsia="Times New Roman"/>
                <w:sz w:val="21"/>
                <w:szCs w:val="21"/>
              </w:rPr>
            </w:pPr>
            <w:r>
              <w:rPr>
                <w:rFonts w:eastAsia="Times New Roman"/>
                <w:sz w:val="21"/>
                <w:szCs w:val="21"/>
              </w:rPr>
              <w:t>Funktioniert, aber der Empfänger lehnt ab</w:t>
            </w:r>
          </w:p>
        </w:tc>
      </w:tr>
      <w:tr w:rsidR="00000000" w14:paraId="227082A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937BD09" w14:textId="77777777" w:rsidR="00FA4EDF" w:rsidRDefault="00FA4EDF">
            <w:pPr>
              <w:spacing w:before="200" w:after="360"/>
              <w:rPr>
                <w:rFonts w:eastAsia="Times New Roman"/>
                <w:sz w:val="21"/>
                <w:szCs w:val="21"/>
              </w:rPr>
            </w:pPr>
            <w:r>
              <w:rPr>
                <w:rStyle w:val="Zwaar"/>
                <w:rFonts w:eastAsia="Times New Roman"/>
                <w:sz w:val="21"/>
                <w:szCs w:val="21"/>
              </w:rPr>
              <w:t>Übertragung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5BF390" w14:textId="77777777" w:rsidR="00FA4EDF" w:rsidRDefault="00FA4EDF">
            <w:pPr>
              <w:spacing w:before="200" w:after="360"/>
              <w:rPr>
                <w:rFonts w:eastAsia="Times New Roman"/>
                <w:sz w:val="21"/>
                <w:szCs w:val="21"/>
              </w:rPr>
            </w:pPr>
            <w:r>
              <w:rPr>
                <w:rFonts w:eastAsia="Times New Roman"/>
                <w:sz w:val="21"/>
                <w:szCs w:val="21"/>
              </w:rPr>
              <w:t>Der Bürger muss den Antrag selbst beim UWV einreichen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49BA75D" w14:textId="77777777" w:rsidR="00FA4EDF" w:rsidRDefault="00FA4EDF">
            <w:pPr>
              <w:spacing w:before="200" w:after="360"/>
              <w:rPr>
                <w:rFonts w:eastAsia="Times New Roman"/>
                <w:sz w:val="21"/>
                <w:szCs w:val="21"/>
              </w:rPr>
            </w:pPr>
            <w:r>
              <w:rPr>
                <w:rFonts w:eastAsia="Times New Roman"/>
                <w:sz w:val="21"/>
                <w:szCs w:val="21"/>
              </w:rPr>
              <w:t>Bürger führt bei FÖD SZ selbst eine Injektion durch</w:t>
            </w:r>
          </w:p>
        </w:tc>
      </w:tr>
      <w:tr w:rsidR="00000000" w14:paraId="388D3753"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150779D" w14:textId="77777777" w:rsidR="00FA4EDF" w:rsidRDefault="00FA4EDF">
            <w:pPr>
              <w:spacing w:before="200" w:after="360"/>
              <w:rPr>
                <w:rFonts w:eastAsia="Times New Roman"/>
                <w:sz w:val="21"/>
                <w:szCs w:val="21"/>
              </w:rPr>
            </w:pPr>
            <w:r>
              <w:rPr>
                <w:rStyle w:val="Zwaar"/>
                <w:rFonts w:eastAsia="Times New Roman"/>
                <w:sz w:val="21"/>
                <w:szCs w:val="21"/>
              </w:rPr>
              <w:t>Blockade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709980E" w14:textId="77777777" w:rsidR="00FA4EDF" w:rsidRDefault="00FA4EDF">
            <w:pPr>
              <w:spacing w:before="200" w:after="360"/>
              <w:rPr>
                <w:rFonts w:eastAsia="Times New Roman"/>
                <w:sz w:val="21"/>
                <w:szCs w:val="21"/>
              </w:rPr>
            </w:pPr>
            <w:r>
              <w:rPr>
                <w:rFonts w:eastAsia="Times New Roman"/>
                <w:sz w:val="21"/>
                <w:szCs w:val="21"/>
              </w:rPr>
              <w:t>5 Zeiträume fehlen, der Bürger ergänzt diese selbst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1B18A4" w14:textId="77777777" w:rsidR="00FA4EDF" w:rsidRDefault="00FA4EDF">
            <w:pPr>
              <w:spacing w:before="200" w:after="360"/>
              <w:rPr>
                <w:rFonts w:eastAsia="Times New Roman"/>
                <w:sz w:val="21"/>
                <w:szCs w:val="21"/>
              </w:rPr>
            </w:pPr>
            <w:r>
              <w:rPr>
                <w:rFonts w:eastAsia="Times New Roman"/>
                <w:sz w:val="21"/>
                <w:szCs w:val="21"/>
              </w:rPr>
              <w:t>Die LfA lehnt den Import ausländischer Daten ab</w:t>
            </w:r>
          </w:p>
        </w:tc>
      </w:tr>
      <w:tr w:rsidR="00000000" w14:paraId="30A6F93F"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C904CA3" w14:textId="77777777" w:rsidR="00FA4EDF" w:rsidRDefault="00FA4EDF">
            <w:pPr>
              <w:spacing w:before="200" w:after="360"/>
              <w:rPr>
                <w:rFonts w:eastAsia="Times New Roman"/>
                <w:sz w:val="21"/>
                <w:szCs w:val="21"/>
              </w:rPr>
            </w:pPr>
            <w:r>
              <w:rPr>
                <w:rStyle w:val="Zwaar"/>
                <w:rFonts w:eastAsia="Times New Roman"/>
                <w:sz w:val="21"/>
                <w:szCs w:val="21"/>
              </w:rPr>
              <w:t>Bypass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6D8C8C1" w14:textId="77777777" w:rsidR="00FA4EDF" w:rsidRDefault="00FA4EDF">
            <w:pPr>
              <w:spacing w:before="200" w:after="360"/>
              <w:rPr>
                <w:rFonts w:eastAsia="Times New Roman"/>
                <w:sz w:val="21"/>
                <w:szCs w:val="21"/>
              </w:rPr>
            </w:pPr>
            <w:r>
              <w:rPr>
                <w:rFonts w:eastAsia="Times New Roman"/>
                <w:sz w:val="21"/>
                <w:szCs w:val="21"/>
              </w:rPr>
              <w:t>Zusätzliche Bescheinigungen bei Arbeitgebern anfordern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59A6F27" w14:textId="77777777" w:rsidR="00FA4EDF" w:rsidRDefault="00FA4EDF">
            <w:pPr>
              <w:spacing w:before="200" w:after="360"/>
              <w:rPr>
                <w:rFonts w:eastAsia="Times New Roman"/>
                <w:sz w:val="21"/>
                <w:szCs w:val="21"/>
              </w:rPr>
            </w:pPr>
            <w:r>
              <w:rPr>
                <w:rFonts w:eastAsia="Times New Roman"/>
                <w:sz w:val="21"/>
                <w:szCs w:val="21"/>
              </w:rPr>
              <w:t>Manuelle Eingabe über das FOD SZ-Portal</w:t>
            </w:r>
          </w:p>
        </w:tc>
      </w:tr>
    </w:tbl>
    <w:p w14:paraId="10B4A3B5" w14:textId="77777777" w:rsidR="00FA4EDF" w:rsidRDefault="00FA4EDF">
      <w:pPr>
        <w:pStyle w:val="Normaalweb"/>
        <w:divId w:val="982394320"/>
        <w:rPr>
          <w:sz w:val="24"/>
          <w:lang w:val="de-DE"/>
        </w:rPr>
      </w:pPr>
      <w:r>
        <w:rPr>
          <w:lang w:val="de-DE"/>
        </w:rPr>
        <w:t>In beiden Richtungen ist der Bürger der einzige Akteur, der das Dokument physisch oder digital übermittelt. Die LfA und das UWV versenden zwar Dokumente, erhalten jedoch keine von der jeweils anderen Seite. Es gibt keine automatische System-zu-System-Verbindung. In Richtung 1 füllt der Bürger die Lücken selbst aus. In Richtung 2 umgeht er die ablehnende LfA über eine andere föderale Behörde.</w:t>
      </w:r>
    </w:p>
    <w:p w14:paraId="7CF9049B" w14:textId="77777777" w:rsidR="00FA4EDF" w:rsidRDefault="00FA4EDF">
      <w:pPr>
        <w:pStyle w:val="Kop3"/>
        <w:divId w:val="982394320"/>
        <w:rPr>
          <w:rFonts w:eastAsia="Times New Roman"/>
          <w:lang w:val="de-DE"/>
        </w:rPr>
      </w:pPr>
      <w:bookmarkStart w:id="92" w:name="_Toc242103128"/>
      <w:r>
        <w:rPr>
          <w:rFonts w:eastAsia="Times New Roman"/>
          <w:lang w:val="de-DE"/>
        </w:rPr>
        <w:t>ESSPASS im Jahr 2030 – was bleibt gleich</w:t>
      </w:r>
      <w:bookmarkEnd w:id="9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250E77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832B4CD" w14:textId="77777777" w:rsidR="00FA4EDF" w:rsidRDefault="00FA4EDF">
            <w:pPr>
              <w:pStyle w:val="Normaalweb"/>
              <w:spacing w:before="120"/>
              <w:jc w:val="center"/>
              <w:rPr>
                <w:sz w:val="21"/>
                <w:szCs w:val="21"/>
              </w:rPr>
            </w:pPr>
            <w:r>
              <w:rPr>
                <w:noProof/>
                <w:sz w:val="21"/>
                <w:szCs w:val="21"/>
              </w:rPr>
              <w:drawing>
                <wp:inline distT="0" distB="0" distL="0" distR="0" wp14:anchorId="46A20140" wp14:editId="5F23AA3D">
                  <wp:extent cx="3810000" cy="1181100"/>
                  <wp:effectExtent l="0" t="0" r="0" b="0"/>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810000" cy="1181100"/>
                          </a:xfrm>
                          <a:prstGeom prst="rect">
                            <a:avLst/>
                          </a:prstGeom>
                          <a:noFill/>
                          <a:ln>
                            <a:noFill/>
                          </a:ln>
                        </pic:spPr>
                      </pic:pic>
                    </a:graphicData>
                  </a:graphic>
                </wp:inline>
              </w:drawing>
            </w:r>
          </w:p>
          <w:p w14:paraId="4C4F1E79" w14:textId="77777777" w:rsidR="00FA4EDF" w:rsidRDefault="00FA4EDF">
            <w:pPr>
              <w:pStyle w:val="caption"/>
              <w:spacing w:after="120" w:afterAutospacing="0"/>
            </w:pPr>
            <w:r>
              <w:rPr>
                <w:rStyle w:val="Zwaar"/>
              </w:rPr>
              <w:t>Abbildung VIII.2 – ESSPASS im Jahr 2030.</w:t>
            </w:r>
            <w:r>
              <w:t xml:space="preserve"> </w:t>
            </w:r>
            <w:r>
              <w:t>Die digitale Geldbörse ersetzt den physischen Träger. Die Überprüfung erfolgt schneller. Der Vorgang für den Bürger bleibt jedoch derselbe: Er beantragt das Dokument und übermittelt es an die prüfende Stelle. Die Mitgliedstaaten vernetzen ihre Systeme nicht automatisch miteinander. Die LfA wird sich auch im Jahr 2030 noch weigern, ausländische Berufsdaten zu integrieren, und der Bürger wird weiterhin denselben Umweg nutzen müssen.</w:t>
            </w:r>
          </w:p>
        </w:tc>
      </w:tr>
    </w:tbl>
    <w:p w14:paraId="44CD96F4" w14:textId="77777777" w:rsidR="00FA4EDF" w:rsidRDefault="00FA4EDF">
      <w:pPr>
        <w:pStyle w:val="Kop3"/>
        <w:divId w:val="982394320"/>
        <w:rPr>
          <w:rFonts w:eastAsia="Times New Roman"/>
          <w:lang w:val="de-DE"/>
        </w:rPr>
      </w:pPr>
      <w:bookmarkStart w:id="93" w:name="_Toc242103129"/>
      <w:r>
        <w:rPr>
          <w:rFonts w:eastAsia="Times New Roman"/>
          <w:lang w:val="de-DE"/>
        </w:rPr>
        <w:t>Was der ESSPASS löst und was nicht</w:t>
      </w:r>
      <w:bookmarkEnd w:id="93"/>
    </w:p>
    <w:tbl>
      <w:tblPr>
        <w:tblW w:w="5000" w:type="pct"/>
        <w:tblCellMar>
          <w:top w:w="15" w:type="dxa"/>
          <w:left w:w="15" w:type="dxa"/>
          <w:bottom w:w="15" w:type="dxa"/>
          <w:right w:w="15" w:type="dxa"/>
        </w:tblCellMar>
        <w:tblLook w:val="04A0" w:firstRow="1" w:lastRow="0" w:firstColumn="1" w:lastColumn="0" w:noHBand="0" w:noVBand="1"/>
      </w:tblPr>
      <w:tblGrid>
        <w:gridCol w:w="3080"/>
        <w:gridCol w:w="2988"/>
        <w:gridCol w:w="2988"/>
      </w:tblGrid>
      <w:tr w:rsidR="00000000" w14:paraId="7B12ABC0" w14:textId="77777777">
        <w:trPr>
          <w:divId w:val="982394320"/>
          <w:tblHeader/>
        </w:trPr>
        <w:tc>
          <w:tcPr>
            <w:tcW w:w="17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1E24E1BD"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Aspekt</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07F4D400"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Jetzt (2026)</w:t>
            </w:r>
          </w:p>
        </w:tc>
        <w:tc>
          <w:tcPr>
            <w:tcW w:w="16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675AA4A"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ESSPASS (2030)</w:t>
            </w:r>
          </w:p>
        </w:tc>
      </w:tr>
      <w:tr w:rsidR="00000000" w14:paraId="31F8D34F"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53E0E9" w14:textId="77777777" w:rsidR="00FA4EDF" w:rsidRDefault="00FA4EDF">
            <w:pPr>
              <w:spacing w:before="200" w:after="360"/>
              <w:rPr>
                <w:rFonts w:eastAsia="Times New Roman"/>
                <w:sz w:val="21"/>
                <w:szCs w:val="21"/>
              </w:rPr>
            </w:pPr>
            <w:r>
              <w:rPr>
                <w:rStyle w:val="Zwaar"/>
                <w:rFonts w:eastAsia="Times New Roman"/>
                <w:sz w:val="21"/>
                <w:szCs w:val="21"/>
              </w:rPr>
              <w:t>Träger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AE7FD5F" w14:textId="77777777" w:rsidR="00FA4EDF" w:rsidRDefault="00FA4EDF">
            <w:pPr>
              <w:spacing w:before="200" w:after="360"/>
              <w:rPr>
                <w:rFonts w:eastAsia="Times New Roman"/>
                <w:sz w:val="21"/>
                <w:szCs w:val="21"/>
              </w:rPr>
            </w:pPr>
            <w:r>
              <w:rPr>
                <w:rFonts w:eastAsia="Times New Roman"/>
                <w:sz w:val="21"/>
                <w:szCs w:val="21"/>
              </w:rPr>
              <w:t>Papier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0EFFE3B" w14:textId="77777777" w:rsidR="00FA4EDF" w:rsidRDefault="00FA4EDF">
            <w:pPr>
              <w:spacing w:before="200" w:after="360"/>
              <w:rPr>
                <w:rFonts w:eastAsia="Times New Roman"/>
                <w:sz w:val="21"/>
                <w:szCs w:val="21"/>
              </w:rPr>
            </w:pPr>
            <w:r>
              <w:rPr>
                <w:rFonts w:eastAsia="Times New Roman"/>
                <w:sz w:val="21"/>
                <w:szCs w:val="21"/>
              </w:rPr>
              <w:t>EUDI-Wallet</w:t>
            </w:r>
          </w:p>
        </w:tc>
      </w:tr>
      <w:tr w:rsidR="00000000" w14:paraId="463F87B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1CF482E" w14:textId="77777777" w:rsidR="00FA4EDF" w:rsidRDefault="00FA4EDF">
            <w:pPr>
              <w:spacing w:before="200" w:after="360"/>
              <w:rPr>
                <w:rFonts w:eastAsia="Times New Roman"/>
                <w:sz w:val="21"/>
                <w:szCs w:val="21"/>
              </w:rPr>
            </w:pPr>
            <w:r>
              <w:rPr>
                <w:rStyle w:val="Zwaar"/>
                <w:rFonts w:eastAsia="Times New Roman"/>
                <w:sz w:val="21"/>
                <w:szCs w:val="21"/>
              </w:rPr>
              <w:t>Antrag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810D550" w14:textId="77777777" w:rsidR="00FA4EDF" w:rsidRDefault="00FA4EDF">
            <w:pPr>
              <w:spacing w:before="200" w:after="360"/>
              <w:rPr>
                <w:rFonts w:eastAsia="Times New Roman"/>
                <w:sz w:val="21"/>
                <w:szCs w:val="21"/>
              </w:rPr>
            </w:pPr>
            <w:r>
              <w:rPr>
                <w:rFonts w:eastAsia="Times New Roman"/>
                <w:sz w:val="21"/>
                <w:szCs w:val="21"/>
              </w:rPr>
              <w:t>Manuell, 75 % keine Online-Anmeldung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8D45EA4" w14:textId="77777777" w:rsidR="00FA4EDF" w:rsidRDefault="00FA4EDF">
            <w:pPr>
              <w:spacing w:before="200" w:after="360"/>
              <w:rPr>
                <w:rFonts w:eastAsia="Times New Roman"/>
                <w:sz w:val="21"/>
                <w:szCs w:val="21"/>
              </w:rPr>
            </w:pPr>
            <w:r>
              <w:rPr>
                <w:rFonts w:eastAsia="Times New Roman"/>
                <w:sz w:val="21"/>
                <w:szCs w:val="21"/>
              </w:rPr>
              <w:t>Manuell über die Wallet</w:t>
            </w:r>
          </w:p>
        </w:tc>
      </w:tr>
      <w:tr w:rsidR="00000000" w14:paraId="2F68787E"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E46D5B9" w14:textId="77777777" w:rsidR="00FA4EDF" w:rsidRDefault="00FA4EDF">
            <w:pPr>
              <w:spacing w:before="200" w:after="360"/>
              <w:rPr>
                <w:rFonts w:eastAsia="Times New Roman"/>
                <w:sz w:val="21"/>
                <w:szCs w:val="21"/>
              </w:rPr>
            </w:pPr>
            <w:r>
              <w:rPr>
                <w:rStyle w:val="Zwaar"/>
                <w:rFonts w:eastAsia="Times New Roman"/>
                <w:sz w:val="21"/>
                <w:szCs w:val="21"/>
              </w:rPr>
              <w:t>Ausgabe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E81C3F1" w14:textId="77777777" w:rsidR="00FA4EDF" w:rsidRDefault="00FA4EDF">
            <w:pPr>
              <w:spacing w:before="200" w:after="360"/>
              <w:rPr>
                <w:rFonts w:eastAsia="Times New Roman"/>
                <w:sz w:val="21"/>
                <w:szCs w:val="21"/>
              </w:rPr>
            </w:pPr>
            <w:r>
              <w:rPr>
                <w:rFonts w:eastAsia="Times New Roman"/>
                <w:sz w:val="21"/>
                <w:szCs w:val="21"/>
              </w:rPr>
              <w:t>Manuell, Tage bis Wochen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346D50E" w14:textId="77777777" w:rsidR="00FA4EDF" w:rsidRDefault="00FA4EDF">
            <w:pPr>
              <w:spacing w:before="200" w:after="360"/>
              <w:rPr>
                <w:rFonts w:eastAsia="Times New Roman"/>
                <w:sz w:val="21"/>
                <w:szCs w:val="21"/>
              </w:rPr>
            </w:pPr>
            <w:r>
              <w:rPr>
                <w:rFonts w:eastAsia="Times New Roman"/>
                <w:sz w:val="21"/>
                <w:szCs w:val="21"/>
              </w:rPr>
              <w:t>Automatisch aus der Quelle, Sekunden</w:t>
            </w:r>
          </w:p>
        </w:tc>
      </w:tr>
      <w:tr w:rsidR="00000000" w14:paraId="1CFFBA42"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E33DA8" w14:textId="77777777" w:rsidR="00FA4EDF" w:rsidRDefault="00FA4EDF">
            <w:pPr>
              <w:spacing w:before="200" w:after="360"/>
              <w:rPr>
                <w:rFonts w:eastAsia="Times New Roman"/>
                <w:sz w:val="21"/>
                <w:szCs w:val="21"/>
              </w:rPr>
            </w:pPr>
            <w:r>
              <w:rPr>
                <w:rStyle w:val="Zwaar"/>
                <w:rFonts w:eastAsia="Times New Roman"/>
                <w:sz w:val="21"/>
                <w:szCs w:val="21"/>
              </w:rPr>
              <w:t>Übertragung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09C1459A" w14:textId="77777777" w:rsidR="00FA4EDF" w:rsidRDefault="00FA4EDF">
            <w:pPr>
              <w:spacing w:before="200" w:after="360"/>
              <w:rPr>
                <w:rFonts w:eastAsia="Times New Roman"/>
                <w:sz w:val="21"/>
                <w:szCs w:val="21"/>
              </w:rPr>
            </w:pPr>
            <w:r>
              <w:rPr>
                <w:rFonts w:eastAsia="Times New Roman"/>
                <w:sz w:val="21"/>
                <w:szCs w:val="21"/>
              </w:rPr>
              <w:t>Manuell, per Post oder per E-Mail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697EA2E" w14:textId="77777777" w:rsidR="00FA4EDF" w:rsidRDefault="00FA4EDF">
            <w:pPr>
              <w:spacing w:before="200" w:after="360"/>
              <w:rPr>
                <w:rFonts w:eastAsia="Times New Roman"/>
                <w:sz w:val="21"/>
                <w:szCs w:val="21"/>
              </w:rPr>
            </w:pPr>
            <w:r>
              <w:rPr>
                <w:rFonts w:eastAsia="Times New Roman"/>
                <w:sz w:val="21"/>
                <w:szCs w:val="21"/>
              </w:rPr>
              <w:t>Manuell über die Wallet</w:t>
            </w:r>
          </w:p>
        </w:tc>
      </w:tr>
      <w:tr w:rsidR="00000000" w14:paraId="16F291D1"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9993DC3" w14:textId="77777777" w:rsidR="00FA4EDF" w:rsidRDefault="00FA4EDF">
            <w:pPr>
              <w:spacing w:before="200" w:after="360"/>
              <w:rPr>
                <w:rFonts w:eastAsia="Times New Roman"/>
                <w:sz w:val="21"/>
                <w:szCs w:val="21"/>
              </w:rPr>
            </w:pPr>
            <w:r>
              <w:rPr>
                <w:rStyle w:val="Zwaar"/>
                <w:rFonts w:eastAsia="Times New Roman"/>
                <w:sz w:val="21"/>
                <w:szCs w:val="21"/>
              </w:rPr>
              <w:t>Überprüfung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6E315C4" w14:textId="77777777" w:rsidR="00FA4EDF" w:rsidRDefault="00FA4EDF">
            <w:pPr>
              <w:spacing w:before="200" w:after="360"/>
              <w:rPr>
                <w:rFonts w:eastAsia="Times New Roman"/>
                <w:sz w:val="21"/>
                <w:szCs w:val="21"/>
              </w:rPr>
            </w:pPr>
            <w:r>
              <w:rPr>
                <w:rFonts w:eastAsia="Times New Roman"/>
                <w:sz w:val="21"/>
                <w:szCs w:val="21"/>
              </w:rPr>
              <w:t>Manuell durch einen Beamten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0C6D552" w14:textId="77777777" w:rsidR="00FA4EDF" w:rsidRDefault="00FA4EDF">
            <w:pPr>
              <w:spacing w:before="200" w:after="360"/>
              <w:rPr>
                <w:rFonts w:eastAsia="Times New Roman"/>
                <w:sz w:val="21"/>
                <w:szCs w:val="21"/>
              </w:rPr>
            </w:pPr>
            <w:r>
              <w:rPr>
                <w:rFonts w:eastAsia="Times New Roman"/>
                <w:sz w:val="21"/>
                <w:szCs w:val="21"/>
              </w:rPr>
              <w:t>QR-Code in Echtzeit scannen</w:t>
            </w:r>
          </w:p>
        </w:tc>
      </w:tr>
      <w:tr w:rsidR="00000000" w14:paraId="7E357E06"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2D0CF79" w14:textId="77777777" w:rsidR="00FA4EDF" w:rsidRDefault="00FA4EDF">
            <w:pPr>
              <w:spacing w:before="200" w:after="360"/>
              <w:rPr>
                <w:rFonts w:eastAsia="Times New Roman"/>
                <w:sz w:val="21"/>
                <w:szCs w:val="21"/>
              </w:rPr>
            </w:pPr>
            <w:r>
              <w:rPr>
                <w:rStyle w:val="Zwaar"/>
                <w:rFonts w:eastAsia="Times New Roman"/>
                <w:sz w:val="21"/>
                <w:szCs w:val="21"/>
              </w:rPr>
              <w:t>Betrugsaufdeckung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B438E9" w14:textId="77777777" w:rsidR="00FA4EDF" w:rsidRDefault="00FA4EDF">
            <w:pPr>
              <w:spacing w:before="200" w:after="360"/>
              <w:rPr>
                <w:rFonts w:eastAsia="Times New Roman"/>
                <w:sz w:val="21"/>
                <w:szCs w:val="21"/>
              </w:rPr>
            </w:pPr>
            <w:r>
              <w:rPr>
                <w:rFonts w:eastAsia="Times New Roman"/>
                <w:sz w:val="21"/>
                <w:szCs w:val="21"/>
              </w:rPr>
              <w:t>Eingeschränkt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F82879" w14:textId="77777777" w:rsidR="00FA4EDF" w:rsidRDefault="00FA4EDF">
            <w:pPr>
              <w:spacing w:before="200" w:after="360"/>
              <w:rPr>
                <w:rFonts w:eastAsia="Times New Roman"/>
                <w:sz w:val="21"/>
                <w:szCs w:val="21"/>
              </w:rPr>
            </w:pPr>
            <w:r>
              <w:rPr>
                <w:rFonts w:eastAsia="Times New Roman"/>
                <w:sz w:val="21"/>
                <w:szCs w:val="21"/>
              </w:rPr>
              <w:t>Kryptografisch sicher</w:t>
            </w:r>
          </w:p>
        </w:tc>
      </w:tr>
      <w:tr w:rsidR="00000000" w14:paraId="21719EBA"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6530A4BD" w14:textId="77777777" w:rsidR="00FA4EDF" w:rsidRDefault="00FA4EDF">
            <w:pPr>
              <w:spacing w:before="200" w:after="360"/>
              <w:rPr>
                <w:rFonts w:eastAsia="Times New Roman"/>
                <w:sz w:val="21"/>
                <w:szCs w:val="21"/>
              </w:rPr>
            </w:pPr>
            <w:r>
              <w:rPr>
                <w:rStyle w:val="Zwaar"/>
                <w:rFonts w:eastAsia="Times New Roman"/>
                <w:sz w:val="21"/>
                <w:szCs w:val="21"/>
              </w:rPr>
              <w:t>Abstimmung zwischen den Mitgliedstaaten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162CCA8B" w14:textId="77777777" w:rsidR="00FA4EDF" w:rsidRDefault="00FA4EDF">
            <w:pPr>
              <w:spacing w:before="200" w:after="360"/>
              <w:rPr>
                <w:rFonts w:eastAsia="Times New Roman"/>
                <w:sz w:val="21"/>
                <w:szCs w:val="21"/>
              </w:rPr>
            </w:pPr>
            <w:r>
              <w:rPr>
                <w:rFonts w:eastAsia="Times New Roman"/>
                <w:sz w:val="21"/>
                <w:szCs w:val="21"/>
              </w:rPr>
              <w:t>Keine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F62EED7" w14:textId="77777777" w:rsidR="00FA4EDF" w:rsidRDefault="00FA4EDF">
            <w:pPr>
              <w:spacing w:before="200" w:after="360"/>
              <w:rPr>
                <w:rFonts w:eastAsia="Times New Roman"/>
                <w:sz w:val="21"/>
                <w:szCs w:val="21"/>
              </w:rPr>
            </w:pPr>
            <w:r>
              <w:rPr>
                <w:rFonts w:eastAsia="Times New Roman"/>
                <w:sz w:val="21"/>
                <w:szCs w:val="21"/>
              </w:rPr>
              <w:t>Keine</w:t>
            </w:r>
          </w:p>
        </w:tc>
      </w:tr>
    </w:tbl>
    <w:p w14:paraId="1EE2F946" w14:textId="77777777" w:rsidR="00FA4EDF" w:rsidRDefault="00FA4EDF">
      <w:pPr>
        <w:pStyle w:val="Normaalweb"/>
        <w:divId w:val="982394320"/>
        <w:rPr>
          <w:sz w:val="24"/>
          <w:lang w:val="de-DE"/>
        </w:rPr>
      </w:pPr>
      <w:r>
        <w:rPr>
          <w:lang w:val="de-DE"/>
        </w:rPr>
        <w:t xml:space="preserve">Der ESSPASS beseitigt die </w:t>
      </w:r>
      <w:r>
        <w:rPr>
          <w:rStyle w:val="Nadruk"/>
          <w:lang w:val="de-DE"/>
        </w:rPr>
        <w:t>Verzögerungen</w:t>
      </w:r>
      <w:r>
        <w:rPr>
          <w:lang w:val="de-DE"/>
        </w:rPr>
        <w:t xml:space="preserve"> </w:t>
      </w:r>
      <w:r>
        <w:rPr>
          <w:rStyle w:val="Nadruk"/>
          <w:lang w:val="de-DE"/>
        </w:rPr>
        <w:t>durch Papierdokumente</w:t>
      </w:r>
      <w:r>
        <w:rPr>
          <w:lang w:val="de-DE"/>
        </w:rPr>
        <w:t xml:space="preserve">. Er beseitigt jedoch nicht die </w:t>
      </w:r>
      <w:r>
        <w:rPr>
          <w:rStyle w:val="Nadruk"/>
          <w:lang w:val="de-DE"/>
        </w:rPr>
        <w:t>manuelle Synchronisierung</w:t>
      </w:r>
      <w:r>
        <w:rPr>
          <w:lang w:val="de-DE"/>
        </w:rPr>
        <w:t>. Der Bürger bleibt weiterhin der Akteur, der das Dokument beantragt und weitergibt. Was 2026 noch ein physischer Vorgang war, wird 2030 zu einem digitalen Vorgang. Die Rolle des Bürgers ändert sich nicht.</w:t>
      </w:r>
    </w:p>
    <w:p w14:paraId="0481B2A6" w14:textId="77777777" w:rsidR="00FA4EDF" w:rsidRDefault="00FA4EDF">
      <w:pPr>
        <w:pStyle w:val="Kop3"/>
        <w:divId w:val="982394320"/>
        <w:rPr>
          <w:rFonts w:eastAsia="Times New Roman"/>
          <w:lang w:val="de-DE"/>
        </w:rPr>
      </w:pPr>
      <w:bookmarkStart w:id="94" w:name="_Toc242103130"/>
      <w:r>
        <w:rPr>
          <w:rFonts w:eastAsia="Times New Roman"/>
          <w:lang w:val="de-DE"/>
        </w:rPr>
        <w:t>Warum dies eine Brücke zum niederländischen Teil ist</w:t>
      </w:r>
      <w:bookmarkEnd w:id="94"/>
    </w:p>
    <w:p w14:paraId="7EAF30F7" w14:textId="77777777" w:rsidR="00FA4EDF" w:rsidRDefault="00FA4EDF">
      <w:pPr>
        <w:pStyle w:val="Normaalweb"/>
        <w:divId w:val="982394320"/>
        <w:rPr>
          <w:lang w:val="de-DE"/>
        </w:rPr>
      </w:pPr>
      <w:r>
        <w:rPr>
          <w:lang w:val="de-DE"/>
        </w:rPr>
        <w:t>In Belgien wurden die wichtigsten administrativen Hindernisse in dieser Angelegenheit inzwischen ermittelt und teilweise durch den steuerlichen Umweg beseitigt. Was in Belgien noch bleibt, sind Fragen der Umsetzung – die Wiederaufnahme des Verfahrens, die Disziplinarbeschwerde, die Arbeitsaufsicht. Strukturell neue Hindernisse treten nicht mehr auf.</w:t>
      </w:r>
    </w:p>
    <w:p w14:paraId="21F66972" w14:textId="77777777" w:rsidR="00FA4EDF" w:rsidRDefault="00FA4EDF">
      <w:pPr>
        <w:pStyle w:val="Normaalweb"/>
        <w:divId w:val="982394320"/>
        <w:rPr>
          <w:lang w:val="de-DE"/>
        </w:rPr>
      </w:pPr>
      <w:r>
        <w:rPr>
          <w:lang w:val="de-DE"/>
        </w:rPr>
        <w:t>Auf niederländischer Seite sieht das anders aus. Dort warten die WIA, die SVB, die Steuerbehörde, die Gemeinde Hulst, das CAK, die RIV-Register und der gesamte niederländische Verwaltungsapparat noch auf eine eigene Analyse. Und genau darin liegt ein struktureller Unterschied zu Belgien, der bisher noch nicht beleuchtet wurde.</w:t>
      </w:r>
    </w:p>
    <w:p w14:paraId="0537FBAE" w14:textId="77777777" w:rsidR="00FA4EDF" w:rsidRDefault="00FA4EDF">
      <w:pPr>
        <w:pStyle w:val="Normaalweb"/>
        <w:divId w:val="982394320"/>
        <w:rPr>
          <w:lang w:val="de-DE"/>
        </w:rPr>
      </w:pPr>
      <w:r>
        <w:rPr>
          <w:lang w:val="de-DE"/>
        </w:rPr>
        <w:t>Das manuelle U1-Problem ist das letzte belgische Hindernis in dieser Angelegenheit. Gleichzeitig ist es der Einstieg in den niederländischen Teil – denn Richtung 2 (Niederlande nach Belgien) ist der erste Schritt, der auch die niederländischen Behörden betrifft. Was in diesem Kapitel noch am Rande eines Berufslaufbahnnachweises steht, rückt in den folgenden Kapiteln in den Mittelpunkt: WIA, SVB, Zulagen, Pflegezuschlag, kommunale Umsetzung.</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D17C4C5"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FBEFDB4"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Der PD U1 ist ein Anspruch, kein Gefälligkeitsakt. Sie können ihn in beide Richtungen beantragen – bei der LfA für belgische Berufsjahre, beim UWV für niederländische Berufsjahre. Wenn eine der beiden Behörden sich weigert, ausländische Daten zu importieren, ist der Umweg über den FÖD Soziale Sicherheit (MyCareer-Portal) der einzige Weg. Erkundigen Sie sich bei Ihrer Gewerkschaft oder beim Sozialamt nach dem richtigen Verfahren. Das ESSPASS im Jahr 2030 wird den Antrag vereinfachen, aber die Blockade bei d</w:t>
            </w:r>
            <w:r>
              <w:rPr>
                <w:rFonts w:eastAsia="Times New Roman"/>
                <w:szCs w:val="22"/>
              </w:rPr>
              <w:t xml:space="preserve">er empfangenden Behörde nicht beseitigen. </w:t>
            </w:r>
          </w:p>
        </w:tc>
      </w:tr>
    </w:tbl>
    <w:p w14:paraId="43E4A65D" w14:textId="77777777" w:rsidR="00FA4EDF" w:rsidRDefault="00FA4EDF">
      <w:pPr>
        <w:pStyle w:val="noot"/>
        <w:spacing w:after="120" w:afterAutospacing="0"/>
        <w:divId w:val="982394320"/>
        <w:rPr>
          <w:lang w:val="de-DE"/>
        </w:rPr>
      </w:pPr>
      <w:r>
        <w:rPr>
          <w:lang w:val="de-DE"/>
        </w:rPr>
        <w:t>Die Informationen zum PD U1 basieren auf Dokument B sowie auf den offiziellen Verfahren der LfA und des UWV. Die Informationen zu ESSPASS basieren auf öffentlichen Quellen der Europäischen Kommission und des Europäischen Parlaments zur ESSPASS-Verordnung, zum EUDI-Wallet und zur schrittweisen Umsetzung des Pakets zur Arbeitskräftemobilität. Dieses Kapitel stellt keine Rechtsberatung dar.</w:t>
      </w:r>
    </w:p>
    <w:p w14:paraId="3B3A4522" w14:textId="77777777" w:rsidR="00FA4EDF" w:rsidRDefault="00FA4EDF">
      <w:pPr>
        <w:pStyle w:val="marker"/>
        <w:ind w:left="800" w:right="800"/>
        <w:divId w:val="982394320"/>
        <w:rPr>
          <w:lang w:val="de-DE"/>
        </w:rPr>
      </w:pPr>
      <w:r>
        <w:br w:type="page"/>
      </w:r>
    </w:p>
    <w:p w14:paraId="634EB7DE" w14:textId="77777777" w:rsidR="00FA4EDF" w:rsidRDefault="00FA4EDF">
      <w:pPr>
        <w:pStyle w:val="Kop2"/>
        <w:divId w:val="982394320"/>
        <w:rPr>
          <w:rFonts w:eastAsia="Times New Roman"/>
          <w:lang w:val="de-DE"/>
        </w:rPr>
      </w:pPr>
      <w:bookmarkStart w:id="95" w:name="_Toc242103131"/>
      <w:r>
        <w:rPr>
          <w:rFonts w:eastAsia="Times New Roman"/>
          <w:lang w:val="de-DE"/>
        </w:rPr>
        <w:t>SVB und Parentia – das gelungene Beispiel</w:t>
      </w:r>
      <w:bookmarkEnd w:id="95"/>
    </w:p>
    <w:p w14:paraId="5DF09FEE" w14:textId="77777777" w:rsidR="00FA4EDF" w:rsidRDefault="00FA4EDF">
      <w:pPr>
        <w:pStyle w:val="lead"/>
        <w:divId w:val="982394320"/>
        <w:rPr>
          <w:lang w:val="de-DE"/>
        </w:rPr>
      </w:pPr>
      <w:r>
        <w:rPr>
          <w:lang w:val="de-DE"/>
        </w:rPr>
        <w:t>Nicht alles, was zwischen Belgien und den Niederlanden vor sich geht, ist eine Blockade. Dieses Kapitel zeigt einen Fall, in dem die europäische Koordination tatsächlich funktioniert: das Kindergeld für ein Kind, das in den Niederlanden wohnt und in Flandern zur Schule geht. Zwei Behörden, zwei Länder, ein Kind. Sie finden zueinander. Und dann erfolgt eine Neuberechnung.</w:t>
      </w:r>
    </w:p>
    <w:p w14:paraId="733456F5" w14:textId="77777777" w:rsidR="00FA4EDF" w:rsidRDefault="00FA4EDF">
      <w:pPr>
        <w:pStyle w:val="Kop3"/>
        <w:divId w:val="982394320"/>
        <w:rPr>
          <w:rFonts w:eastAsia="Times New Roman"/>
          <w:lang w:val="de-DE"/>
        </w:rPr>
      </w:pPr>
      <w:bookmarkStart w:id="96" w:name="_Toc242103132"/>
      <w:r>
        <w:rPr>
          <w:rFonts w:eastAsia="Times New Roman"/>
          <w:lang w:val="de-DE"/>
        </w:rPr>
        <w:t>Teil A – Die Aufspaltung</w:t>
      </w:r>
      <w:bookmarkEnd w:id="96"/>
    </w:p>
    <w:p w14:paraId="39F8EB9E" w14:textId="77777777" w:rsidR="00FA4EDF" w:rsidRDefault="00FA4EDF">
      <w:pPr>
        <w:pStyle w:val="Normaalweb"/>
        <w:divId w:val="982394320"/>
        <w:rPr>
          <w:lang w:val="de-DE"/>
        </w:rPr>
      </w:pPr>
      <w:r>
        <w:rPr>
          <w:lang w:val="de-DE"/>
        </w:rPr>
        <w:t>Für ein Kind, dessen Eltern in zwei Ländern arbeiten, wird das Kindergeld im Rahmen der europäischen Koordinierung aufgeteilt. Grundsätzlich gilt, dass ein Land den Hauptbeitrag zahlt und das andere Land die Differenz bis zur Höhe des Wohnsitzlandes ausgleicht. Für diese Familie bedeutet das:</w:t>
      </w:r>
    </w:p>
    <w:p w14:paraId="1D73D48F" w14:textId="77777777" w:rsidR="00FA4EDF" w:rsidRDefault="00FA4EDF">
      <w:pPr>
        <w:numPr>
          <w:ilvl w:val="0"/>
          <w:numId w:val="18"/>
        </w:numPr>
        <w:spacing w:before="100" w:beforeAutospacing="1" w:after="100" w:afterAutospacing="1"/>
        <w:divId w:val="982394320"/>
        <w:rPr>
          <w:rFonts w:eastAsia="Times New Roman"/>
          <w:lang w:val="de-DE"/>
        </w:rPr>
      </w:pPr>
      <w:r>
        <w:rPr>
          <w:rStyle w:val="Zwaar"/>
          <w:rFonts w:eastAsia="Times New Roman"/>
          <w:lang w:val="de-DE"/>
        </w:rPr>
        <w:t>Belgien</w:t>
      </w:r>
      <w:r>
        <w:rPr>
          <w:rFonts w:eastAsia="Times New Roman"/>
          <w:lang w:val="de-DE"/>
        </w:rPr>
        <w:t xml:space="preserve"> ist der Hauptzahler, da die Mutter in Belgien arbeitet. Parentia zahlt das „Groeipakket“ aus.</w:t>
      </w:r>
    </w:p>
    <w:p w14:paraId="7FAE2259" w14:textId="77777777" w:rsidR="00FA4EDF" w:rsidRDefault="00FA4EDF">
      <w:pPr>
        <w:numPr>
          <w:ilvl w:val="0"/>
          <w:numId w:val="18"/>
        </w:numPr>
        <w:spacing w:before="100" w:beforeAutospacing="1" w:after="100" w:afterAutospacing="1"/>
        <w:divId w:val="982394320"/>
        <w:rPr>
          <w:rFonts w:eastAsia="Times New Roman"/>
          <w:lang w:val="de-DE"/>
        </w:rPr>
      </w:pPr>
      <w:r>
        <w:rPr>
          <w:rStyle w:val="Zwaar"/>
          <w:rFonts w:eastAsia="Times New Roman"/>
          <w:lang w:val="de-DE"/>
        </w:rPr>
        <w:t>Die Niederlande</w:t>
      </w:r>
      <w:r>
        <w:rPr>
          <w:rFonts w:eastAsia="Times New Roman"/>
          <w:lang w:val="de-DE"/>
        </w:rPr>
        <w:t xml:space="preserve"> stocken den Betrag auf das niederländische Niveau auf, da das Kind in den Niederlanden wohnt. Die SVB zahlt die Differenz aus.</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F72264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668BD92" w14:textId="77777777" w:rsidR="00FA4EDF" w:rsidRDefault="00FA4EDF">
            <w:pPr>
              <w:pStyle w:val="Normaalweb"/>
              <w:spacing w:before="120"/>
              <w:jc w:val="center"/>
              <w:rPr>
                <w:sz w:val="21"/>
                <w:szCs w:val="21"/>
              </w:rPr>
            </w:pPr>
            <w:r>
              <w:rPr>
                <w:noProof/>
                <w:sz w:val="21"/>
                <w:szCs w:val="21"/>
              </w:rPr>
              <w:drawing>
                <wp:inline distT="0" distB="0" distL="0" distR="0" wp14:anchorId="173D6AE6" wp14:editId="04AC4019">
                  <wp:extent cx="3810000" cy="1460500"/>
                  <wp:effectExtent l="0" t="0" r="0" b="635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0B3D7304" w14:textId="77777777" w:rsidR="00FA4EDF" w:rsidRDefault="00FA4EDF">
            <w:pPr>
              <w:pStyle w:val="caption"/>
              <w:spacing w:after="120" w:afterAutospacing="0"/>
            </w:pPr>
            <w:r>
              <w:rPr>
                <w:rStyle w:val="Zwaar"/>
              </w:rPr>
              <w:t>Abbildung XII.1 – Die Aufteilung.</w:t>
            </w:r>
            <w:r>
              <w:t xml:space="preserve"> Parentia zahlt den belgischen Beitrag auf den Namen der Mutter (Arbeitslandprinzip). Die SVB ergänzt den Betrag auf das niederländische Niveau auf den Namen des Vaters (Wohnlandprinzip). Das Kind erhält den vollen Betrag, auf den ein niederländisches Kind Anspruch hat, aufgeteilt auf zwei Länder.</w:t>
            </w:r>
          </w:p>
        </w:tc>
      </w:tr>
    </w:tbl>
    <w:p w14:paraId="6933A372" w14:textId="77777777" w:rsidR="00FA4EDF" w:rsidRDefault="00FA4EDF">
      <w:pPr>
        <w:pStyle w:val="Kop3"/>
        <w:divId w:val="982394320"/>
        <w:rPr>
          <w:rFonts w:eastAsia="Times New Roman"/>
          <w:lang w:val="de-DE"/>
        </w:rPr>
      </w:pPr>
      <w:bookmarkStart w:id="97" w:name="_Toc242103133"/>
      <w:r>
        <w:rPr>
          <w:rFonts w:eastAsia="Times New Roman"/>
          <w:lang w:val="de-DE"/>
        </w:rPr>
        <w:t>Teil B – Warum das funktioniert</w:t>
      </w:r>
      <w:bookmarkEnd w:id="97"/>
    </w:p>
    <w:p w14:paraId="7D123FF3" w14:textId="77777777" w:rsidR="00FA4EDF" w:rsidRDefault="00FA4EDF">
      <w:pPr>
        <w:pStyle w:val="Normaalweb"/>
        <w:divId w:val="982394320"/>
        <w:rPr>
          <w:lang w:val="de-DE"/>
        </w:rPr>
      </w:pPr>
      <w:r>
        <w:rPr>
          <w:lang w:val="de-DE"/>
        </w:rPr>
        <w:t>Was hier funktioniert, ist genau das, was an anderer Stelle in diesem Fall schiefläuft. Zwei nationale Behörden, zwei unterschiedliche Rechtsordnungen, zwei Sprachen und ein Kind. Sie finden zueinander.</w:t>
      </w:r>
    </w:p>
    <w:p w14:paraId="402C50ED" w14:textId="77777777" w:rsidR="00FA4EDF" w:rsidRDefault="00FA4EDF">
      <w:pPr>
        <w:pStyle w:val="Normaalweb"/>
        <w:divId w:val="982394320"/>
        <w:rPr>
          <w:lang w:val="de-DE"/>
        </w:rPr>
      </w:pPr>
      <w:r>
        <w:rPr>
          <w:lang w:val="de-DE"/>
        </w:rPr>
        <w:t xml:space="preserve">Die europäische Koordinierungsverordnung sieht einen Mechanismus vor, der als </w:t>
      </w:r>
      <w:r>
        <w:rPr>
          <w:rStyle w:val="Nadruk"/>
          <w:lang w:val="de-DE"/>
        </w:rPr>
        <w:t>„Zusammenfall von Familienleistungen“</w:t>
      </w:r>
      <w:r>
        <w:rPr>
          <w:lang w:val="de-DE"/>
        </w:rPr>
        <w:t xml:space="preserve"> bezeichnet wird. Dieser Mechanismus legt fest, welches Land den Hauptbeitrag zahlt und welches Land den Restbetrag ergänzt. Parentia und die SVB wenden diesen Mechanismus an. Sie tauschen Informationen über den jeweiligen Status aus, erkennen die Entscheidungen des jeweils anderen an und verrechnen die Beträge.</w:t>
      </w:r>
    </w:p>
    <w:p w14:paraId="7F29737A" w14:textId="77777777" w:rsidR="00FA4EDF" w:rsidRDefault="00FA4EDF">
      <w:pPr>
        <w:pStyle w:val="Normaalweb"/>
        <w:divId w:val="982394320"/>
        <w:rPr>
          <w:lang w:val="de-DE"/>
        </w:rPr>
      </w:pPr>
      <w:r>
        <w:rPr>
          <w:lang w:val="de-DE"/>
        </w:rPr>
        <w:t>Der entscheidende Punkt: die Zusatzleistung auf den Namen des Vaters. Die Mutter arbeitete in Belgien, daher konnte die SVB keine Zulage auf ihren Namen gewähren – dafür war bereits Belgien zuständig. Der Vater arbeitete jedoch nicht außerhalb der Niederlande und wohnte in den Niederlanden. Damit war er die geeignete Person, um die Differenz zu erhalten. Eine einfache Anwendung der europäischen Vorschriften.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0BF105F"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4401849" w14:textId="77777777" w:rsidR="00FA4EDF" w:rsidRDefault="00FA4EDF">
            <w:pPr>
              <w:pStyle w:val="Normaalweb"/>
              <w:spacing w:before="120"/>
              <w:jc w:val="center"/>
              <w:rPr>
                <w:sz w:val="21"/>
                <w:szCs w:val="21"/>
              </w:rPr>
            </w:pPr>
            <w:r>
              <w:rPr>
                <w:noProof/>
                <w:sz w:val="21"/>
                <w:szCs w:val="21"/>
              </w:rPr>
              <w:drawing>
                <wp:inline distT="0" distB="0" distL="0" distR="0" wp14:anchorId="2A76E1C6" wp14:editId="5CA01757">
                  <wp:extent cx="3810000" cy="901700"/>
                  <wp:effectExtent l="0" t="0" r="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10000" cy="901700"/>
                          </a:xfrm>
                          <a:prstGeom prst="rect">
                            <a:avLst/>
                          </a:prstGeom>
                          <a:noFill/>
                          <a:ln>
                            <a:noFill/>
                          </a:ln>
                        </pic:spPr>
                      </pic:pic>
                    </a:graphicData>
                  </a:graphic>
                </wp:inline>
              </w:drawing>
            </w:r>
          </w:p>
          <w:p w14:paraId="59F0AA38" w14:textId="77777777" w:rsidR="00FA4EDF" w:rsidRDefault="00FA4EDF">
            <w:pPr>
              <w:pStyle w:val="caption"/>
              <w:spacing w:after="120" w:afterAutospacing="0"/>
            </w:pPr>
            <w:r>
              <w:t>Die europäische Koordinierung der Familienbeihilfen funktioniert hier, weil beide Länder das System des jeweils anderen anerkennen und die Beträge miteinander verrechnen. Im restlichen Teil dieses Dossiers läuft es schief, weil keine Verrechnung stattfindet – bei medizinischen Kosten, bei Transportkosten und bei Zulagen.</w:t>
            </w:r>
          </w:p>
        </w:tc>
      </w:tr>
    </w:tbl>
    <w:p w14:paraId="3CE3C0D0" w14:textId="77777777" w:rsidR="00FA4EDF" w:rsidRDefault="00FA4EDF">
      <w:pPr>
        <w:pStyle w:val="Kop3"/>
        <w:divId w:val="982394320"/>
        <w:rPr>
          <w:rFonts w:eastAsia="Times New Roman"/>
          <w:lang w:val="de-DE"/>
        </w:rPr>
      </w:pPr>
      <w:bookmarkStart w:id="98" w:name="_Toc242103134"/>
      <w:r>
        <w:rPr>
          <w:rFonts w:eastAsia="Times New Roman"/>
          <w:lang w:val="de-DE"/>
        </w:rPr>
        <w:t>Teil C – Die Neuberechnung, die den Erfolg gefährdet</w:t>
      </w:r>
      <w:bookmarkEnd w:id="98"/>
    </w:p>
    <w:p w14:paraId="0868BD2A" w14:textId="77777777" w:rsidR="00FA4EDF" w:rsidRDefault="00FA4EDF">
      <w:pPr>
        <w:pStyle w:val="Normaalweb"/>
        <w:divId w:val="982394320"/>
        <w:rPr>
          <w:lang w:val="de-DE"/>
        </w:rPr>
      </w:pPr>
      <w:r>
        <w:rPr>
          <w:lang w:val="de-DE"/>
        </w:rPr>
        <w:t>Nun folgt der zweite Teil der Geschichte. Sobald die rückwirkende Neueinstufung des Vaters in den Status „unterhaltsberechtigter Invalide“ erfolgt ist, ändert sich die steuerliche Situation der Familie.</w:t>
      </w:r>
    </w:p>
    <w:p w14:paraId="352DABC8" w14:textId="77777777" w:rsidR="00FA4EDF" w:rsidRDefault="00FA4EDF">
      <w:pPr>
        <w:pStyle w:val="Normaalweb"/>
        <w:divId w:val="982394320"/>
        <w:rPr>
          <w:lang w:val="de-DE"/>
        </w:rPr>
      </w:pPr>
      <w:r>
        <w:rPr>
          <w:lang w:val="de-DE"/>
        </w:rPr>
        <w:t>Was sich ändert: Die Mutter wird netto mehr Geld zur Verfügung haben. Nicht, weil sie mehr brutto verdient, sondern weil die Familie durch die Anerkennung der Behinderung des Vaters Anspruch auf steuerliche Vergünstigungen erhält.</w:t>
      </w:r>
    </w:p>
    <w:p w14:paraId="3423E1FC" w14:textId="77777777" w:rsidR="00FA4EDF" w:rsidRDefault="00FA4EDF">
      <w:pPr>
        <w:pStyle w:val="Normaalweb"/>
        <w:divId w:val="982394320"/>
        <w:rPr>
          <w:lang w:val="de-DE"/>
        </w:rPr>
      </w:pPr>
      <w:r>
        <w:rPr>
          <w:lang w:val="de-DE"/>
        </w:rPr>
        <w:t>Und dann setzt der Kaskadeneffekt ein.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484511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FA16194" w14:textId="77777777" w:rsidR="00FA4EDF" w:rsidRDefault="00FA4EDF">
            <w:pPr>
              <w:pStyle w:val="Normaalweb"/>
              <w:spacing w:before="120"/>
              <w:jc w:val="center"/>
              <w:rPr>
                <w:sz w:val="21"/>
                <w:szCs w:val="21"/>
              </w:rPr>
            </w:pPr>
            <w:r>
              <w:rPr>
                <w:noProof/>
                <w:sz w:val="21"/>
                <w:szCs w:val="21"/>
              </w:rPr>
              <w:drawing>
                <wp:inline distT="0" distB="0" distL="0" distR="0" wp14:anchorId="4330385A" wp14:editId="69F7A5CA">
                  <wp:extent cx="3810000" cy="1593850"/>
                  <wp:effectExtent l="0" t="0" r="0" b="6350"/>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4D294D39" w14:textId="77777777" w:rsidR="00FA4EDF" w:rsidRDefault="00FA4EDF">
            <w:pPr>
              <w:pStyle w:val="caption"/>
              <w:spacing w:after="120" w:afterAutospacing="0"/>
            </w:pPr>
            <w:r>
              <w:rPr>
                <w:rStyle w:val="Zwaar"/>
              </w:rPr>
              <w:t>Abbildung XII.2 – Die Neuberechnung.</w:t>
            </w:r>
            <w:r>
              <w:t xml:space="preserve"> Die rückwirkende Statusänderung zu „unterhaltsberechtigter Invalide“ führt zu steuerlichen Vorteilen für die Familie. Das Familieneinkommen steigt auf dem Papier. Parentia senkt den Beitrag. Die SVB berechnet die Zulage neu. Möglicherweise mit Rückforderung. Was heute gilt, kann morgen durch eine automatische Neuberechnung rückgängig gemacht werden.</w:t>
            </w:r>
          </w:p>
        </w:tc>
      </w:tr>
    </w:tbl>
    <w:p w14:paraId="23286B00" w14:textId="77777777" w:rsidR="00FA4EDF" w:rsidRDefault="00FA4EDF">
      <w:pPr>
        <w:pStyle w:val="Kop3"/>
        <w:divId w:val="982394320"/>
        <w:rPr>
          <w:rFonts w:eastAsia="Times New Roman"/>
          <w:lang w:val="de-DE"/>
        </w:rPr>
      </w:pPr>
      <w:bookmarkStart w:id="99" w:name="_Toc242103135"/>
      <w:r>
        <w:rPr>
          <w:rFonts w:eastAsia="Times New Roman"/>
          <w:lang w:val="de-DE"/>
        </w:rPr>
        <w:t>Teil D – Was dieses Kapitel zeigt</w:t>
      </w:r>
      <w:bookmarkEnd w:id="99"/>
    </w:p>
    <w:p w14:paraId="609DB1F2" w14:textId="77777777" w:rsidR="00FA4EDF" w:rsidRDefault="00FA4EDF">
      <w:pPr>
        <w:pStyle w:val="Normaalweb"/>
        <w:divId w:val="982394320"/>
        <w:rPr>
          <w:lang w:val="de-DE"/>
        </w:rPr>
      </w:pPr>
      <w:r>
        <w:rPr>
          <w:lang w:val="de-DE"/>
        </w:rPr>
        <w:t>Dies ist das einzige Kapitel in Dokument C, in dem ein Mechanismus vollständig funktioniert. Und genau das macht es aus drei Gründen interessant:</w:t>
      </w:r>
    </w:p>
    <w:p w14:paraId="1CC06DAE" w14:textId="77777777" w:rsidR="00FA4EDF" w:rsidRDefault="00FA4EDF">
      <w:pPr>
        <w:pStyle w:val="Normaalweb"/>
        <w:divId w:val="982394320"/>
        <w:rPr>
          <w:lang w:val="de-DE"/>
        </w:rPr>
      </w:pPr>
      <w:r>
        <w:rPr>
          <w:rStyle w:val="Zwaar"/>
          <w:lang w:val="de-DE"/>
        </w:rPr>
        <w:t>Erstens:</w:t>
      </w:r>
      <w:r>
        <w:rPr>
          <w:lang w:val="de-DE"/>
        </w:rPr>
        <w:t xml:space="preserve"> </w:t>
      </w:r>
      <w:r>
        <w:rPr>
          <w:lang w:val="de-DE"/>
        </w:rPr>
        <w:t>Die europäische Koordinierung funktioniert bei den Familienbeihilfen sehr wohl, da die Verordnung einen expliziten Mechanismus (Überschneidung) vorschreibt und sich beide Länder daran halten. Wo dieser Mechanismus fehlt – wie bei medizinischen Leistungen, beim Pflegezuschlag oder beim Krankentransport –, funktioniert es nicht.</w:t>
      </w:r>
    </w:p>
    <w:p w14:paraId="1D3C5ABE" w14:textId="77777777" w:rsidR="00FA4EDF" w:rsidRDefault="00FA4EDF">
      <w:pPr>
        <w:pStyle w:val="Normaalweb"/>
        <w:divId w:val="982394320"/>
        <w:rPr>
          <w:lang w:val="de-DE"/>
        </w:rPr>
      </w:pPr>
      <w:r>
        <w:rPr>
          <w:rStyle w:val="Zwaar"/>
          <w:lang w:val="de-DE"/>
        </w:rPr>
        <w:t>Zweitens:</w:t>
      </w:r>
      <w:r>
        <w:rPr>
          <w:lang w:val="de-DE"/>
        </w:rPr>
        <w:t xml:space="preserve"> Der Zusatz im Namen des Vaters zeigt, dass dieselbe administrative Situation je nach Antragsteller zu unterschiedlichen Ergebnissen führt. Im Namen der Mutter: kein Zusatz. Im Namen des Vaters: doch ein Zusatz. Eine Familie, zwei Ergebnisse, abhängig von der formellen Rolle.</w:t>
      </w:r>
    </w:p>
    <w:p w14:paraId="2F71FD25" w14:textId="77777777" w:rsidR="00FA4EDF" w:rsidRDefault="00FA4EDF">
      <w:pPr>
        <w:pStyle w:val="Normaalweb"/>
        <w:divId w:val="982394320"/>
        <w:rPr>
          <w:lang w:val="de-DE"/>
        </w:rPr>
      </w:pPr>
      <w:r>
        <w:rPr>
          <w:rStyle w:val="Zwaar"/>
          <w:lang w:val="de-DE"/>
        </w:rPr>
        <w:t>Drittens:</w:t>
      </w:r>
      <w:r>
        <w:rPr>
          <w:lang w:val="de-DE"/>
        </w:rPr>
        <w:t xml:space="preserve"> Die rückwirkende Neuklassifizierung stellt ein neues Risiko dar. Sobald sich der Status des Vaters ändert, werden die Beträge neu berechnet. Was heute ein funktionierendes System ist, kann im nächsten Jahr zu einer Schuld führen. Nicht aufgrund eines Fehlers, sondern aufgrund einer Neuberechnung.</w:t>
      </w:r>
    </w:p>
    <w:p w14:paraId="43095147" w14:textId="77777777" w:rsidR="00FA4EDF" w:rsidRDefault="00FA4EDF">
      <w:pPr>
        <w:pStyle w:val="Normaalweb"/>
        <w:divId w:val="982394320"/>
        <w:rPr>
          <w:lang w:val="de-DE"/>
        </w:rPr>
      </w:pPr>
      <w:r>
        <w:rPr>
          <w:lang w:val="de-DE"/>
        </w:rPr>
        <w:t>Diese drei Punkte machen dieses Kapitel zum perfekten Gegenstück zur „Parentia-Treppe“ (Block II) und zur „Gemeinde Hulst-Treppe“ (Block III). Dieselben Behörden, ein anderes Ergebnis. Was diese Akte zeigt, ist, dass das System manchmal funktioniert – aber niemals garantiert. Erfolg ist die Ausnahme, nicht die Regel.</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1A6B708"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577FECA7"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Die SVB ist für den Zuschlag zum Kindergeld zuständig, wenn Sie in den Niederlanden wohnen und nicht im Ausland arbeiten. Hat Ihr Partner einen Beruf? Dann erhalten Sie in der Regel keinen Zuschlag auf Ihren eigenen Namen – erkundigen Sie sich bei der SVB nach der richtigen Zuteilung. </w:t>
            </w:r>
            <w:r>
              <w:rPr>
                <w:rFonts w:eastAsia="Times New Roman"/>
                <w:szCs w:val="22"/>
              </w:rPr>
              <w:br/>
            </w:r>
            <w:r>
              <w:rPr>
                <w:rFonts w:eastAsia="Times New Roman"/>
                <w:szCs w:val="22"/>
              </w:rPr>
              <w:br/>
            </w:r>
            <w:r>
              <w:rPr>
                <w:rStyle w:val="Nadruk"/>
                <w:rFonts w:eastAsia="Times New Roman"/>
                <w:szCs w:val="22"/>
              </w:rPr>
              <w:t>Beachten Sie bei rückwirkenden Änderungen:</w:t>
            </w:r>
            <w:r>
              <w:rPr>
                <w:rFonts w:eastAsia="Times New Roman"/>
                <w:szCs w:val="22"/>
              </w:rPr>
              <w:t xml:space="preserve"> Sobald einer der beiden Partner einen anderen steuerlichen Status erhält, berechnen sowohl Parentia als auch die SVB die Beträge neu. Dies kann zu Rückforderungen führen. Bewahren </w:t>
            </w:r>
            <w:r>
              <w:rPr>
                <w:rFonts w:eastAsia="Times New Roman"/>
                <w:szCs w:val="22"/>
              </w:rPr>
              <w:t xml:space="preserve">Sie alle Bescheide auf und überprüfen Sie die Neuberechnungen jährlich. </w:t>
            </w:r>
          </w:p>
        </w:tc>
      </w:tr>
    </w:tbl>
    <w:p w14:paraId="53C88B1E" w14:textId="77777777" w:rsidR="00FA4EDF" w:rsidRDefault="00FA4EDF">
      <w:pPr>
        <w:pStyle w:val="noot"/>
        <w:spacing w:after="120" w:afterAutospacing="0"/>
        <w:divId w:val="982394320"/>
        <w:rPr>
          <w:lang w:val="de-DE"/>
        </w:rPr>
      </w:pPr>
      <w:r>
        <w:rPr>
          <w:lang w:val="de-DE"/>
        </w:rPr>
        <w:t>Die Fakten basieren auf Dokument B. Die rückwirkende Neuberechnung ist eine Prognose auf der Grundlage des Musters der Neuberechnungen in den Akten; die endgültigen Beträge und das Ergebnis stehen noch nicht fest. Alle Organisationen in diesem Kapitel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w:t>
      </w:r>
    </w:p>
    <w:p w14:paraId="1C613306" w14:textId="77777777" w:rsidR="00FA4EDF" w:rsidRDefault="00FA4EDF">
      <w:pPr>
        <w:pStyle w:val="marker"/>
        <w:ind w:left="800" w:right="800"/>
        <w:divId w:val="982394320"/>
        <w:rPr>
          <w:lang w:val="de-DE"/>
        </w:rPr>
      </w:pPr>
      <w:r>
        <w:br w:type="page"/>
      </w:r>
    </w:p>
    <w:p w14:paraId="0F60C1EC" w14:textId="77777777" w:rsidR="00FA4EDF" w:rsidRDefault="00FA4EDF">
      <w:pPr>
        <w:pStyle w:val="Kop2"/>
        <w:divId w:val="982394320"/>
        <w:rPr>
          <w:rFonts w:eastAsia="Times New Roman"/>
          <w:lang w:val="de-DE"/>
        </w:rPr>
      </w:pPr>
      <w:bookmarkStart w:id="100" w:name="_Toc242103136"/>
      <w:r>
        <w:rPr>
          <w:rFonts w:eastAsia="Times New Roman"/>
          <w:lang w:val="de-DE"/>
        </w:rPr>
        <w:t>Der Körper ohne Rückendeckung</w:t>
      </w:r>
      <w:bookmarkEnd w:id="100"/>
    </w:p>
    <w:p w14:paraId="0DFC3375" w14:textId="77777777" w:rsidR="00FA4EDF" w:rsidRDefault="00FA4EDF">
      <w:pPr>
        <w:pStyle w:val="lead"/>
        <w:divId w:val="982394320"/>
        <w:rPr>
          <w:lang w:val="de-DE"/>
        </w:rPr>
      </w:pPr>
      <w:r>
        <w:rPr>
          <w:lang w:val="de-DE"/>
        </w:rPr>
        <w:t>Ein Grenzgänger wohnt in den Niederlanden und wird in Belgien behandelt. Seine gesamten medizinischen Unterlagen befinden sich in belgischen Datensilos. Was passiert, wenn in seinem eigenen Wohnsitzland etwas schiefgeht? Ein Notfall, ein Sturz, eine akute Komplikation? Wer ist dann der Arzt, der ihn kennt? Die Antwort lautet: niemand. Das Gesetz verbietet es.</w:t>
      </w:r>
    </w:p>
    <w:p w14:paraId="1F4ED63D" w14:textId="77777777" w:rsidR="00FA4EDF" w:rsidRDefault="00FA4EDF">
      <w:pPr>
        <w:pStyle w:val="Kop3"/>
        <w:divId w:val="982394320"/>
        <w:rPr>
          <w:rFonts w:eastAsia="Times New Roman"/>
          <w:lang w:val="de-DE"/>
        </w:rPr>
      </w:pPr>
      <w:bookmarkStart w:id="101" w:name="_Toc242103137"/>
      <w:r>
        <w:rPr>
          <w:rFonts w:eastAsia="Times New Roman"/>
          <w:lang w:val="de-DE"/>
        </w:rPr>
        <w:t>Teil A – Die rechtliche Unmöglichkeit</w:t>
      </w:r>
      <w:bookmarkEnd w:id="101"/>
    </w:p>
    <w:p w14:paraId="2E7DA79F" w14:textId="77777777" w:rsidR="00FA4EDF" w:rsidRDefault="00FA4EDF">
      <w:pPr>
        <w:pStyle w:val="Normaalweb"/>
        <w:divId w:val="982394320"/>
        <w:rPr>
          <w:lang w:val="de-DE"/>
        </w:rPr>
      </w:pPr>
      <w:r>
        <w:rPr>
          <w:lang w:val="de-DE"/>
        </w:rPr>
        <w:t>In den Niederlanden darf ein Patient nur bei einer Hausarztpraxis angemeldet sein. Wer sich bei einer neuen Praxis anmeldet, wird automatisch bei der alten abgemeldet. Das ist ein landesweites System, das Doppelanmeldungen verhindert. Für einen normalen Niederländer ist das logisch. Für einen Grenzgänger, der sein gesamtes medizinisches Leben im Ausland verbringt, ist es jedoch ein Problem.</w:t>
      </w:r>
    </w:p>
    <w:p w14:paraId="259440DA" w14:textId="77777777" w:rsidR="00FA4EDF" w:rsidRDefault="00FA4EDF">
      <w:pPr>
        <w:pStyle w:val="Normaalweb"/>
        <w:divId w:val="982394320"/>
        <w:rPr>
          <w:lang w:val="de-DE"/>
        </w:rPr>
      </w:pPr>
      <w:r>
        <w:rPr>
          <w:lang w:val="de-DE"/>
        </w:rPr>
        <w:t>Der Grund, warum eine doppelte Registrierung verboten ist: Das niederländische Krankenversicherungsgesetz und die Verwaltungsvorschriften für die hausärztliche Versorgung verbieten eine grenzüberschreitende doppelte Registrierung. Ein Hausarzt darf einen Bürger nur dann registrieren, wenn er auch tatsächlich die primäre und aktive medizinische Verantwortung trägt. Eine Registrierung ohne aktive Behandlung ist rechtlich nicht möglich.</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0B9F655"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388A69D" w14:textId="77777777" w:rsidR="00FA4EDF" w:rsidRDefault="00FA4EDF">
            <w:pPr>
              <w:pStyle w:val="Normaalweb"/>
              <w:spacing w:before="120"/>
              <w:jc w:val="center"/>
              <w:rPr>
                <w:sz w:val="21"/>
                <w:szCs w:val="21"/>
              </w:rPr>
            </w:pPr>
            <w:r>
              <w:rPr>
                <w:noProof/>
                <w:sz w:val="21"/>
                <w:szCs w:val="21"/>
              </w:rPr>
              <w:drawing>
                <wp:inline distT="0" distB="0" distL="0" distR="0" wp14:anchorId="7E12364B" wp14:editId="47C4F4FF">
                  <wp:extent cx="3810000" cy="1454150"/>
                  <wp:effectExtent l="0" t="0" r="0" b="0"/>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6C6CB072" w14:textId="77777777" w:rsidR="00FA4EDF" w:rsidRDefault="00FA4EDF">
            <w:pPr>
              <w:pStyle w:val="caption"/>
              <w:spacing w:after="120" w:afterAutospacing="0"/>
            </w:pPr>
            <w:r>
              <w:rPr>
                <w:rStyle w:val="Zwaar"/>
              </w:rPr>
              <w:t>Abbildung XIX.1 – Die rechtliche Unmöglichkeit.</w:t>
            </w:r>
            <w:r>
              <w:t xml:space="preserve"> Der Patient verfügt in Belgien über seine vollständige Krankenakte. In den Niederlanden kann er sich nicht medizinisch registrieren lassen, da das Gesetz Doppelregistrierungen verbietet. Er lebt in einem Land, in dem kein einziger Arzt seine Krankenakte kennt.</w:t>
            </w:r>
          </w:p>
        </w:tc>
      </w:tr>
    </w:tbl>
    <w:p w14:paraId="192BEA88" w14:textId="77777777" w:rsidR="00FA4EDF" w:rsidRDefault="00FA4EDF">
      <w:pPr>
        <w:pStyle w:val="Kop3"/>
        <w:divId w:val="982394320"/>
        <w:rPr>
          <w:rFonts w:eastAsia="Times New Roman"/>
          <w:lang w:val="de-DE"/>
        </w:rPr>
      </w:pPr>
      <w:bookmarkStart w:id="102" w:name="_Toc242103138"/>
      <w:r>
        <w:rPr>
          <w:rFonts w:eastAsia="Times New Roman"/>
          <w:lang w:val="de-DE"/>
        </w:rPr>
        <w:t>Teil B – Die praktischen Auswirkungen</w:t>
      </w:r>
      <w:bookmarkEnd w:id="102"/>
    </w:p>
    <w:p w14:paraId="44D11A1B" w14:textId="77777777" w:rsidR="00FA4EDF" w:rsidRDefault="00FA4EDF">
      <w:pPr>
        <w:pStyle w:val="Normaalweb"/>
        <w:divId w:val="982394320"/>
        <w:rPr>
          <w:lang w:val="de-DE"/>
        </w:rPr>
      </w:pPr>
      <w:r>
        <w:rPr>
          <w:lang w:val="de-DE"/>
        </w:rPr>
        <w:t>Was passiert, wenn im Wohnsitzland ein medizinisches Problem auftritt?</w:t>
      </w:r>
    </w:p>
    <w:p w14:paraId="24E34837" w14:textId="77777777" w:rsidR="00FA4EDF" w:rsidRDefault="00FA4EDF">
      <w:pPr>
        <w:numPr>
          <w:ilvl w:val="0"/>
          <w:numId w:val="19"/>
        </w:numPr>
        <w:spacing w:before="100" w:beforeAutospacing="1" w:after="100" w:afterAutospacing="1"/>
        <w:divId w:val="982394320"/>
        <w:rPr>
          <w:rFonts w:eastAsia="Times New Roman"/>
          <w:lang w:val="de-DE"/>
        </w:rPr>
      </w:pPr>
      <w:r>
        <w:rPr>
          <w:rFonts w:eastAsia="Times New Roman"/>
          <w:lang w:val="de-DE"/>
        </w:rPr>
        <w:t>Ein Sturz zu Hause, eine akute Komplikation des Diabetes, eine Infektion der Amputationswunde – der Hausarzt im Bereitschaftsdienst kennt die Krankenakte nicht.</w:t>
      </w:r>
    </w:p>
    <w:p w14:paraId="3E56279E" w14:textId="77777777" w:rsidR="00FA4EDF" w:rsidRDefault="00FA4EDF">
      <w:pPr>
        <w:numPr>
          <w:ilvl w:val="0"/>
          <w:numId w:val="19"/>
        </w:numPr>
        <w:spacing w:before="100" w:beforeAutospacing="1" w:after="100" w:afterAutospacing="1"/>
        <w:divId w:val="982394320"/>
        <w:rPr>
          <w:rFonts w:eastAsia="Times New Roman"/>
          <w:lang w:val="de-DE"/>
        </w:rPr>
      </w:pPr>
      <w:r>
        <w:rPr>
          <w:rFonts w:eastAsia="Times New Roman"/>
          <w:lang w:val="de-DE"/>
        </w:rPr>
        <w:t>Der behandelnde Arzt muss auf der Grundlage begrenzter Informationen eine Entscheidung treffen – ohne Kenntnis der Amputationsgeschichte, ohne die Medikamentenliste und ohne Kenntnis der spezifischen Anforderungen an die Wundversorgung.</w:t>
      </w:r>
    </w:p>
    <w:p w14:paraId="0A3AB6BD" w14:textId="77777777" w:rsidR="00FA4EDF" w:rsidRDefault="00FA4EDF">
      <w:pPr>
        <w:numPr>
          <w:ilvl w:val="0"/>
          <w:numId w:val="19"/>
        </w:numPr>
        <w:spacing w:before="100" w:beforeAutospacing="1" w:after="100" w:afterAutospacing="1"/>
        <w:divId w:val="982394320"/>
        <w:rPr>
          <w:rFonts w:eastAsia="Times New Roman"/>
          <w:lang w:val="de-DE"/>
        </w:rPr>
      </w:pPr>
      <w:r>
        <w:rPr>
          <w:rFonts w:eastAsia="Times New Roman"/>
          <w:lang w:val="de-DE"/>
        </w:rPr>
        <w:t>Der Patient muss den Sachverhalt selbst erläutern – in einer Notsituation ist er dazu möglicherweise nicht in der Lage.</w:t>
      </w:r>
    </w:p>
    <w:p w14:paraId="09811813" w14:textId="77777777" w:rsidR="00FA4EDF" w:rsidRDefault="00FA4EDF">
      <w:pPr>
        <w:numPr>
          <w:ilvl w:val="0"/>
          <w:numId w:val="19"/>
        </w:numPr>
        <w:spacing w:before="100" w:beforeAutospacing="1" w:after="100" w:afterAutospacing="1"/>
        <w:divId w:val="982394320"/>
        <w:rPr>
          <w:rFonts w:eastAsia="Times New Roman"/>
          <w:lang w:val="de-DE"/>
        </w:rPr>
      </w:pPr>
      <w:r>
        <w:rPr>
          <w:rFonts w:eastAsia="Times New Roman"/>
          <w:lang w:val="de-DE"/>
        </w:rPr>
        <w:t>Bei einer Notaufnahme in einer niederländischen Klinik: keine Krankenakte, keine Medikamentenhistorie, kein Wundversorgungsprotokoll.</w:t>
      </w:r>
    </w:p>
    <w:p w14:paraId="38855935" w14:textId="77777777" w:rsidR="00FA4EDF" w:rsidRDefault="00FA4EDF">
      <w:pPr>
        <w:pStyle w:val="Normaalweb"/>
        <w:divId w:val="982394320"/>
        <w:rPr>
          <w:lang w:val="de-DE"/>
        </w:rPr>
      </w:pPr>
      <w:r>
        <w:rPr>
          <w:lang w:val="de-DE"/>
        </w:rPr>
        <w:t>In der Akte wurde ausdrücklich versucht, dies durch eine rein informative Registrierung bei einer niederländischen Hausarztpraxis zu regeln. Keine aktive Behandlung, sondern lediglich die Erfassung der Aktenlage auf niederländischem Gebiet, damit ein Bereitschaftsdienst oder ein Notarzt sehen könnte, worum es geht.</w:t>
      </w:r>
    </w:p>
    <w:p w14:paraId="6EBC2AF4" w14:textId="77777777" w:rsidR="00FA4EDF" w:rsidRDefault="00FA4EDF">
      <w:pPr>
        <w:pStyle w:val="Normaalweb"/>
        <w:divId w:val="982394320"/>
        <w:rPr>
          <w:lang w:val="de-DE"/>
        </w:rPr>
      </w:pPr>
      <w:r>
        <w:rPr>
          <w:lang w:val="de-DE"/>
        </w:rPr>
        <w:t>Dieser Antrag wurde abgelehnt. Die Praxis räumte telefonisch ein, dass dies in einer idealen Welt die richtige Lösung wäre, das Gesetz dies jedoch nicht zulasse. Eine Registrierung ohne aktive Behandlungsbeziehung sei rechtlich nicht möglich. Das Schreiben bestätigte die systemseitige Sperre, ohne Raum für eine erneute Prüfung zu lassen.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AF0E95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3C8D7A3" w14:textId="77777777" w:rsidR="00FA4EDF" w:rsidRDefault="00FA4EDF">
            <w:pPr>
              <w:pStyle w:val="Normaalweb"/>
              <w:spacing w:before="120"/>
              <w:jc w:val="center"/>
              <w:rPr>
                <w:sz w:val="21"/>
                <w:szCs w:val="21"/>
              </w:rPr>
            </w:pPr>
            <w:r>
              <w:rPr>
                <w:noProof/>
                <w:sz w:val="21"/>
                <w:szCs w:val="21"/>
              </w:rPr>
              <w:drawing>
                <wp:inline distT="0" distB="0" distL="0" distR="0" wp14:anchorId="42501188" wp14:editId="7B60B321">
                  <wp:extent cx="3810000" cy="1104900"/>
                  <wp:effectExtent l="0" t="0" r="0" b="0"/>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0B0571F1" w14:textId="77777777" w:rsidR="00FA4EDF" w:rsidRDefault="00FA4EDF">
            <w:pPr>
              <w:pStyle w:val="caption"/>
              <w:spacing w:after="120" w:afterAutospacing="0"/>
            </w:pPr>
            <w:r>
              <w:rPr>
                <w:rStyle w:val="Zwaar"/>
              </w:rPr>
              <w:t>Abbildung XIX.2 – Die Antwort der Praxis.</w:t>
            </w:r>
            <w:r>
              <w:t xml:space="preserve"> Die Hausarztpraxis räumte ein, dass eine informative Registrierung theoretisch die ideale Lösung wäre, das Gesetz jedoch eine doppelte Registrierung über die Grenze hinweg verbietet. Die Praxis kann keinen Patienten ohne aktive Behandlungsbeziehung registrieren.</w:t>
            </w:r>
          </w:p>
        </w:tc>
      </w:tr>
    </w:tbl>
    <w:p w14:paraId="373490B0" w14:textId="77777777" w:rsidR="00FA4EDF" w:rsidRDefault="00FA4EDF">
      <w:pPr>
        <w:pStyle w:val="Kop3"/>
        <w:divId w:val="982394320"/>
        <w:rPr>
          <w:rFonts w:eastAsia="Times New Roman"/>
          <w:lang w:val="de-DE"/>
        </w:rPr>
      </w:pPr>
      <w:bookmarkStart w:id="103" w:name="_Toc242103139"/>
      <w:r>
        <w:rPr>
          <w:rFonts w:eastAsia="Times New Roman"/>
          <w:lang w:val="de-DE"/>
        </w:rPr>
        <w:t>Teil C – Das Gesetz, das die Familie schützt und lähmt</w:t>
      </w:r>
      <w:bookmarkEnd w:id="103"/>
    </w:p>
    <w:p w14:paraId="769F80EF" w14:textId="77777777" w:rsidR="00FA4EDF" w:rsidRDefault="00FA4EDF">
      <w:pPr>
        <w:pStyle w:val="Normaalweb"/>
        <w:divId w:val="982394320"/>
        <w:rPr>
          <w:lang w:val="de-DE"/>
        </w:rPr>
      </w:pPr>
      <w:r>
        <w:rPr>
          <w:lang w:val="de-DE"/>
        </w:rPr>
        <w:t>Die Regelung, dass ein Patient nur bei einer Hausarztpraxis registriert sein darf, soll die Qualität und Kontinuität der Versorgung gewährleisten. Für normale Bürger funktioniert diese Regelung. Für Grenzgänger, die ihre gesamte medizinische Versorgung in einem anderen Land in Anspruch nehmen, führt dieselbe Regelung jedoch zu einer Sicherheitslücke.</w:t>
      </w:r>
    </w:p>
    <w:p w14:paraId="60223839" w14:textId="77777777" w:rsidR="00FA4EDF" w:rsidRDefault="00FA4EDF">
      <w:pPr>
        <w:pStyle w:val="Normaalweb"/>
        <w:divId w:val="982394320"/>
        <w:rPr>
          <w:lang w:val="de-DE"/>
        </w:rPr>
      </w:pPr>
      <w:r>
        <w:rPr>
          <w:lang w:val="de-DE"/>
        </w:rPr>
        <w:t>Die Europäische Union erkennt das Recht auf Freizügigkeit an. Sie erkennt auch das Recht auf medizinische Versorgung im Ausland an. Sie bietet jedoch keine Lösung für Patienten, deren Krankenakte in einem Mitgliedstaat geführt wird, während sie sich in einem anderen Mitgliedstaat aufhalten. Das Gesetz gewährleistet die Kontinuität innerhalb eines Landes. Es sieht jedoch keine Kontinuität über die Grenze hinweg vor.</w:t>
      </w:r>
    </w:p>
    <w:p w14:paraId="1BD3D606" w14:textId="77777777" w:rsidR="00FA4EDF" w:rsidRDefault="00FA4EDF">
      <w:pPr>
        <w:pStyle w:val="Normaalweb"/>
        <w:divId w:val="982394320"/>
        <w:rPr>
          <w:lang w:val="de-DE"/>
        </w:rPr>
      </w:pPr>
      <w:r>
        <w:rPr>
          <w:lang w:val="de-DE"/>
        </w:rPr>
        <w:t>Was der Familie bleibt, ist eine pragmatische Lösung: Der Patient führt seine eigene Krankengeschichte in Papierform oder digital mit sich. Bei einem Notfallbesuch bei einem niederländischen Arzt muss er selbst erklären können, was los ist. Bei einer Krankenhauseinweisung in den Niederlanden muss er die belgischen Unterlagen selbst vorlegen. Er ist nicht nur die zentrale Anlaufstelle für die Verwaltung, sondern auch für seine eigene akute medizinische Sicherheit.</w:t>
      </w:r>
    </w:p>
    <w:p w14:paraId="28C66C90" w14:textId="77777777" w:rsidR="00FA4EDF" w:rsidRDefault="00FA4EDF">
      <w:pPr>
        <w:pStyle w:val="Kop3"/>
        <w:divId w:val="982394320"/>
        <w:rPr>
          <w:rFonts w:eastAsia="Times New Roman"/>
          <w:lang w:val="de-DE"/>
        </w:rPr>
      </w:pPr>
      <w:bookmarkStart w:id="104" w:name="_Toc242103140"/>
      <w:r>
        <w:rPr>
          <w:rFonts w:eastAsia="Times New Roman"/>
          <w:lang w:val="de-DE"/>
        </w:rPr>
        <w:t>Teil D – Das Paradoxon</w:t>
      </w:r>
      <w:bookmarkEnd w:id="10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E2B9A74"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F3F959F" w14:textId="77777777" w:rsidR="00FA4EDF" w:rsidRDefault="00FA4EDF">
            <w:pPr>
              <w:pStyle w:val="Normaalweb"/>
              <w:spacing w:before="120"/>
              <w:jc w:val="center"/>
              <w:rPr>
                <w:sz w:val="21"/>
                <w:szCs w:val="21"/>
              </w:rPr>
            </w:pPr>
            <w:r>
              <w:rPr>
                <w:noProof/>
                <w:sz w:val="21"/>
                <w:szCs w:val="21"/>
              </w:rPr>
              <w:drawing>
                <wp:inline distT="0" distB="0" distL="0" distR="0" wp14:anchorId="3E724BCC" wp14:editId="266E9541">
                  <wp:extent cx="3810000" cy="1104900"/>
                  <wp:effectExtent l="0" t="0" r="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10000" cy="1104900"/>
                          </a:xfrm>
                          <a:prstGeom prst="rect">
                            <a:avLst/>
                          </a:prstGeom>
                          <a:noFill/>
                          <a:ln>
                            <a:noFill/>
                          </a:ln>
                        </pic:spPr>
                      </pic:pic>
                    </a:graphicData>
                  </a:graphic>
                </wp:inline>
              </w:drawing>
            </w:r>
          </w:p>
          <w:p w14:paraId="255BCF47" w14:textId="77777777" w:rsidR="00FA4EDF" w:rsidRDefault="00FA4EDF">
            <w:pPr>
              <w:pStyle w:val="caption"/>
              <w:spacing w:after="120" w:afterAutospacing="0"/>
            </w:pPr>
            <w:r>
              <w:rPr>
                <w:rStyle w:val="Zwaar"/>
              </w:rPr>
              <w:t>Abbildung XIX.3 – Das Paradoxon.</w:t>
            </w:r>
            <w:r>
              <w:t xml:space="preserve"> Das Gesetz gewährleistet die Kontinuität der Gesundheitsversorgung innerhalb eines Landes. Es sieht jedoch keine Kontinuität über die Grenze hinweg vor. Für einen normalen Bürger funktioniert diese Regelung. Für einen Grenzgänger schafft dieselbe Regelung jedoch eine Sicherheitslücke.</w:t>
            </w:r>
          </w:p>
        </w:tc>
      </w:tr>
    </w:tbl>
    <w:p w14:paraId="79D12ECD" w14:textId="77777777" w:rsidR="00FA4EDF" w:rsidRDefault="00FA4EDF">
      <w:pPr>
        <w:pStyle w:val="Kop3"/>
        <w:divId w:val="982394320"/>
        <w:rPr>
          <w:rFonts w:eastAsia="Times New Roman"/>
          <w:lang w:val="de-DE"/>
        </w:rPr>
      </w:pPr>
      <w:bookmarkStart w:id="105" w:name="_Toc242103141"/>
      <w:r>
        <w:rPr>
          <w:rFonts w:eastAsia="Times New Roman"/>
          <w:lang w:val="de-DE"/>
        </w:rPr>
        <w:t>Was in diesem Kapitel dargelegt wird</w:t>
      </w:r>
      <w:bookmarkEnd w:id="105"/>
    </w:p>
    <w:p w14:paraId="68FD666E" w14:textId="77777777" w:rsidR="00FA4EDF" w:rsidRDefault="00FA4EDF">
      <w:pPr>
        <w:pStyle w:val="Normaalweb"/>
        <w:divId w:val="982394320"/>
        <w:rPr>
          <w:lang w:val="de-DE"/>
        </w:rPr>
      </w:pPr>
      <w:r>
        <w:rPr>
          <w:lang w:val="de-DE"/>
        </w:rPr>
        <w:t>Der Patient wohnt in den Niederlanden, seine gesamte Krankengeschichte liegt jedoch in Belgien vor. Das niederländische Gesetz verbietet eine doppelte Registrierung bei Hausärzten. Der Patient kann sich daher in dem Land, in dem er wohnt, nicht medizinisch verankern. Und in einem Notfall gibt es keinen Arzt, der seine Akte kennt.</w:t>
      </w:r>
    </w:p>
    <w:p w14:paraId="5C4F82D2" w14:textId="77777777" w:rsidR="00FA4EDF" w:rsidRDefault="00FA4EDF">
      <w:pPr>
        <w:pStyle w:val="Normaalweb"/>
        <w:divId w:val="982394320"/>
        <w:rPr>
          <w:lang w:val="de-DE"/>
        </w:rPr>
      </w:pPr>
      <w:r>
        <w:rPr>
          <w:lang w:val="de-DE"/>
        </w:rPr>
        <w:t>Die dazu befragte Hausarztpraxis räumte ein, dass dies in einer idealen Welt die richtige Lösung wäre. Das Gesetz verbietet es jedoch. Die Europäische Union erkennt die Freizügigkeit und die grenzüberschreitende medizinische Versorgung an, sieht jedoch keine grenzüberschreitende medizinische Kontinuität vor. Die Familie löst das Problem, indem sie den Patienten seine eigene Krankenakte selbst mitführen lässt. Noch einmal: nicht, weil das System dies vorsieht, sondern weil es keine Alternative gibt.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75066769"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715A8B9A"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Drei Dinge, die Sie wissen sollten: </w:t>
            </w:r>
          </w:p>
          <w:p w14:paraId="39AA8091" w14:textId="77777777" w:rsidR="00FA4EDF" w:rsidRDefault="00FA4EDF">
            <w:pPr>
              <w:numPr>
                <w:ilvl w:val="0"/>
                <w:numId w:val="20"/>
              </w:numPr>
              <w:spacing w:before="100" w:beforeAutospacing="1" w:after="100" w:afterAutospacing="1"/>
              <w:rPr>
                <w:rFonts w:eastAsia="Times New Roman"/>
                <w:szCs w:val="22"/>
              </w:rPr>
            </w:pPr>
            <w:r>
              <w:rPr>
                <w:rFonts w:eastAsia="Times New Roman"/>
                <w:szCs w:val="22"/>
              </w:rPr>
              <w:t>Eine rein informative Anmeldung bei einer niederländischen Hausarztpraxis ist gesetzlich nicht möglich. Fordern Sie bei Ihrem belgischen Hausarzt einen aktuellen medizinischen Pass in Papierform an (Medikamentenliste, Diagnosen, behandelnde Ärzte).</w:t>
            </w:r>
          </w:p>
          <w:p w14:paraId="5D130A9F" w14:textId="77777777" w:rsidR="00FA4EDF" w:rsidRDefault="00FA4EDF">
            <w:pPr>
              <w:numPr>
                <w:ilvl w:val="0"/>
                <w:numId w:val="20"/>
              </w:numPr>
              <w:spacing w:before="100" w:beforeAutospacing="1" w:after="100" w:afterAutospacing="1"/>
              <w:rPr>
                <w:rFonts w:eastAsia="Times New Roman"/>
                <w:szCs w:val="22"/>
              </w:rPr>
            </w:pPr>
            <w:r>
              <w:rPr>
                <w:rFonts w:eastAsia="Times New Roman"/>
                <w:szCs w:val="22"/>
              </w:rPr>
              <w:t>Tragen Sie diesen Pass immer bei sich, auch in Notfällen. Legen Sie gegebenenfalls eine Notfallkarte mit den wichtigsten medizinischen Daten in Ihre Brieftasche.</w:t>
            </w:r>
          </w:p>
          <w:p w14:paraId="3E8B6EB2" w14:textId="77777777" w:rsidR="00FA4EDF" w:rsidRDefault="00FA4EDF">
            <w:pPr>
              <w:numPr>
                <w:ilvl w:val="0"/>
                <w:numId w:val="20"/>
              </w:numPr>
              <w:spacing w:before="100" w:beforeAutospacing="1" w:after="100" w:afterAutospacing="1"/>
              <w:rPr>
                <w:rFonts w:eastAsia="Times New Roman"/>
                <w:szCs w:val="22"/>
              </w:rPr>
            </w:pPr>
            <w:r>
              <w:rPr>
                <w:rFonts w:eastAsia="Times New Roman"/>
                <w:szCs w:val="22"/>
              </w:rPr>
              <w:t>Speichern Sie eine digitale Version der wichtigsten Berichte auf einem USB-Stick oder in einer gesicherten Cloud, damit Sie diese bei einer Krankenhauseinweisung in den Niederlanden sofort vorlegen können.</w:t>
            </w:r>
          </w:p>
          <w:p w14:paraId="062282F3" w14:textId="77777777" w:rsidR="00FA4EDF" w:rsidRDefault="00FA4EDF">
            <w:pPr>
              <w:spacing w:after="0"/>
              <w:rPr>
                <w:rFonts w:eastAsia="Times New Roman"/>
                <w:szCs w:val="22"/>
              </w:rPr>
            </w:pPr>
            <w:r>
              <w:rPr>
                <w:rFonts w:eastAsia="Times New Roman"/>
                <w:szCs w:val="22"/>
              </w:rPr>
              <w:t xml:space="preserve">Was langfristige, strukturelle Lösungen angeht: Dies ist einer der Punkte, für die die Europäische Union noch keine Lösung gefunden hat. Ihr Hinweis trägt dazu bei, den Druck zu erhöhen, dies zu ändern. </w:t>
            </w:r>
          </w:p>
        </w:tc>
      </w:tr>
    </w:tbl>
    <w:p w14:paraId="11BA1DC2"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bezeichnet. Die Angaben basieren auf Dokument B. Dieses Kapitel stellt keine rechtliche oder medizinische Beratung dar.</w:t>
      </w:r>
    </w:p>
    <w:p w14:paraId="107628A6" w14:textId="77777777" w:rsidR="00FA4EDF" w:rsidRDefault="00FA4EDF">
      <w:pPr>
        <w:pStyle w:val="marker"/>
        <w:ind w:left="800" w:right="800"/>
        <w:divId w:val="982394320"/>
        <w:rPr>
          <w:lang w:val="de-DE"/>
        </w:rPr>
      </w:pPr>
      <w:r>
        <w:br w:type="page"/>
      </w:r>
    </w:p>
    <w:p w14:paraId="253F149F" w14:textId="77777777" w:rsidR="00FA4EDF" w:rsidRDefault="00FA4EDF">
      <w:pPr>
        <w:pStyle w:val="Kop2"/>
        <w:divId w:val="982394320"/>
        <w:rPr>
          <w:rFonts w:eastAsia="Times New Roman"/>
          <w:lang w:val="de-DE"/>
        </w:rPr>
      </w:pPr>
      <w:bookmarkStart w:id="106" w:name="_Toc242103142"/>
      <w:r>
        <w:rPr>
          <w:rFonts w:eastAsia="Times New Roman"/>
          <w:lang w:val="de-DE"/>
        </w:rPr>
        <w:t>Der zentrale Topf</w:t>
      </w:r>
      <w:bookmarkEnd w:id="106"/>
    </w:p>
    <w:p w14:paraId="0006D847" w14:textId="77777777" w:rsidR="00FA4EDF" w:rsidRDefault="00FA4EDF">
      <w:pPr>
        <w:pStyle w:val="lead"/>
        <w:divId w:val="982394320"/>
        <w:rPr>
          <w:lang w:val="de-DE"/>
        </w:rPr>
      </w:pPr>
      <w:r>
        <w:rPr>
          <w:lang w:val="de-DE"/>
        </w:rPr>
        <w:t>In allen vorangegangenen Kapiteln wurden Behörden beschrieben, die Anträge ablehnen, Verfahren, die ins Stocken geraten, und Systeme, die die tatsächliche Situation nicht erfassen. Dieses Kapitel zeigt das Ergebnis. Wenn die Sozialleistungen ausbleiben, die Zulagen bei null bleiben, die medizinischen Kosten weiter steigen und niemand die Lücke schließt, bleibt nur noch ein Akteur übrig: der private Markt. Die Bank. Der Energieversorger. Der Netzbetreiber. Und diese arbeiten nicht mit Protokollen, sondern mi</w:t>
      </w:r>
      <w:r>
        <w:rPr>
          <w:lang w:val="de-DE"/>
        </w:rPr>
        <w:t>t Zahlungsfristen.</w:t>
      </w:r>
    </w:p>
    <w:p w14:paraId="21A3DE55" w14:textId="77777777" w:rsidR="00FA4EDF" w:rsidRDefault="00FA4EDF">
      <w:pPr>
        <w:pStyle w:val="Kop3"/>
        <w:divId w:val="982394320"/>
        <w:rPr>
          <w:rFonts w:eastAsia="Times New Roman"/>
          <w:lang w:val="de-DE"/>
        </w:rPr>
      </w:pPr>
      <w:bookmarkStart w:id="107" w:name="_Toc242103143"/>
      <w:r>
        <w:rPr>
          <w:rFonts w:eastAsia="Times New Roman"/>
          <w:lang w:val="de-DE"/>
        </w:rPr>
        <w:t>Teil A – Das Konto als Rücklage</w:t>
      </w:r>
      <w:bookmarkEnd w:id="10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323512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69521BF" w14:textId="77777777" w:rsidR="00FA4EDF" w:rsidRDefault="00FA4EDF">
            <w:pPr>
              <w:pStyle w:val="Normaalweb"/>
              <w:spacing w:before="120"/>
              <w:jc w:val="center"/>
              <w:rPr>
                <w:sz w:val="21"/>
                <w:szCs w:val="21"/>
              </w:rPr>
            </w:pPr>
            <w:r>
              <w:rPr>
                <w:noProof/>
                <w:sz w:val="21"/>
                <w:szCs w:val="21"/>
              </w:rPr>
              <w:drawing>
                <wp:inline distT="0" distB="0" distL="0" distR="0" wp14:anchorId="47A1F8B8" wp14:editId="11B6A1EC">
                  <wp:extent cx="3810000" cy="1593850"/>
                  <wp:effectExtent l="0" t="0" r="0" b="6350"/>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423C6CB6" w14:textId="77777777" w:rsidR="00FA4EDF" w:rsidRDefault="00FA4EDF">
            <w:pPr>
              <w:pStyle w:val="caption"/>
              <w:spacing w:after="120" w:afterAutospacing="0"/>
            </w:pPr>
            <w:r>
              <w:rPr>
                <w:rStyle w:val="Zwaar"/>
              </w:rPr>
              <w:t>Abbildung XX.1 – Das Konto als Reservoir.</w:t>
            </w:r>
            <w:r>
              <w:t xml:space="preserve"> Was nicht in Form von Sozialleistungen und Zulagen hereinkommt und was in Form von medizinischen Kosten abfließt, führt zu einem Defizit auf dem Bankkonto. Dieses Defizit wird von kommerziellen Akteuren aufgefangen: der Bank, dem Energieversorger, dem Inkassounternehmen. Gegen Zinsen, gegen Sanktionen, gegen strenge Auflagen.</w:t>
            </w:r>
          </w:p>
        </w:tc>
      </w:tr>
    </w:tbl>
    <w:p w14:paraId="1CEDAA4D" w14:textId="77777777" w:rsidR="00FA4EDF" w:rsidRDefault="00FA4EDF">
      <w:pPr>
        <w:pStyle w:val="Kop3"/>
        <w:divId w:val="982394320"/>
        <w:rPr>
          <w:rFonts w:eastAsia="Times New Roman"/>
          <w:lang w:val="de-DE"/>
        </w:rPr>
      </w:pPr>
      <w:bookmarkStart w:id="108" w:name="_Toc242103144"/>
      <w:r>
        <w:rPr>
          <w:rFonts w:eastAsia="Times New Roman"/>
          <w:lang w:val="de-DE"/>
        </w:rPr>
        <w:t>Teil B – Die drei privaten Tore</w:t>
      </w:r>
      <w:bookmarkEnd w:id="108"/>
    </w:p>
    <w:p w14:paraId="64AB10FB" w14:textId="77777777" w:rsidR="00FA4EDF" w:rsidRDefault="00FA4EDF">
      <w:pPr>
        <w:pStyle w:val="Kop4"/>
        <w:divId w:val="982394320"/>
        <w:rPr>
          <w:rFonts w:eastAsia="Times New Roman"/>
          <w:lang w:val="de-DE"/>
        </w:rPr>
      </w:pPr>
      <w:r>
        <w:rPr>
          <w:rFonts w:eastAsia="Times New Roman"/>
          <w:lang w:val="de-DE"/>
        </w:rPr>
        <w:t>ING – die Bank als Rettungsanker</w:t>
      </w:r>
    </w:p>
    <w:p w14:paraId="11B75231" w14:textId="77777777" w:rsidR="00FA4EDF" w:rsidRDefault="00FA4EDF">
      <w:pPr>
        <w:pStyle w:val="Normaalweb"/>
        <w:divId w:val="982394320"/>
        <w:rPr>
          <w:lang w:val="de-DE"/>
        </w:rPr>
      </w:pPr>
      <w:r>
        <w:rPr>
          <w:lang w:val="de-DE"/>
        </w:rPr>
        <w:t>Wenn die staatlichen Zahlungen ausbleiben und die medizinischen Kosten weiter steigen, rutscht das gemeinsame Bankkonto ins Minus. Die Kreditkarte ist am Limit. ING bietet eine Zahlungsvereinbarung an: Die gesamte Schuld wird auf ein separates Konto übertragen und innerhalb von vierundzwanzig Monaten getilgt.</w:t>
      </w:r>
    </w:p>
    <w:p w14:paraId="40D8CF95" w14:textId="77777777" w:rsidR="00FA4EDF" w:rsidRDefault="00FA4EDF">
      <w:pPr>
        <w:pStyle w:val="Normaalweb"/>
        <w:divId w:val="982394320"/>
        <w:rPr>
          <w:lang w:val="de-DE"/>
        </w:rPr>
      </w:pPr>
      <w:r>
        <w:rPr>
          <w:lang w:val="de-DE"/>
        </w:rPr>
        <w:t>Was die Bank vorschreibt: Überziehung für drei Monate untersagt. Keine Kreditkarte für zwölf Monate. Monatliche Tilgung in Höhe von 286,55 €. Wer sich nicht an die Bedingungen hält, verliert den Anspruch auf diese Regelung.</w:t>
      </w:r>
    </w:p>
    <w:p w14:paraId="58A0604B" w14:textId="77777777" w:rsidR="00FA4EDF" w:rsidRDefault="00FA4EDF">
      <w:pPr>
        <w:pStyle w:val="Normaalweb"/>
        <w:divId w:val="982394320"/>
        <w:rPr>
          <w:lang w:val="de-DE"/>
        </w:rPr>
      </w:pPr>
      <w:r>
        <w:rPr>
          <w:lang w:val="de-DE"/>
        </w:rPr>
        <w:t>Die Bank handelt hier nicht in böser Absicht. Sie folgt lediglich der wirtschaftlichen Logik. Doch die Logik des Marktes ist nicht die Logik des Sozialrechts. Die staatlichen Stellen, die diese Lücke verursacht haben, tragen keine Verantwortung für die Zinsen und die Strafen, die die Familie zahlen muss.</w:t>
      </w:r>
    </w:p>
    <w:p w14:paraId="1B9AFCEF" w14:textId="77777777" w:rsidR="00FA4EDF" w:rsidRDefault="00FA4EDF">
      <w:pPr>
        <w:pStyle w:val="Kop4"/>
        <w:divId w:val="982394320"/>
        <w:rPr>
          <w:rFonts w:eastAsia="Times New Roman"/>
          <w:lang w:val="de-DE"/>
        </w:rPr>
      </w:pPr>
      <w:r>
        <w:rPr>
          <w:rFonts w:eastAsia="Times New Roman"/>
          <w:lang w:val="de-DE"/>
        </w:rPr>
        <w:t>Vattenfall – der Energieversorger</w:t>
      </w:r>
    </w:p>
    <w:p w14:paraId="23E60E94" w14:textId="77777777" w:rsidR="00FA4EDF" w:rsidRDefault="00FA4EDF">
      <w:pPr>
        <w:pStyle w:val="Normaalweb"/>
        <w:divId w:val="982394320"/>
        <w:rPr>
          <w:lang w:val="de-DE"/>
        </w:rPr>
      </w:pPr>
      <w:r>
        <w:rPr>
          <w:lang w:val="de-DE"/>
        </w:rPr>
        <w:t>Der Energieversorger stellt fest, dass die Zahlungsrückstände steigen. Es werden Zahlungsvereinbarungen getroffen, gekündigt und wieder aufgenommen. Die monatlichen Raten werden erhöht, um eine Nachzahlung zu vermeiden. Und wenn der Patient den Schutzstatus „medizinisch schutzbedürftiger Verbraucher“ in Anspruch nimmt, verlangt Vattenfall eine Bescheinigung eines unabhängigen niederländischen Arztes.</w:t>
      </w:r>
    </w:p>
    <w:p w14:paraId="4BCA0E9E" w14:textId="77777777" w:rsidR="00FA4EDF" w:rsidRDefault="00FA4EDF">
      <w:pPr>
        <w:pStyle w:val="Normaalweb"/>
        <w:divId w:val="982394320"/>
        <w:rPr>
          <w:lang w:val="de-DE"/>
        </w:rPr>
      </w:pPr>
      <w:r>
        <w:rPr>
          <w:lang w:val="de-DE"/>
        </w:rPr>
        <w:t>Diese Anforderung ist für einen Grenzgänger nicht umsetzbar. Die Hausärzte lehnen ab, das Gesundheitsamt lehnt ab, der private Markt verlangt exorbitante Preise für eine Fernuntersuchung. Die Familie schickt ein belgisches ärztliches Attest. Vattenfall weigert sich, dieses anzuerkennen. Erst nach Monaten räumt der Versorger ein, dass die Forderung unberechtigt war und dass die Zuständigkeit beim Netzbetreiber liegt.</w:t>
      </w:r>
    </w:p>
    <w:p w14:paraId="219FAED9" w14:textId="77777777" w:rsidR="00FA4EDF" w:rsidRDefault="00FA4EDF">
      <w:pPr>
        <w:pStyle w:val="Normaalweb"/>
        <w:divId w:val="982394320"/>
        <w:rPr>
          <w:lang w:val="de-DE"/>
        </w:rPr>
      </w:pPr>
      <w:r>
        <w:rPr>
          <w:lang w:val="de-DE"/>
        </w:rPr>
        <w:t>Schließlich wird die ausstehende Forderung an das Inkassobüro Flanderijn weitergeleitet. Die Gesamtschuld beläuft sich auf über 2.300 €.</w:t>
      </w:r>
    </w:p>
    <w:p w14:paraId="06038072" w14:textId="77777777" w:rsidR="00FA4EDF" w:rsidRDefault="00FA4EDF">
      <w:pPr>
        <w:pStyle w:val="Kop4"/>
        <w:divId w:val="982394320"/>
        <w:rPr>
          <w:rFonts w:eastAsia="Times New Roman"/>
          <w:lang w:val="de-DE"/>
        </w:rPr>
      </w:pPr>
      <w:r>
        <w:rPr>
          <w:rFonts w:eastAsia="Times New Roman"/>
          <w:lang w:val="de-DE"/>
        </w:rPr>
        <w:t>Stedin – der Netzbetreiber</w:t>
      </w:r>
    </w:p>
    <w:p w14:paraId="4F633F13" w14:textId="77777777" w:rsidR="00FA4EDF" w:rsidRDefault="00FA4EDF">
      <w:pPr>
        <w:pStyle w:val="Normaalweb"/>
        <w:divId w:val="982394320"/>
        <w:rPr>
          <w:lang w:val="de-DE"/>
        </w:rPr>
      </w:pPr>
      <w:r>
        <w:rPr>
          <w:lang w:val="de-DE"/>
        </w:rPr>
        <w:t>Nach der verspäteten Weiterleitung durch Vattenfall landet die Akte beim Netzbetreiber. Stedin ist gesetzlich für die physische Lieferung verantwortlich. Der Patient muss die gesamten medizinischen Nachweise erneut bei einem neuen privaten Anbieter einreichen. Es findet keinerlei Datenübermittlung statt, und bereits eingereichte Dokumente werden nicht erkannt.</w:t>
      </w:r>
    </w:p>
    <w:p w14:paraId="2D779571" w14:textId="77777777" w:rsidR="00FA4EDF" w:rsidRDefault="00FA4EDF">
      <w:pPr>
        <w:pStyle w:val="Normaalweb"/>
        <w:divId w:val="982394320"/>
        <w:rPr>
          <w:lang w:val="de-DE"/>
        </w:rPr>
      </w:pPr>
      <w:r>
        <w:rPr>
          <w:lang w:val="de-DE"/>
        </w:rPr>
        <w:t>Stedin ist die Stelle, die die Stromversorgung gewährleisten kann, was für die gekühlte Lagerung von Insulin von entscheidender Bedeutung ist. Doch auch hier gilt: Der Patient muss die gesamte Beweislage erneut aufbauen, ohne dass der frühere Antrag bei Vattenfall anerkannt wird.</w:t>
      </w:r>
    </w:p>
    <w:p w14:paraId="5FACEC36" w14:textId="77777777" w:rsidR="00FA4EDF" w:rsidRDefault="00FA4EDF">
      <w:pPr>
        <w:pStyle w:val="Kop3"/>
        <w:divId w:val="982394320"/>
        <w:rPr>
          <w:rFonts w:eastAsia="Times New Roman"/>
          <w:lang w:val="de-DE"/>
        </w:rPr>
      </w:pPr>
      <w:bookmarkStart w:id="109" w:name="_Toc242103145"/>
      <w:r>
        <w:rPr>
          <w:rFonts w:eastAsia="Times New Roman"/>
          <w:lang w:val="de-DE"/>
        </w:rPr>
        <w:t>Teil C – Die Bank als de facto Gläubiger des Sozialstaats</w:t>
      </w:r>
      <w:bookmarkEnd w:id="109"/>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871A35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7EEBD7F" w14:textId="77777777" w:rsidR="00FA4EDF" w:rsidRDefault="00FA4EDF">
            <w:pPr>
              <w:pStyle w:val="Normaalweb"/>
              <w:spacing w:before="120"/>
              <w:jc w:val="center"/>
              <w:rPr>
                <w:sz w:val="21"/>
                <w:szCs w:val="21"/>
              </w:rPr>
            </w:pPr>
            <w:r>
              <w:rPr>
                <w:noProof/>
                <w:sz w:val="21"/>
                <w:szCs w:val="21"/>
              </w:rPr>
              <w:drawing>
                <wp:inline distT="0" distB="0" distL="0" distR="0" wp14:anchorId="546C905F" wp14:editId="5A0BCCA4">
                  <wp:extent cx="3810000" cy="1454150"/>
                  <wp:effectExtent l="0" t="0" r="0" b="0"/>
                  <wp:docPr id="64" name="Afbeelding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810000" cy="1454150"/>
                          </a:xfrm>
                          <a:prstGeom prst="rect">
                            <a:avLst/>
                          </a:prstGeom>
                          <a:noFill/>
                          <a:ln>
                            <a:noFill/>
                          </a:ln>
                        </pic:spPr>
                      </pic:pic>
                    </a:graphicData>
                  </a:graphic>
                </wp:inline>
              </w:drawing>
            </w:r>
          </w:p>
          <w:p w14:paraId="6CE8577F" w14:textId="77777777" w:rsidR="00FA4EDF" w:rsidRDefault="00FA4EDF">
            <w:pPr>
              <w:pStyle w:val="caption"/>
              <w:spacing w:after="120" w:afterAutospacing="0"/>
            </w:pPr>
            <w:r>
              <w:rPr>
                <w:rStyle w:val="Zwaar"/>
              </w:rPr>
              <w:t>Abbildung XX.2 – Wer trägt die Schuld?</w:t>
            </w:r>
            <w:r>
              <w:t xml:space="preserve"> Der Staat verursacht die Lücke und übernimmt keine Verantwortung. Der private Markt füllt die Lücke und kassiert die Zinsen. Die Familie trägt die Folgen: Einkommensverlust, Verlust von Zulagen, steigende Zinsen, Inkassokosten, weitere Verarmung.</w:t>
            </w:r>
          </w:p>
        </w:tc>
      </w:tr>
    </w:tbl>
    <w:p w14:paraId="2A94125B" w14:textId="77777777" w:rsidR="00FA4EDF" w:rsidRDefault="00FA4EDF">
      <w:pPr>
        <w:pStyle w:val="Kop3"/>
        <w:divId w:val="982394320"/>
        <w:rPr>
          <w:rFonts w:eastAsia="Times New Roman"/>
          <w:lang w:val="de-DE"/>
        </w:rPr>
      </w:pPr>
      <w:bookmarkStart w:id="110" w:name="_Toc242103146"/>
      <w:r>
        <w:rPr>
          <w:rFonts w:eastAsia="Times New Roman"/>
          <w:lang w:val="de-DE"/>
        </w:rPr>
        <w:t>Was in diesem Kapitel dargelegt wird</w:t>
      </w:r>
      <w:bookmarkEnd w:id="110"/>
    </w:p>
    <w:p w14:paraId="0D90E70E" w14:textId="77777777" w:rsidR="00FA4EDF" w:rsidRDefault="00FA4EDF">
      <w:pPr>
        <w:pStyle w:val="Normaalweb"/>
        <w:divId w:val="982394320"/>
        <w:rPr>
          <w:lang w:val="de-DE"/>
        </w:rPr>
      </w:pPr>
      <w:r>
        <w:rPr>
          <w:lang w:val="de-DE"/>
        </w:rPr>
        <w:t>Die Kette versagender staatlicher Stellen führt letztendlich zu einem zentralen Ort: dem Bankkonto. Was dort nicht reinkommt und was dort abfließt, bestimmt, wie tief die Familie absinkt. Und was die Familie nicht auffangen kann, wird vom kommerziellen Markt aufgefangen – gegen Zinsen, gegen Strafen, gegen Inkassokosten.</w:t>
      </w:r>
    </w:p>
    <w:p w14:paraId="0AFCCE32" w14:textId="77777777" w:rsidR="00FA4EDF" w:rsidRDefault="00FA4EDF">
      <w:pPr>
        <w:pStyle w:val="Normaalweb"/>
        <w:divId w:val="982394320"/>
        <w:rPr>
          <w:lang w:val="de-DE"/>
        </w:rPr>
      </w:pPr>
      <w:r>
        <w:rPr>
          <w:lang w:val="de-DE"/>
        </w:rPr>
        <w:t>Die privaten Akteure sind hier nicht die Schuldigen. Sie handeln nach kommerziellen Gesichtspunkten. Dieses Kapitel zeigt, dass sich der Staat aus einem Teil seiner Verantwortung zurückgezogen hat. Die Lücke, die er hinterlässt, wird vom Markt geschlossen. Aber der Markt schließt Lücken nicht aus Solidarität. Der Markt füllt Lücken gegen Bezahlung.</w:t>
      </w:r>
    </w:p>
    <w:p w14:paraId="1F7EF9EE" w14:textId="77777777" w:rsidR="00FA4EDF" w:rsidRDefault="00FA4EDF">
      <w:pPr>
        <w:pStyle w:val="Normaalweb"/>
        <w:divId w:val="982394320"/>
        <w:rPr>
          <w:lang w:val="de-DE"/>
        </w:rPr>
      </w:pPr>
      <w:r>
        <w:rPr>
          <w:lang w:val="de-DE"/>
        </w:rPr>
        <w:t>Und diesen Preis zahlt die Familie, die ohnehin schon kein Einkommen hat. Es sind die Eltern, die ohnehin schon keine Sozialleistungen erhalten. Es ist der Patient, dessen Amputationen von niemandem entschädigt werden. Es ist das Kind, das in diesem Spiel keine Rolle spielt, aber dennoch die Folgen trägt.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13CF1D23"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6546E7EA"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Die Handelskette interessiert sich nicht für die Ursache der Schulden. Was hilft: </w:t>
            </w:r>
          </w:p>
          <w:p w14:paraId="6C3BEEA5" w14:textId="77777777" w:rsidR="00FA4EDF" w:rsidRDefault="00FA4EDF">
            <w:pPr>
              <w:numPr>
                <w:ilvl w:val="0"/>
                <w:numId w:val="21"/>
              </w:numPr>
              <w:spacing w:before="100" w:beforeAutospacing="1" w:after="100" w:afterAutospacing="1"/>
              <w:rPr>
                <w:rFonts w:eastAsia="Times New Roman"/>
                <w:szCs w:val="22"/>
              </w:rPr>
            </w:pPr>
            <w:r>
              <w:rPr>
                <w:rFonts w:eastAsia="Times New Roman"/>
                <w:szCs w:val="22"/>
              </w:rPr>
              <w:t>Sammeln Sie Nachweise für jede behördliche Ablehnung, die zu den Schulden geführt hat. Weisen Sie nach, dass die Schulden nicht durch Ihre eigenen Entscheidungen entstanden sind, sondern durch versagende Behörden.</w:t>
            </w:r>
          </w:p>
          <w:p w14:paraId="523F2CB2" w14:textId="77777777" w:rsidR="00FA4EDF" w:rsidRDefault="00FA4EDF">
            <w:pPr>
              <w:numPr>
                <w:ilvl w:val="0"/>
                <w:numId w:val="21"/>
              </w:numPr>
              <w:spacing w:before="100" w:beforeAutospacing="1" w:after="100" w:afterAutospacing="1"/>
              <w:rPr>
                <w:rFonts w:eastAsia="Times New Roman"/>
                <w:szCs w:val="22"/>
              </w:rPr>
            </w:pPr>
            <w:r>
              <w:rPr>
                <w:rFonts w:eastAsia="Times New Roman"/>
                <w:szCs w:val="22"/>
              </w:rPr>
              <w:t>Beantragen Sie bei der Gemeinde eine Sonderhilfe für die entstandenen Schulden. Wenn die Gemeinde dies ablehnt, legen Sie formell Widerspruch ein und verweisen Sie auf die Kausalkette.</w:t>
            </w:r>
          </w:p>
          <w:p w14:paraId="5CA29323" w14:textId="77777777" w:rsidR="00FA4EDF" w:rsidRDefault="00FA4EDF">
            <w:pPr>
              <w:numPr>
                <w:ilvl w:val="0"/>
                <w:numId w:val="21"/>
              </w:numPr>
              <w:spacing w:before="100" w:beforeAutospacing="1" w:after="100" w:afterAutospacing="1"/>
              <w:rPr>
                <w:rFonts w:eastAsia="Times New Roman"/>
                <w:szCs w:val="22"/>
              </w:rPr>
            </w:pPr>
            <w:r>
              <w:rPr>
                <w:rFonts w:eastAsia="Times New Roman"/>
                <w:szCs w:val="22"/>
              </w:rPr>
              <w:t>Wenden Sie sich an die Schuldnerberatung Ihrer Gemeinde (über das „Loket Schuldhulpverlening“). Bitten Sie um eine gütliche Schuldenregelung, bei der die Ursache der Schulden berücksichtigt wird.</w:t>
            </w:r>
          </w:p>
          <w:p w14:paraId="63F383D3" w14:textId="77777777" w:rsidR="00FA4EDF" w:rsidRDefault="00FA4EDF">
            <w:pPr>
              <w:numPr>
                <w:ilvl w:val="0"/>
                <w:numId w:val="21"/>
              </w:numPr>
              <w:spacing w:before="100" w:beforeAutospacing="1" w:after="100" w:afterAutospacing="1"/>
              <w:rPr>
                <w:rFonts w:eastAsia="Times New Roman"/>
                <w:szCs w:val="22"/>
              </w:rPr>
            </w:pPr>
            <w:r>
              <w:rPr>
                <w:rFonts w:eastAsia="Times New Roman"/>
                <w:szCs w:val="22"/>
              </w:rPr>
              <w:t>Beauftragen Sie einen Sozialberater oder Rechtsberater (über die Gewerkschaft oder das „Juridisch Loket“) für die Verhandlungen mit kommerziellen Parteien.</w:t>
            </w:r>
          </w:p>
          <w:p w14:paraId="101514E4" w14:textId="77777777" w:rsidR="00FA4EDF" w:rsidRDefault="00FA4EDF">
            <w:pPr>
              <w:spacing w:after="0"/>
              <w:rPr>
                <w:rFonts w:eastAsia="Times New Roman"/>
                <w:szCs w:val="22"/>
              </w:rPr>
            </w:pPr>
            <w:r>
              <w:rPr>
                <w:rFonts w:eastAsia="Times New Roman"/>
                <w:szCs w:val="22"/>
              </w:rPr>
              <w:t xml:space="preserve">Der private Markt ist nicht verpflichtet, die Ursache zu berücksichtigen. Eine festgestellte Kausalkette kann jedoch die Verhandlungsposition verändern. </w:t>
            </w:r>
          </w:p>
        </w:tc>
      </w:tr>
    </w:tbl>
    <w:p w14:paraId="0B9D84EF"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Die Angaben und Betr</w:t>
      </w:r>
      <w:r>
        <w:rPr>
          <w:rFonts w:cs="Aptos"/>
          <w:lang w:val="de-DE"/>
        </w:rPr>
        <w:t>ä</w:t>
      </w:r>
      <w:r>
        <w:rPr>
          <w:lang w:val="de-DE"/>
        </w:rPr>
        <w:t>ge basieren auf Dokument B. Dieses Kapitel stellt keine rechtliche oder finanzielle Beratung dar.</w:t>
      </w:r>
    </w:p>
    <w:p w14:paraId="0C6F13A4" w14:textId="77777777" w:rsidR="00FA4EDF" w:rsidRDefault="00FA4EDF">
      <w:pPr>
        <w:pStyle w:val="marker"/>
        <w:ind w:left="800" w:right="800"/>
        <w:divId w:val="982394320"/>
        <w:rPr>
          <w:lang w:val="de-DE"/>
        </w:rPr>
      </w:pPr>
      <w:r>
        <w:br w:type="page"/>
      </w:r>
    </w:p>
    <w:p w14:paraId="16BE3923" w14:textId="77777777" w:rsidR="00FA4EDF" w:rsidRDefault="00FA4EDF">
      <w:pPr>
        <w:pStyle w:val="Kop1"/>
        <w:divId w:val="982394320"/>
        <w:rPr>
          <w:rFonts w:eastAsia="Times New Roman"/>
          <w:lang w:val="de-DE"/>
        </w:rPr>
      </w:pPr>
      <w:bookmarkStart w:id="111" w:name="_Toc242103147"/>
      <w:r>
        <w:rPr>
          <w:rFonts w:eastAsia="Times New Roman"/>
          <w:lang w:val="de-DE"/>
        </w:rPr>
        <w:t>V. Europa</w:t>
      </w:r>
      <w:bookmarkEnd w:id="111"/>
    </w:p>
    <w:p w14:paraId="1AA2A5EB" w14:textId="77777777" w:rsidR="00FA4EDF" w:rsidRDefault="00FA4EDF">
      <w:pPr>
        <w:pStyle w:val="Kop2"/>
        <w:divId w:val="982394320"/>
        <w:rPr>
          <w:rFonts w:eastAsia="Times New Roman"/>
          <w:lang w:val="de-DE"/>
        </w:rPr>
      </w:pPr>
      <w:bookmarkStart w:id="112" w:name="_Toc242103148"/>
      <w:r>
        <w:rPr>
          <w:rFonts w:eastAsia="Times New Roman"/>
          <w:lang w:val="de-DE"/>
        </w:rPr>
        <w:t>Die europäische Ebene</w:t>
      </w:r>
      <w:bookmarkEnd w:id="112"/>
    </w:p>
    <w:p w14:paraId="6CC3F6AB" w14:textId="77777777" w:rsidR="00FA4EDF" w:rsidRDefault="00FA4EDF">
      <w:pPr>
        <w:pStyle w:val="lead"/>
        <w:divId w:val="982394320"/>
        <w:rPr>
          <w:lang w:val="de-DE"/>
        </w:rPr>
      </w:pPr>
      <w:r>
        <w:rPr>
          <w:lang w:val="de-DE"/>
        </w:rPr>
        <w:t>Wenn die nationalen Möglichkeiten ausgeschöpft sind und die nationale Politik nicht eingreift, bleibt noch eine Ebene: Europa. Theoretisch sollte Europa die Lösung für ein grenzüberschreitendes Problem bieten. In der Praxis zeigt sich jedoch, dass die meisten europäischen Institutionen kein Mandat haben, eine festgefahrene nationale Kette zu durchbrechen. Doch in dieser Angelegenheit haben sich zwei Ausnahmen ergeben. Zwei Möglichkeiten, mit denen niemand gerechnet hatte.</w:t>
      </w:r>
    </w:p>
    <w:p w14:paraId="34DAF735" w14:textId="77777777" w:rsidR="00FA4EDF" w:rsidRDefault="00FA4EDF">
      <w:pPr>
        <w:pStyle w:val="Kop3"/>
        <w:divId w:val="982394320"/>
        <w:rPr>
          <w:rFonts w:eastAsia="Times New Roman"/>
          <w:lang w:val="de-DE"/>
        </w:rPr>
      </w:pPr>
      <w:bookmarkStart w:id="113" w:name="_Toc242103149"/>
      <w:r>
        <w:rPr>
          <w:rFonts w:eastAsia="Times New Roman"/>
          <w:lang w:val="de-DE"/>
        </w:rPr>
        <w:t>Teil A – Die europäische und internationale Ebene</w:t>
      </w:r>
      <w:bookmarkEnd w:id="11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E3C47F5"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F4A741C" w14:textId="77777777" w:rsidR="00FA4EDF" w:rsidRDefault="00FA4EDF">
            <w:pPr>
              <w:pStyle w:val="Normaalweb"/>
              <w:spacing w:before="120"/>
              <w:jc w:val="center"/>
              <w:rPr>
                <w:sz w:val="21"/>
                <w:szCs w:val="21"/>
              </w:rPr>
            </w:pPr>
            <w:r>
              <w:rPr>
                <w:noProof/>
                <w:sz w:val="21"/>
                <w:szCs w:val="21"/>
              </w:rPr>
              <w:drawing>
                <wp:inline distT="0" distB="0" distL="0" distR="0" wp14:anchorId="5C689256" wp14:editId="2234AE34">
                  <wp:extent cx="3816350" cy="1987550"/>
                  <wp:effectExtent l="0" t="0" r="0" b="0"/>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816350" cy="1987550"/>
                          </a:xfrm>
                          <a:prstGeom prst="rect">
                            <a:avLst/>
                          </a:prstGeom>
                          <a:noFill/>
                          <a:ln>
                            <a:noFill/>
                          </a:ln>
                        </pic:spPr>
                      </pic:pic>
                    </a:graphicData>
                  </a:graphic>
                </wp:inline>
              </w:drawing>
            </w:r>
          </w:p>
          <w:p w14:paraId="7655376D" w14:textId="77777777" w:rsidR="00FA4EDF" w:rsidRDefault="00FA4EDF">
            <w:pPr>
              <w:pStyle w:val="caption"/>
              <w:spacing w:after="120" w:afterAutospacing="0"/>
            </w:pPr>
            <w:r>
              <w:rPr>
                <w:rStyle w:val="Zwaar"/>
              </w:rPr>
              <w:t>Abbildung XXII.1 – Die europäische und die internationale Ebene.</w:t>
            </w:r>
            <w:r>
              <w:t xml:space="preserve"> Jede mit einem eigenen Mandat, jede mit eigenen Einschränkungen. Zwei Ausnahmen stechen hervor: das Europäische Parlament, wo die Petition 1034/2026 veröffentlicht wurde und für Mitunterzeichner offen ist, sowie die Kommission, die bereits seit 2022 mehrere Vertragsverletzungsverfahren gegen Belgien und Flandern untersucht.</w:t>
            </w:r>
          </w:p>
        </w:tc>
      </w:tr>
    </w:tbl>
    <w:p w14:paraId="29A1697B" w14:textId="77777777" w:rsidR="00FA4EDF" w:rsidRDefault="00FA4EDF">
      <w:pPr>
        <w:pStyle w:val="Kop3"/>
        <w:divId w:val="982394320"/>
        <w:rPr>
          <w:rFonts w:eastAsia="Times New Roman"/>
          <w:lang w:val="de-DE"/>
        </w:rPr>
      </w:pPr>
      <w:bookmarkStart w:id="114" w:name="_Toc242103150"/>
      <w:r>
        <w:rPr>
          <w:rFonts w:eastAsia="Times New Roman"/>
          <w:lang w:val="de-DE"/>
        </w:rPr>
        <w:t>Teil B – Der Zirkelbezug</w:t>
      </w:r>
      <w:bookmarkEnd w:id="114"/>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15DCBB8"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058679B" w14:textId="77777777" w:rsidR="00FA4EDF" w:rsidRDefault="00FA4EDF">
            <w:pPr>
              <w:pStyle w:val="Normaalweb"/>
              <w:spacing w:before="120"/>
              <w:jc w:val="center"/>
              <w:rPr>
                <w:sz w:val="21"/>
                <w:szCs w:val="21"/>
              </w:rPr>
            </w:pPr>
            <w:r>
              <w:rPr>
                <w:noProof/>
                <w:sz w:val="21"/>
                <w:szCs w:val="21"/>
              </w:rPr>
              <w:drawing>
                <wp:inline distT="0" distB="0" distL="0" distR="0" wp14:anchorId="75CC5D41" wp14:editId="2E3E2C42">
                  <wp:extent cx="3810000" cy="1784350"/>
                  <wp:effectExtent l="0" t="0" r="0" b="6350"/>
                  <wp:docPr id="66" name="Afbeelding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4A8B6991" w14:textId="77777777" w:rsidR="00FA4EDF" w:rsidRDefault="00FA4EDF">
            <w:pPr>
              <w:pStyle w:val="caption"/>
              <w:spacing w:after="120" w:afterAutospacing="0"/>
            </w:pPr>
            <w:r>
              <w:rPr>
                <w:rStyle w:val="Zwaar"/>
              </w:rPr>
              <w:t>Abbildung XXII.2 – Der Zirkelschluss.</w:t>
            </w:r>
            <w:r>
              <w:t xml:space="preserve"> Die europäischen Institutionen verweisen aufeinander. Die Kommission wartet auf die Mitgliedstaaten. Die Mitgliedstaaten warten auf die Kommission. SOLVIT wartet auf einen eindeutigen Verstoß. Die ELA wartet auf einen Antrag der Staaten. Das Parlament kann nationale Beschlüsse nicht überprüfen. Der EGMR wartet auf nationale Gerichtsverfahren.</w:t>
            </w:r>
          </w:p>
        </w:tc>
      </w:tr>
    </w:tbl>
    <w:p w14:paraId="665D4F32" w14:textId="77777777" w:rsidR="00FA4EDF" w:rsidRDefault="00FA4EDF">
      <w:pPr>
        <w:pStyle w:val="Kop3"/>
        <w:divId w:val="982394320"/>
        <w:rPr>
          <w:rFonts w:eastAsia="Times New Roman"/>
          <w:lang w:val="de-DE"/>
        </w:rPr>
      </w:pPr>
      <w:bookmarkStart w:id="115" w:name="_Toc242103151"/>
      <w:r>
        <w:rPr>
          <w:rFonts w:eastAsia="Times New Roman"/>
          <w:lang w:val="de-DE"/>
        </w:rPr>
        <w:t>Teil C – Die beiden Öffnungen</w:t>
      </w:r>
      <w:bookmarkEnd w:id="115"/>
    </w:p>
    <w:p w14:paraId="24B42CF3" w14:textId="77777777" w:rsidR="00FA4EDF" w:rsidRDefault="00FA4EDF">
      <w:pPr>
        <w:pStyle w:val="Normaalweb"/>
        <w:divId w:val="982394320"/>
        <w:rPr>
          <w:lang w:val="de-DE"/>
        </w:rPr>
      </w:pPr>
      <w:r>
        <w:rPr>
          <w:lang w:val="de-DE"/>
        </w:rPr>
        <w:t>In diesem scheinbar geschlossenen Kreis sind im September 2026 zwei Lücken entstanden, mit denen niemand gerechnet hatte.</w:t>
      </w:r>
    </w:p>
    <w:p w14:paraId="2F2D1C74" w14:textId="77777777" w:rsidR="00FA4EDF" w:rsidRDefault="00FA4EDF">
      <w:pPr>
        <w:pStyle w:val="Kop4"/>
        <w:divId w:val="982394320"/>
        <w:rPr>
          <w:rFonts w:eastAsia="Times New Roman"/>
          <w:lang w:val="de-DE"/>
        </w:rPr>
      </w:pPr>
      <w:r>
        <w:rPr>
          <w:rFonts w:eastAsia="Times New Roman"/>
          <w:lang w:val="de-DE"/>
        </w:rPr>
        <w:t>Einleitung 1 — PETI 1034/2026 steht Mitunterzeichnern offen</w:t>
      </w:r>
    </w:p>
    <w:p w14:paraId="70A94E20" w14:textId="77777777" w:rsidR="00FA4EDF" w:rsidRDefault="00FA4EDF">
      <w:pPr>
        <w:pStyle w:val="Normaalweb"/>
        <w:divId w:val="982394320"/>
        <w:rPr>
          <w:lang w:val="de-DE"/>
        </w:rPr>
      </w:pPr>
      <w:r>
        <w:rPr>
          <w:lang w:val="de-DE"/>
        </w:rPr>
        <w:t>Das Europäische Parlament hat die Petition 1034/2026 zur Prüfung angenommen. Am 25. September 2026 wurde der Status auf „für Mitunterzeichner verfügbar“ geändert. Das bedeutet, dass die Petition eine offizielle parlamentarische Zusammenfassung erhalten hat und auf dem Petitionsportal des Europäischen Parlaments veröffentlicht wurde.</w:t>
      </w:r>
    </w:p>
    <w:p w14:paraId="2A272679" w14:textId="77777777" w:rsidR="00FA4EDF" w:rsidRDefault="00FA4EDF">
      <w:pPr>
        <w:pStyle w:val="Normaalweb"/>
        <w:divId w:val="982394320"/>
        <w:rPr>
          <w:lang w:val="de-DE"/>
        </w:rPr>
      </w:pPr>
      <w:r>
        <w:rPr>
          <w:lang w:val="de-DE"/>
        </w:rPr>
        <w:t>Die Zusammenfassung wurde unter den Politikbereichen Binnenmarkt, Beschäftigung, Gesundheit, Soziales und Grundrechte veröffentlicht, wobei Belgien und die Niederlande als betroffene Mitgliedstaaten genannt werden. Die Petition dokumentiert die strukturellen Versäumnisse beider Mitgliedstaaten im Zusammenhang mit dem Vester-Urteil, der Weigerung, Versicherungszeiten zusammenzurechnen, sowie den Aufenthaltsvoraussetzungen. Außerdem wird die Europäische Kommission aufgefordert, ein Vertragsverletzungsverfahre</w:t>
      </w:r>
      <w:r>
        <w:rPr>
          <w:lang w:val="de-DE"/>
        </w:rPr>
        <w:t>n einzuleiten.</w:t>
      </w:r>
    </w:p>
    <w:p w14:paraId="3AFBCBBF" w14:textId="77777777" w:rsidR="00FA4EDF" w:rsidRDefault="00FA4EDF">
      <w:pPr>
        <w:pStyle w:val="Normaalweb"/>
        <w:divId w:val="982394320"/>
        <w:rPr>
          <w:lang w:val="de-DE"/>
        </w:rPr>
      </w:pPr>
      <w:r>
        <w:rPr>
          <w:lang w:val="de-DE"/>
        </w:rPr>
        <w:t>Das bedeutet: Die Petition ist nicht mehr nur eine private Beschwerde, die in einem Briefkasten landet. Es handelt sich um ein formelles parlamentarisches Dossier, das von jedem EU-Bürger unterzeichnet werden kann. Das verändert den politischen Status des Dossiers.</w:t>
      </w:r>
    </w:p>
    <w:p w14:paraId="68C4256B" w14:textId="77777777" w:rsidR="00FA4EDF" w:rsidRDefault="00FA4EDF">
      <w:pPr>
        <w:pStyle w:val="Kop4"/>
        <w:divId w:val="982394320"/>
        <w:rPr>
          <w:rFonts w:eastAsia="Times New Roman"/>
          <w:lang w:val="de-DE"/>
        </w:rPr>
      </w:pPr>
      <w:r>
        <w:rPr>
          <w:rFonts w:eastAsia="Times New Roman"/>
          <w:lang w:val="de-DE"/>
        </w:rPr>
        <w:t>Punkt 2 – Die Kommission untersucht dies bereits seit 2022</w:t>
      </w:r>
    </w:p>
    <w:p w14:paraId="47DC5B34" w14:textId="77777777" w:rsidR="00FA4EDF" w:rsidRDefault="00FA4EDF">
      <w:pPr>
        <w:pStyle w:val="Normaalweb"/>
        <w:divId w:val="982394320"/>
        <w:rPr>
          <w:lang w:val="de-DE"/>
        </w:rPr>
      </w:pPr>
      <w:r>
        <w:rPr>
          <w:lang w:val="de-DE"/>
        </w:rPr>
        <w:t>Am 25. September 2026 wurde ein offizielles Schreiben der Europäischen Kommission (GD EMPL) in die Akte aufgenommen. Daraus geht hervor, dass die Kommission bereits seit 2022 und 2023 mehrere Vertragsverletzungsverfahren gegen Belgien und Flandern untersucht. Es handelt sich um Beschwerden über den flämischen Jobbonus, die Studienfinanzierung und das „Groeipakket“ – alle drei fallen unter die Verordnung 492/2011 über die Freizügigkeit der Arbeitnehmer.</w:t>
      </w:r>
    </w:p>
    <w:p w14:paraId="6BA3B1DB" w14:textId="77777777" w:rsidR="00FA4EDF" w:rsidRDefault="00FA4EDF">
      <w:pPr>
        <w:pStyle w:val="Normaalweb"/>
        <w:divId w:val="982394320"/>
        <w:rPr>
          <w:lang w:val="de-DE"/>
        </w:rPr>
      </w:pPr>
      <w:r>
        <w:rPr>
          <w:lang w:val="de-DE"/>
        </w:rPr>
        <w:t>Die Kommission hat in all den Jahren keine endgültige Entscheidung getroffen. Das bedeutet nicht, dass die Beschwerden abgelehnt wurden. Es bedeutet, dass sie noch offen sind. Und dass die Beschwerde dieser Familie zu einer Reihe von Beschwerden gehört, die die Kommission bereits prüft.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979E10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1EB01D8" w14:textId="77777777" w:rsidR="00FA4EDF" w:rsidRDefault="00FA4EDF">
            <w:pPr>
              <w:pStyle w:val="Normaalweb"/>
              <w:spacing w:before="120"/>
              <w:jc w:val="center"/>
              <w:rPr>
                <w:sz w:val="21"/>
                <w:szCs w:val="21"/>
              </w:rPr>
            </w:pPr>
            <w:r>
              <w:rPr>
                <w:noProof/>
                <w:sz w:val="21"/>
                <w:szCs w:val="21"/>
              </w:rPr>
              <w:drawing>
                <wp:inline distT="0" distB="0" distL="0" distR="0" wp14:anchorId="1272BEEC" wp14:editId="41DBF476">
                  <wp:extent cx="3810000" cy="1460500"/>
                  <wp:effectExtent l="0" t="0" r="0" b="6350"/>
                  <wp:docPr id="67" name="Afbeelding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2FB26282" w14:textId="77777777" w:rsidR="00FA4EDF" w:rsidRDefault="00FA4EDF">
            <w:pPr>
              <w:pStyle w:val="caption"/>
              <w:spacing w:after="120" w:afterAutospacing="0"/>
            </w:pPr>
            <w:r>
              <w:rPr>
                <w:rStyle w:val="Zwaar"/>
              </w:rPr>
              <w:t>Abbildung XXII.3 – Die beiden Möglichkeiten.</w:t>
            </w:r>
            <w:r>
              <w:t xml:space="preserve"> Einerseits ist die Petition im Europäischen Parlament öffentlich und steht Mitunterzeichnern offen. Andererseits zeigt sich, dass die Europäische Kommission bereits seit 2022 mehrere Beschwerden gegen Belgien und Flandern untersucht, ohne zu einer Entscheidung zu gelangen. Die Beschwerde dieser Familie ist kein Einzelfall.</w:t>
            </w:r>
          </w:p>
        </w:tc>
      </w:tr>
    </w:tbl>
    <w:p w14:paraId="03BBC00A" w14:textId="77777777" w:rsidR="00FA4EDF" w:rsidRDefault="00FA4EDF">
      <w:pPr>
        <w:pStyle w:val="Kop3"/>
        <w:divId w:val="982394320"/>
        <w:rPr>
          <w:rFonts w:eastAsia="Times New Roman"/>
          <w:lang w:val="de-DE"/>
        </w:rPr>
      </w:pPr>
      <w:bookmarkStart w:id="116" w:name="_Toc242103152"/>
      <w:r>
        <w:rPr>
          <w:rFonts w:eastAsia="Times New Roman"/>
          <w:lang w:val="de-DE"/>
        </w:rPr>
        <w:t>Teil D – Das Vertragsverletzungsverfahren, das nicht zustande kommt</w:t>
      </w:r>
      <w:bookmarkEnd w:id="116"/>
    </w:p>
    <w:p w14:paraId="54C2ECF7" w14:textId="77777777" w:rsidR="00FA4EDF" w:rsidRDefault="00FA4EDF">
      <w:pPr>
        <w:pStyle w:val="Normaalweb"/>
        <w:divId w:val="982394320"/>
        <w:rPr>
          <w:lang w:val="de-DE"/>
        </w:rPr>
      </w:pPr>
      <w:r>
        <w:rPr>
          <w:lang w:val="de-DE"/>
        </w:rPr>
        <w:t>Die Europäische Kommission verfügt über ein einziges verbindliches Instrument: das Vertragsverletzungsverfahren. Wenn ein Mitgliedstaat systematisch gegen das Unionsrecht verstößt, kann die Kommission ein Verfahren einleiten, das letztendlich zu einem Urteil des Gerichtshofs und theoretisch zu finanziellen Sanktionen gegen den Mitgliedstaat führt.</w:t>
      </w:r>
    </w:p>
    <w:p w14:paraId="55099573" w14:textId="77777777" w:rsidR="00FA4EDF" w:rsidRDefault="00FA4EDF">
      <w:pPr>
        <w:pStyle w:val="Normaalweb"/>
        <w:divId w:val="982394320"/>
        <w:rPr>
          <w:lang w:val="de-DE"/>
        </w:rPr>
      </w:pPr>
      <w:r>
        <w:rPr>
          <w:lang w:val="de-DE"/>
        </w:rPr>
        <w:t>In der Praxis handelt es sich hierbei um eine politische Entscheidung und nicht um einen rechtlichen Automatismus. Die Kommission wägt ab, ob ein Vertragsverletzungsverfahren politisch opportun ist. In dieser Angelegenheit wurde die Beschwerde unter der Nummer CPLT(2026)01544 registriert und mit anderen Beschwerden unter der Nummer Ares(2026)5891709 zusammengefasst. Die Kommission hat noch kein Vertragsverletzungsverfahren eingeleitet.</w:t>
      </w:r>
    </w:p>
    <w:p w14:paraId="6BB72ED2" w14:textId="77777777" w:rsidR="00FA4EDF" w:rsidRDefault="00FA4EDF">
      <w:pPr>
        <w:pStyle w:val="Normaalweb"/>
        <w:divId w:val="982394320"/>
        <w:rPr>
          <w:lang w:val="de-DE"/>
        </w:rPr>
      </w:pPr>
      <w:r>
        <w:rPr>
          <w:lang w:val="de-DE"/>
        </w:rPr>
        <w:t>Die Gründe, warum dies nicht geschieht, sind struktureller Natur:</w:t>
      </w:r>
    </w:p>
    <w:p w14:paraId="6D8C2A85" w14:textId="77777777" w:rsidR="00FA4EDF" w:rsidRDefault="00FA4EDF">
      <w:pPr>
        <w:numPr>
          <w:ilvl w:val="0"/>
          <w:numId w:val="22"/>
        </w:numPr>
        <w:spacing w:before="100" w:beforeAutospacing="1" w:after="100" w:afterAutospacing="1"/>
        <w:divId w:val="982394320"/>
        <w:rPr>
          <w:rFonts w:eastAsia="Times New Roman"/>
          <w:lang w:val="de-DE"/>
        </w:rPr>
      </w:pPr>
      <w:r>
        <w:rPr>
          <w:rFonts w:eastAsia="Times New Roman"/>
          <w:lang w:val="de-DE"/>
        </w:rPr>
        <w:t>Die Kommission erhält jährlich Tausende von Beschwerden. Sie kann nicht für jede Beschwerde ein Verfahren einleiten.</w:t>
      </w:r>
    </w:p>
    <w:p w14:paraId="35481073" w14:textId="77777777" w:rsidR="00FA4EDF" w:rsidRDefault="00FA4EDF">
      <w:pPr>
        <w:numPr>
          <w:ilvl w:val="0"/>
          <w:numId w:val="22"/>
        </w:numPr>
        <w:spacing w:before="100" w:beforeAutospacing="1" w:after="100" w:afterAutospacing="1"/>
        <w:divId w:val="982394320"/>
        <w:rPr>
          <w:rFonts w:eastAsia="Times New Roman"/>
          <w:lang w:val="de-DE"/>
        </w:rPr>
      </w:pPr>
      <w:r>
        <w:rPr>
          <w:rFonts w:eastAsia="Times New Roman"/>
          <w:lang w:val="de-DE"/>
        </w:rPr>
        <w:t>Die Koordinierung der sozialen Sicherheit ist formal eine geteilte Zuständigkeit. Die Mitgliedstaaten verfügen über einen weiten Ermessensspielraum.</w:t>
      </w:r>
    </w:p>
    <w:p w14:paraId="28ABE76B" w14:textId="77777777" w:rsidR="00FA4EDF" w:rsidRDefault="00FA4EDF">
      <w:pPr>
        <w:numPr>
          <w:ilvl w:val="0"/>
          <w:numId w:val="22"/>
        </w:numPr>
        <w:spacing w:before="100" w:beforeAutospacing="1" w:after="100" w:afterAutospacing="1"/>
        <w:divId w:val="982394320"/>
        <w:rPr>
          <w:rFonts w:eastAsia="Times New Roman"/>
          <w:lang w:val="de-DE"/>
        </w:rPr>
      </w:pPr>
      <w:r>
        <w:rPr>
          <w:rFonts w:eastAsia="Times New Roman"/>
          <w:lang w:val="de-DE"/>
        </w:rPr>
        <w:t>Ein Verletzungsverfahren dauert im Durchschnitt vier bis sechs Jahre, bis eine Entscheidung ergeht.</w:t>
      </w:r>
    </w:p>
    <w:p w14:paraId="65D9ACF7" w14:textId="77777777" w:rsidR="00FA4EDF" w:rsidRDefault="00FA4EDF">
      <w:pPr>
        <w:numPr>
          <w:ilvl w:val="0"/>
          <w:numId w:val="22"/>
        </w:numPr>
        <w:spacing w:before="100" w:beforeAutospacing="1" w:after="100" w:afterAutospacing="1"/>
        <w:divId w:val="982394320"/>
        <w:rPr>
          <w:rFonts w:eastAsia="Times New Roman"/>
          <w:lang w:val="de-DE"/>
        </w:rPr>
      </w:pPr>
      <w:r>
        <w:rPr>
          <w:rFonts w:eastAsia="Times New Roman"/>
          <w:lang w:val="de-DE"/>
        </w:rPr>
        <w:t>Ein Urteil stellt zwar einen Verstoß fest, führt jedoch nicht immer zu einer Lösung für den Einzelfall.</w:t>
      </w:r>
    </w:p>
    <w:p w14:paraId="6ACD694D" w14:textId="77777777" w:rsidR="00FA4EDF" w:rsidRDefault="00FA4EDF">
      <w:pPr>
        <w:pStyle w:val="Normaalweb"/>
        <w:divId w:val="982394320"/>
        <w:rPr>
          <w:lang w:val="de-DE"/>
        </w:rPr>
      </w:pPr>
      <w:r>
        <w:rPr>
          <w:lang w:val="de-DE"/>
        </w:rPr>
        <w:t>Was das für den Bürger bedeutet: Selbst wenn die Kommission eingreifen würde, würde das Verfahren Jahre dauern. Und selbst wenn der Gerichtshof einen Verstoß feststellen würde, würde dies den Einzelfall nicht sofort lösen.</w:t>
      </w:r>
    </w:p>
    <w:p w14:paraId="654DAC8D" w14:textId="77777777" w:rsidR="00FA4EDF" w:rsidRDefault="00FA4EDF">
      <w:pPr>
        <w:pStyle w:val="Kop3"/>
        <w:divId w:val="982394320"/>
        <w:rPr>
          <w:rFonts w:eastAsia="Times New Roman"/>
          <w:lang w:val="de-DE"/>
        </w:rPr>
      </w:pPr>
      <w:bookmarkStart w:id="117" w:name="_Toc242103153"/>
      <w:r>
        <w:rPr>
          <w:rFonts w:eastAsia="Times New Roman"/>
          <w:lang w:val="de-DE"/>
        </w:rPr>
        <w:t>Teil E – Der europäische Widerspruch</w:t>
      </w:r>
      <w:bookmarkEnd w:id="11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C34D88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FE1878B" w14:textId="77777777" w:rsidR="00FA4EDF" w:rsidRDefault="00FA4EDF">
            <w:pPr>
              <w:pStyle w:val="Normaalweb"/>
              <w:spacing w:before="120"/>
              <w:jc w:val="center"/>
              <w:rPr>
                <w:sz w:val="21"/>
                <w:szCs w:val="21"/>
              </w:rPr>
            </w:pPr>
            <w:r>
              <w:rPr>
                <w:noProof/>
                <w:sz w:val="21"/>
                <w:szCs w:val="21"/>
              </w:rPr>
              <w:drawing>
                <wp:inline distT="0" distB="0" distL="0" distR="0" wp14:anchorId="12BBE0CD" wp14:editId="06CEAD53">
                  <wp:extent cx="3810000" cy="1333500"/>
                  <wp:effectExtent l="0" t="0" r="0" b="0"/>
                  <wp:docPr id="68" name="Afbeelding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3A19D609" w14:textId="77777777" w:rsidR="00FA4EDF" w:rsidRDefault="00FA4EDF">
            <w:pPr>
              <w:pStyle w:val="caption"/>
              <w:spacing w:after="120" w:afterAutospacing="0"/>
            </w:pPr>
            <w:r>
              <w:rPr>
                <w:rStyle w:val="Zwaar"/>
              </w:rPr>
              <w:t>Abbildung XXII.4 – Der europäische Widerspruch.</w:t>
            </w:r>
            <w:r>
              <w:t xml:space="preserve"> Die EU koordiniert die soziale Sicherh</w:t>
            </w:r>
            <w:r>
              <w:t>eit, harmonisiert sie jedoch nicht. Solange dies so bleibt, hängt jede Lösung von den nationalen Behörden ab.</w:t>
            </w:r>
          </w:p>
        </w:tc>
      </w:tr>
    </w:tbl>
    <w:p w14:paraId="6263BB43" w14:textId="77777777" w:rsidR="00FA4EDF" w:rsidRDefault="00FA4EDF">
      <w:pPr>
        <w:pStyle w:val="Kop3"/>
        <w:divId w:val="982394320"/>
        <w:rPr>
          <w:rFonts w:eastAsia="Times New Roman"/>
          <w:lang w:val="de-DE"/>
        </w:rPr>
      </w:pPr>
      <w:bookmarkStart w:id="118" w:name="_Toc242103154"/>
      <w:r>
        <w:rPr>
          <w:rFonts w:eastAsia="Times New Roman"/>
          <w:lang w:val="de-DE"/>
        </w:rPr>
        <w:t>Was in diesem Kapitel dargelegt wird</w:t>
      </w:r>
      <w:bookmarkEnd w:id="118"/>
    </w:p>
    <w:p w14:paraId="2713DBB9" w14:textId="77777777" w:rsidR="00FA4EDF" w:rsidRDefault="00FA4EDF">
      <w:pPr>
        <w:pStyle w:val="Normaalweb"/>
        <w:divId w:val="982394320"/>
        <w:rPr>
          <w:lang w:val="de-DE"/>
        </w:rPr>
      </w:pPr>
      <w:r>
        <w:rPr>
          <w:lang w:val="de-DE"/>
        </w:rPr>
        <w:t>Die europäische Ebene hat den Rahmen geschaffen, in dem die grenzüberschreitende soziale Sicherheit geregelt werden soll. Sie hat die Vorschriften festgelegt, die Vermittlungsnetzwerke eingerichtet und die Koordinierungsstellen ins Leben gerufen. Und sie hat sich selbst die Aufsicht über die Einhaltung der Vorschriften übertragen.</w:t>
      </w:r>
    </w:p>
    <w:p w14:paraId="3FE10EA4" w14:textId="77777777" w:rsidR="00FA4EDF" w:rsidRDefault="00FA4EDF">
      <w:pPr>
        <w:pStyle w:val="Normaalweb"/>
        <w:divId w:val="982394320"/>
        <w:rPr>
          <w:lang w:val="de-DE"/>
        </w:rPr>
      </w:pPr>
      <w:r>
        <w:rPr>
          <w:lang w:val="de-DE"/>
        </w:rPr>
        <w:t>Allerdings hat die europäische Ebene es versäumt, die Einhaltung der Vorschriften auch durchzusetzen. Die meisten Behörden können lediglich beobachten, vermitteln und Bericht erstatten – ohne Durchsetzungsbefugnisse. Und der Weg vor Gericht ist lang.</w:t>
      </w:r>
    </w:p>
    <w:p w14:paraId="37FB7987" w14:textId="77777777" w:rsidR="00FA4EDF" w:rsidRDefault="00FA4EDF">
      <w:pPr>
        <w:pStyle w:val="Normaalweb"/>
        <w:divId w:val="982394320"/>
        <w:rPr>
          <w:lang w:val="de-DE"/>
        </w:rPr>
      </w:pPr>
      <w:r>
        <w:rPr>
          <w:lang w:val="de-DE"/>
        </w:rPr>
        <w:t>Zwei Dinge fallen auf. Die Petition im Europäischen Parlament wurde veröffentlicht und steht Mitunterzeichnern offen. Das verändert den politischen Status der Angelegenheit: Es handelt sich nicht mehr um eine private Beschwerde. Und die Europäische Kommission untersucht bereits seit 2022 mehrere Vertragsverletzungsverfahren gegen Belgien und Flandern. Die Beschwerde dieser Familie reiht sich in eine Reihe bereits laufender Verfahren ein.</w:t>
      </w:r>
    </w:p>
    <w:p w14:paraId="4572029D" w14:textId="77777777" w:rsidR="00FA4EDF" w:rsidRDefault="00FA4EDF">
      <w:pPr>
        <w:pStyle w:val="Normaalweb"/>
        <w:divId w:val="982394320"/>
        <w:rPr>
          <w:lang w:val="de-DE"/>
        </w:rPr>
      </w:pPr>
      <w:r>
        <w:rPr>
          <w:lang w:val="de-DE"/>
        </w:rPr>
        <w:t xml:space="preserve">Was bleibt, ist ein Bürger, der an jede europäische Anlaufstelle geklopft hat und an jeder Stelle dieselbe Antwort erhält: </w:t>
      </w:r>
      <w:r>
        <w:rPr>
          <w:rStyle w:val="Nadruk"/>
          <w:lang w:val="de-DE"/>
        </w:rPr>
        <w:t>Wir sind für Ihren Einzelfall nicht zuständig.</w:t>
      </w:r>
      <w:r>
        <w:rPr>
          <w:lang w:val="de-DE"/>
        </w:rPr>
        <w:t xml:space="preserve"> Doch während die </w:t>
      </w:r>
      <w:r>
        <w:rPr>
          <w:rStyle w:val="Nadruk"/>
          <w:lang w:val="de-DE"/>
        </w:rPr>
        <w:t>meisten</w:t>
      </w:r>
      <w:r>
        <w:rPr>
          <w:lang w:val="de-DE"/>
        </w:rPr>
        <w:t xml:space="preserve"> </w:t>
      </w:r>
      <w:r>
        <w:rPr>
          <w:lang w:val="de-DE"/>
        </w:rPr>
        <w:t>Türen verschlossen blieben, haben sich zwei einen Spalt breit geöffnet. Für einen Fall, der zehn Jahre lang von niemandem beachtet wurde, ist das keine Kleinigkeit.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F673567"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41DB2151"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Der Weg auf europäischer Ebene ist lang, aber nicht ohne Perspektiven. </w:t>
            </w:r>
          </w:p>
          <w:p w14:paraId="0E9A09EE" w14:textId="77777777" w:rsidR="00FA4EDF" w:rsidRDefault="00FA4EDF">
            <w:pPr>
              <w:numPr>
                <w:ilvl w:val="0"/>
                <w:numId w:val="23"/>
              </w:numPr>
              <w:spacing w:before="100" w:beforeAutospacing="1" w:after="100" w:afterAutospacing="1"/>
              <w:rPr>
                <w:rFonts w:eastAsia="Times New Roman"/>
                <w:szCs w:val="22"/>
              </w:rPr>
            </w:pPr>
            <w:r>
              <w:rPr>
                <w:rStyle w:val="Nadruk"/>
                <w:rFonts w:eastAsia="Times New Roman"/>
                <w:szCs w:val="22"/>
              </w:rPr>
              <w:t>Reichen Sie eine Petition beim Europäischen Parlament (PETI) ein.</w:t>
            </w:r>
            <w:r>
              <w:rPr>
                <w:rFonts w:eastAsia="Times New Roman"/>
                <w:szCs w:val="22"/>
              </w:rPr>
              <w:t xml:space="preserve"> Sobald die Petition für zulässig erklärt und veröffentlicht wurde, wird sie auf dem Petitionsportal sichtbar. Sie können andere Bürger bitten, die Petition mitzuunterzeichnen. Das verändert den politischen Status.</w:t>
            </w:r>
          </w:p>
          <w:p w14:paraId="467B9959" w14:textId="77777777" w:rsidR="00FA4EDF" w:rsidRDefault="00FA4EDF">
            <w:pPr>
              <w:numPr>
                <w:ilvl w:val="0"/>
                <w:numId w:val="23"/>
              </w:numPr>
              <w:spacing w:before="100" w:beforeAutospacing="1" w:after="100" w:afterAutospacing="1"/>
              <w:rPr>
                <w:rFonts w:eastAsia="Times New Roman"/>
                <w:szCs w:val="22"/>
              </w:rPr>
            </w:pPr>
            <w:r>
              <w:rPr>
                <w:rStyle w:val="Nadruk"/>
                <w:rFonts w:eastAsia="Times New Roman"/>
                <w:szCs w:val="22"/>
              </w:rPr>
              <w:t>Registrieren Sie die Beschwerde bei der Kommission (GD EMPL).</w:t>
            </w:r>
            <w:r>
              <w:rPr>
                <w:rFonts w:eastAsia="Times New Roman"/>
                <w:szCs w:val="22"/>
              </w:rPr>
              <w:t xml:space="preserve"> Jede Beschwerde wird registriert. Mehrere Beschwerden zum gleichen Thema können zu einem Dossier zusammengefasst werden.</w:t>
            </w:r>
          </w:p>
          <w:p w14:paraId="0EB6B36B" w14:textId="77777777" w:rsidR="00FA4EDF" w:rsidRDefault="00FA4EDF">
            <w:pPr>
              <w:numPr>
                <w:ilvl w:val="0"/>
                <w:numId w:val="23"/>
              </w:numPr>
              <w:spacing w:before="100" w:beforeAutospacing="1" w:after="100" w:afterAutospacing="1"/>
              <w:rPr>
                <w:rFonts w:eastAsia="Times New Roman"/>
                <w:szCs w:val="22"/>
              </w:rPr>
            </w:pPr>
            <w:r>
              <w:rPr>
                <w:rStyle w:val="Nadruk"/>
                <w:rFonts w:eastAsia="Times New Roman"/>
                <w:szCs w:val="22"/>
              </w:rPr>
              <w:t>Seien Sie vorsichtig mit dem EGMR.</w:t>
            </w:r>
            <w:r>
              <w:rPr>
                <w:rFonts w:eastAsia="Times New Roman"/>
                <w:szCs w:val="22"/>
              </w:rPr>
              <w:t xml:space="preserve"> Der Gerichtshof erklärt Beschwerden für unzulässig, solange die nationalen Rechtsmittel nicht ausgeschöpft sind. Erst auf nationaler Ebene klagen.</w:t>
            </w:r>
          </w:p>
          <w:p w14:paraId="120DB94F" w14:textId="77777777" w:rsidR="00FA4EDF" w:rsidRDefault="00FA4EDF">
            <w:pPr>
              <w:numPr>
                <w:ilvl w:val="0"/>
                <w:numId w:val="23"/>
              </w:numPr>
              <w:spacing w:before="100" w:beforeAutospacing="1" w:after="100" w:afterAutospacing="1"/>
              <w:rPr>
                <w:rFonts w:eastAsia="Times New Roman"/>
                <w:szCs w:val="22"/>
              </w:rPr>
            </w:pPr>
            <w:r>
              <w:rPr>
                <w:rStyle w:val="Nadruk"/>
                <w:rFonts w:eastAsia="Times New Roman"/>
                <w:szCs w:val="22"/>
              </w:rPr>
              <w:t>Nutzen Sie die ELA nicht direkt.</w:t>
            </w:r>
            <w:r>
              <w:rPr>
                <w:rFonts w:eastAsia="Times New Roman"/>
                <w:szCs w:val="22"/>
              </w:rPr>
              <w:t xml:space="preserve"> Die ELA vermittelt nur auf Antrag der Mitgliedstaaten. Dies geschieht über SOLVIT, sofern diese Stelle eine Weiterleitung wünscht – was in diesem Fall nicht geschehen ist.</w:t>
            </w:r>
          </w:p>
          <w:p w14:paraId="338AD056" w14:textId="77777777" w:rsidR="00FA4EDF" w:rsidRDefault="00FA4EDF">
            <w:pPr>
              <w:spacing w:after="0"/>
              <w:rPr>
                <w:rFonts w:eastAsia="Times New Roman"/>
                <w:szCs w:val="22"/>
              </w:rPr>
            </w:pPr>
            <w:r>
              <w:rPr>
                <w:rFonts w:eastAsia="Times New Roman"/>
                <w:szCs w:val="22"/>
              </w:rPr>
              <w:t xml:space="preserve">Der europäische Weg ist da. Es gibt auch zwei Möglichkeiten. Es liegt am Bürger, sie zu nutzen. </w:t>
            </w:r>
          </w:p>
        </w:tc>
      </w:tr>
    </w:tbl>
    <w:p w14:paraId="6578992A" w14:textId="77777777" w:rsidR="00FA4EDF" w:rsidRDefault="00FA4EDF">
      <w:pPr>
        <w:pStyle w:val="noot"/>
        <w:spacing w:after="120" w:afterAutospacing="0"/>
        <w:divId w:val="982394320"/>
        <w:rPr>
          <w:lang w:val="de-DE"/>
        </w:rPr>
      </w:pPr>
      <w:r>
        <w:rPr>
          <w:lang w:val="de-DE"/>
        </w:rPr>
        <w:t>Alle in diesem Kapitel genannten Organisationen sind juristische Personen. Die Rechtsgrundlage der verschiedenen Verfahren bilden die Verträge der Europäischen Union (Art. 258 und 259 AEUV für das Vertragsverletzungsverfahren), die Geschäftsordnungen des Europäischen Parlaments (PETI-Verfahren) und die Satzung des Europarats (EGMR). Die Informationen zu den Beschwerdeverfahren basieren auf Dokument B. Dieses Kapitel stellt keine Rechtsberatung dar.</w:t>
      </w:r>
    </w:p>
    <w:p w14:paraId="72E1CF6D" w14:textId="77777777" w:rsidR="00FA4EDF" w:rsidRDefault="00FA4EDF">
      <w:pPr>
        <w:pStyle w:val="marker"/>
        <w:ind w:left="800" w:right="800"/>
        <w:divId w:val="982394320"/>
        <w:rPr>
          <w:lang w:val="de-DE"/>
        </w:rPr>
      </w:pPr>
      <w:r>
        <w:br w:type="page"/>
      </w:r>
    </w:p>
    <w:p w14:paraId="298BE4AE" w14:textId="77777777" w:rsidR="00FA4EDF" w:rsidRDefault="00FA4EDF">
      <w:pPr>
        <w:pStyle w:val="Kop1"/>
        <w:divId w:val="982394320"/>
        <w:rPr>
          <w:rFonts w:eastAsia="Times New Roman"/>
          <w:lang w:val="de-DE"/>
        </w:rPr>
      </w:pPr>
      <w:bookmarkStart w:id="119" w:name="_Toc242103155"/>
      <w:r>
        <w:rPr>
          <w:rFonts w:eastAsia="Times New Roman"/>
          <w:lang w:val="de-DE"/>
        </w:rPr>
        <w:t>VI. Wer zusieht</w:t>
      </w:r>
      <w:bookmarkEnd w:id="119"/>
    </w:p>
    <w:p w14:paraId="76D0AB05" w14:textId="77777777" w:rsidR="00FA4EDF" w:rsidRDefault="00FA4EDF">
      <w:pPr>
        <w:pStyle w:val="Kop2"/>
        <w:divId w:val="982394320"/>
        <w:rPr>
          <w:rFonts w:eastAsia="Times New Roman"/>
          <w:lang w:val="de-DE"/>
        </w:rPr>
      </w:pPr>
      <w:bookmarkStart w:id="120" w:name="_Toc242103156"/>
      <w:r>
        <w:rPr>
          <w:rFonts w:eastAsia="Times New Roman"/>
          <w:lang w:val="de-DE"/>
        </w:rPr>
        <w:t>Die Kontroll- und Vermittlungsschicht</w:t>
      </w:r>
      <w:bookmarkEnd w:id="120"/>
    </w:p>
    <w:p w14:paraId="3E3DC76B" w14:textId="77777777" w:rsidR="00FA4EDF" w:rsidRDefault="00FA4EDF">
      <w:pPr>
        <w:pStyle w:val="lead"/>
        <w:divId w:val="982394320"/>
        <w:rPr>
          <w:lang w:val="de-DE"/>
        </w:rPr>
      </w:pPr>
      <w:r>
        <w:rPr>
          <w:lang w:val="de-DE"/>
        </w:rPr>
        <w:t>Wenn eine Durchführungsbehörde einen Antrag ablehnt, gibt es eine Instanz, von der erwartet wird, dass sie eingreift: die Ombudsleute, die Schlichtungsstellen, die europäischen Netzwerke. In diesem Fall wurde diese Instanz eingeschaltet. Sie hat zugehört, den Fall untersucht und auf jeder Ebene festgestellt, dass sie nicht eingreifen kann. Am Ende stellt sich heraus, dass der strengste Vermittlungsweg – die Europäische Arbeitsbehörde – gar nicht erst in Anspruch genommen werden kann.</w:t>
      </w:r>
    </w:p>
    <w:p w14:paraId="63181D39" w14:textId="77777777" w:rsidR="00FA4EDF" w:rsidRDefault="00FA4EDF">
      <w:pPr>
        <w:pStyle w:val="Kop3"/>
        <w:divId w:val="982394320"/>
        <w:rPr>
          <w:rFonts w:eastAsia="Times New Roman"/>
          <w:lang w:val="de-DE"/>
        </w:rPr>
      </w:pPr>
      <w:bookmarkStart w:id="121" w:name="_Toc242103157"/>
      <w:r>
        <w:rPr>
          <w:rFonts w:eastAsia="Times New Roman"/>
          <w:lang w:val="de-DE"/>
        </w:rPr>
        <w:t>Teil A – Die vier Vermittler</w:t>
      </w:r>
      <w:bookmarkEnd w:id="121"/>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8C9638D"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F260D3E" w14:textId="77777777" w:rsidR="00FA4EDF" w:rsidRDefault="00FA4EDF">
            <w:pPr>
              <w:pStyle w:val="Normaalweb"/>
              <w:spacing w:before="120"/>
              <w:jc w:val="center"/>
              <w:rPr>
                <w:sz w:val="21"/>
                <w:szCs w:val="21"/>
              </w:rPr>
            </w:pPr>
            <w:r>
              <w:rPr>
                <w:noProof/>
                <w:sz w:val="21"/>
                <w:szCs w:val="21"/>
              </w:rPr>
              <w:drawing>
                <wp:inline distT="0" distB="0" distL="0" distR="0" wp14:anchorId="763D5520" wp14:editId="342B93B7">
                  <wp:extent cx="3810000" cy="1974850"/>
                  <wp:effectExtent l="0" t="0" r="0" b="6350"/>
                  <wp:docPr id="69" name="Afbeelding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61D6CED3" w14:textId="77777777" w:rsidR="00FA4EDF" w:rsidRDefault="00FA4EDF">
            <w:pPr>
              <w:pStyle w:val="caption"/>
              <w:spacing w:after="120" w:afterAutospacing="0"/>
            </w:pPr>
            <w:r>
              <w:rPr>
                <w:rStyle w:val="Zwaar"/>
              </w:rPr>
              <w:t>Abbildung XV.1 – Vier Vermittler, vier Einschränkungen.</w:t>
            </w:r>
            <w:r>
              <w:t xml:space="preserve"> Der Bundesombudsmann kann in laufende Verfahren eingreifen, hat jedoch keine Durchsetzungsbefugnis. Der Nationale Ombudsmann kann nicht eingreifen, solange ein verwaltungsrechtliches Rechtsmittelverfahren anhängig ist. SOLVIT hat keine Durchsetzungsbefugnis und schließt sich bei laufenden Verfahren aus. Das GIP kann lediglich informieren und weigert sich, einen Systemfehler zu melden.</w:t>
            </w:r>
          </w:p>
        </w:tc>
      </w:tr>
    </w:tbl>
    <w:p w14:paraId="30FCC51B" w14:textId="77777777" w:rsidR="00FA4EDF" w:rsidRDefault="00FA4EDF">
      <w:pPr>
        <w:pStyle w:val="Kop3"/>
        <w:divId w:val="982394320"/>
        <w:rPr>
          <w:rFonts w:eastAsia="Times New Roman"/>
          <w:lang w:val="de-DE"/>
        </w:rPr>
      </w:pPr>
      <w:bookmarkStart w:id="122" w:name="_Toc242103158"/>
      <w:r>
        <w:rPr>
          <w:rFonts w:eastAsia="Times New Roman"/>
          <w:lang w:val="de-DE"/>
        </w:rPr>
        <w:t>Teil B – Der Unterschied zwischen den beiden Ombudsleuten</w:t>
      </w:r>
      <w:bookmarkEnd w:id="122"/>
    </w:p>
    <w:p w14:paraId="6C226F14" w14:textId="77777777" w:rsidR="00FA4EDF" w:rsidRDefault="00FA4EDF">
      <w:pPr>
        <w:pStyle w:val="Normaalweb"/>
        <w:divId w:val="982394320"/>
        <w:rPr>
          <w:lang w:val="de-DE"/>
        </w:rPr>
      </w:pPr>
      <w:r>
        <w:rPr>
          <w:lang w:val="de-DE"/>
        </w:rPr>
        <w:t>Der belgische und der niederländische Ombudsmann ähneln sich zwar, doch ihre rechtlichen Rahmenbedingungen unterscheiden sich grundlegend.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544783D"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00C3D0B" w14:textId="77777777" w:rsidR="00FA4EDF" w:rsidRDefault="00FA4EDF">
            <w:pPr>
              <w:pStyle w:val="Normaalweb"/>
              <w:spacing w:before="120"/>
              <w:jc w:val="center"/>
              <w:rPr>
                <w:sz w:val="21"/>
                <w:szCs w:val="21"/>
              </w:rPr>
            </w:pPr>
            <w:r>
              <w:rPr>
                <w:noProof/>
                <w:sz w:val="21"/>
                <w:szCs w:val="21"/>
              </w:rPr>
              <w:drawing>
                <wp:inline distT="0" distB="0" distL="0" distR="0" wp14:anchorId="1E91289F" wp14:editId="0799D922">
                  <wp:extent cx="3810000" cy="1314450"/>
                  <wp:effectExtent l="0" t="0" r="0" b="0"/>
                  <wp:docPr id="70" name="Afbeelding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0" cy="1314450"/>
                          </a:xfrm>
                          <a:prstGeom prst="rect">
                            <a:avLst/>
                          </a:prstGeom>
                          <a:noFill/>
                          <a:ln>
                            <a:noFill/>
                          </a:ln>
                        </pic:spPr>
                      </pic:pic>
                    </a:graphicData>
                  </a:graphic>
                </wp:inline>
              </w:drawing>
            </w:r>
          </w:p>
          <w:p w14:paraId="708E7C53" w14:textId="77777777" w:rsidR="00FA4EDF" w:rsidRDefault="00FA4EDF">
            <w:pPr>
              <w:pStyle w:val="caption"/>
              <w:spacing w:after="120" w:afterAutospacing="0"/>
            </w:pPr>
            <w:r>
              <w:rPr>
                <w:rStyle w:val="Zwaar"/>
              </w:rPr>
              <w:t>Abbildung XV.2 – Die beiden Ombudsleute.</w:t>
            </w:r>
            <w:r>
              <w:t xml:space="preserve"> Der Bundesombudsmann kann in laufende Verwaltungsverfahren eingreifen. Dem Nationalombudsmann ist ein Eingreifen gesetzlich untersagt, solange ein verwaltungsrechtliches Rechtsmittelverfahren anhängig ist.</w:t>
            </w:r>
          </w:p>
        </w:tc>
      </w:tr>
    </w:tbl>
    <w:p w14:paraId="4EC575A1" w14:textId="77777777" w:rsidR="00FA4EDF" w:rsidRDefault="00FA4EDF">
      <w:pPr>
        <w:pStyle w:val="Kop3"/>
        <w:divId w:val="982394320"/>
        <w:rPr>
          <w:rFonts w:eastAsia="Times New Roman"/>
          <w:lang w:val="de-DE"/>
        </w:rPr>
      </w:pPr>
      <w:bookmarkStart w:id="123" w:name="_Toc242103159"/>
      <w:r>
        <w:rPr>
          <w:rFonts w:eastAsia="Times New Roman"/>
          <w:lang w:val="de-DE"/>
        </w:rPr>
        <w:t>Teil C – Die zirkuläre Verweisung zwischen den beiden SOLVIT-Zentren</w:t>
      </w:r>
      <w:bookmarkEnd w:id="123"/>
    </w:p>
    <w:p w14:paraId="083E878B" w14:textId="77777777" w:rsidR="00FA4EDF" w:rsidRDefault="00FA4EDF">
      <w:pPr>
        <w:pStyle w:val="Normaalweb"/>
        <w:divId w:val="982394320"/>
        <w:rPr>
          <w:lang w:val="de-DE"/>
        </w:rPr>
      </w:pPr>
      <w:r>
        <w:rPr>
          <w:lang w:val="de-DE"/>
        </w:rPr>
        <w:t>In der europäischen Struktur ist SOLVIT die Stelle, die vermitteln soll, wenn nationale Behörden gegen EU-Recht verstoßen. An diesem Fall sind zwei SOLVIT-Zentren beteiligt: SOLVIT Niederlande und SOLVIT Belgien. Es folgt ein Muster gegenseitiger Weiterleitung – bis sich beide Zentren zurückziehen.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F92554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1E2A21B" w14:textId="77777777" w:rsidR="00FA4EDF" w:rsidRDefault="00FA4EDF">
            <w:pPr>
              <w:pStyle w:val="Normaalweb"/>
              <w:spacing w:before="120"/>
              <w:jc w:val="center"/>
              <w:rPr>
                <w:sz w:val="21"/>
                <w:szCs w:val="21"/>
              </w:rPr>
            </w:pPr>
            <w:r>
              <w:rPr>
                <w:noProof/>
                <w:sz w:val="21"/>
                <w:szCs w:val="21"/>
              </w:rPr>
              <w:drawing>
                <wp:inline distT="0" distB="0" distL="0" distR="0" wp14:anchorId="6ADECF8A" wp14:editId="688D1635">
                  <wp:extent cx="3810000" cy="1524000"/>
                  <wp:effectExtent l="0" t="0" r="0" b="0"/>
                  <wp:docPr id="71" name="Afbeelding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4E71D201" w14:textId="77777777" w:rsidR="00FA4EDF" w:rsidRDefault="00FA4EDF">
            <w:pPr>
              <w:pStyle w:val="caption"/>
              <w:spacing w:after="120" w:afterAutospacing="0"/>
            </w:pPr>
            <w:r>
              <w:rPr>
                <w:rStyle w:val="Zwaar"/>
              </w:rPr>
              <w:t>Abbildung XV.3 – Die gegenseitige Weiterleitung zwischen SOLVIT NL und SOLVIT BE.</w:t>
            </w:r>
            <w:r>
              <w:t xml:space="preserve"> Beide Zentren leiten Fälle aneinander weiter. Und wenn der Patient um eine Weiterleitung an die Europäische Arbeitsbehörde bittet, lehnen beide dies ab: SOLVIT NL, weil kein Verstoß festgestellt wurde, SOLVIT BE, weil eine Weiterleitung nicht zu seinem Aufgabenbereich gehöre.</w:t>
            </w:r>
          </w:p>
        </w:tc>
      </w:tr>
    </w:tbl>
    <w:p w14:paraId="2BDEEB6C" w14:textId="77777777" w:rsidR="00FA4EDF" w:rsidRDefault="00FA4EDF">
      <w:pPr>
        <w:pStyle w:val="Kop3"/>
        <w:divId w:val="982394320"/>
        <w:rPr>
          <w:rFonts w:eastAsia="Times New Roman"/>
          <w:lang w:val="de-DE"/>
        </w:rPr>
      </w:pPr>
      <w:bookmarkStart w:id="124" w:name="_Toc242103160"/>
      <w:r>
        <w:rPr>
          <w:rFonts w:eastAsia="Times New Roman"/>
          <w:lang w:val="de-DE"/>
        </w:rPr>
        <w:t>Teil D – Die ELA: Der Weg, der sich nicht öffnet</w:t>
      </w:r>
      <w:bookmarkEnd w:id="124"/>
    </w:p>
    <w:p w14:paraId="21FA6BAC" w14:textId="77777777" w:rsidR="00FA4EDF" w:rsidRDefault="00FA4EDF">
      <w:pPr>
        <w:pStyle w:val="Normaalweb"/>
        <w:divId w:val="982394320"/>
        <w:rPr>
          <w:lang w:val="de-DE"/>
        </w:rPr>
      </w:pPr>
      <w:r>
        <w:rPr>
          <w:lang w:val="de-DE"/>
        </w:rPr>
        <w:t>Wenn SOLVIT keine Lösung bietet, gibt es noch eine europäische Einrichtung, die speziell für grenzüberschreitende Streitigkeiten geschaffen wurde: die Europäische Arbeitsbehörde (ELA). Die ELA wurde gegründet, um eine faire Arbeitsmobilität zu fördern und die Vermittlung zwischen den Mitgliedstaaten bei grenzüberschreitenden Problemen im Bereich der sozialen Sicherheit zu erleichtern.</w:t>
      </w:r>
    </w:p>
    <w:p w14:paraId="1F016C5E" w14:textId="77777777" w:rsidR="00FA4EDF" w:rsidRDefault="00FA4EDF">
      <w:pPr>
        <w:pStyle w:val="Normaalweb"/>
        <w:divId w:val="982394320"/>
        <w:rPr>
          <w:lang w:val="de-DE"/>
        </w:rPr>
      </w:pPr>
      <w:r>
        <w:rPr>
          <w:lang w:val="de-DE"/>
        </w:rPr>
        <w:t>Theoretisch sollte die ELA die Instanz sein, die eingreift, wenn sich die nationalen Regierungen nicht einigen können. In der Praxis erweist sich die ELA für den einzelnen Bürger jedoch als unzugänglich.</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FAB4CE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A7258C" w14:textId="77777777" w:rsidR="00FA4EDF" w:rsidRDefault="00FA4EDF">
            <w:pPr>
              <w:pStyle w:val="Normaalweb"/>
              <w:spacing w:before="120"/>
              <w:jc w:val="center"/>
              <w:rPr>
                <w:sz w:val="21"/>
                <w:szCs w:val="21"/>
              </w:rPr>
            </w:pPr>
            <w:r>
              <w:rPr>
                <w:noProof/>
                <w:sz w:val="21"/>
                <w:szCs w:val="21"/>
              </w:rPr>
              <w:drawing>
                <wp:inline distT="0" distB="0" distL="0" distR="0" wp14:anchorId="4B7AF99E" wp14:editId="465FE97C">
                  <wp:extent cx="3810000" cy="1384300"/>
                  <wp:effectExtent l="0" t="0" r="0" b="6350"/>
                  <wp:docPr id="72" name="Afbeelding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10000" cy="1384300"/>
                          </a:xfrm>
                          <a:prstGeom prst="rect">
                            <a:avLst/>
                          </a:prstGeom>
                          <a:noFill/>
                          <a:ln>
                            <a:noFill/>
                          </a:ln>
                        </pic:spPr>
                      </pic:pic>
                    </a:graphicData>
                  </a:graphic>
                </wp:inline>
              </w:drawing>
            </w:r>
          </w:p>
          <w:p w14:paraId="6B5825B4" w14:textId="77777777" w:rsidR="00FA4EDF" w:rsidRDefault="00FA4EDF">
            <w:pPr>
              <w:pStyle w:val="caption"/>
              <w:spacing w:after="120" w:afterAutospacing="0"/>
            </w:pPr>
            <w:r>
              <w:rPr>
                <w:rStyle w:val="Zwaar"/>
              </w:rPr>
              <w:t>Abbildung XV.4 – Die ELA als verschlossene Tür.</w:t>
            </w:r>
            <w:r>
              <w:t xml:space="preserve"> Die ELA vermittelt nur auf Antrag der Mitgliedstaaten. Direkte Anträge von Bürgern werden für unzulässig erklärt. Und die Anlaufstellen, die die Anträge weiterleiten sollten (SOLVIT NL und BE), weigern sich, dies zu tun. Die speziell für solche Situationen eingerichtete Stelle bleibt für diejenigen unerreichbar, die sie am dringendsten benötigen.</w:t>
            </w:r>
          </w:p>
        </w:tc>
      </w:tr>
    </w:tbl>
    <w:p w14:paraId="59B2CE2D" w14:textId="77777777" w:rsidR="00FA4EDF" w:rsidRDefault="00FA4EDF">
      <w:pPr>
        <w:pStyle w:val="Kop3"/>
        <w:divId w:val="982394320"/>
        <w:rPr>
          <w:rFonts w:eastAsia="Times New Roman"/>
          <w:lang w:val="de-DE"/>
        </w:rPr>
      </w:pPr>
      <w:bookmarkStart w:id="125" w:name="_Toc242103161"/>
      <w:r>
        <w:rPr>
          <w:rFonts w:eastAsia="Times New Roman"/>
          <w:lang w:val="de-DE"/>
        </w:rPr>
        <w:t>Teil E – Das Schnittmuster</w:t>
      </w:r>
      <w:bookmarkEnd w:id="125"/>
    </w:p>
    <w:p w14:paraId="3B9C8963" w14:textId="77777777" w:rsidR="00FA4EDF" w:rsidRDefault="00FA4EDF">
      <w:pPr>
        <w:pStyle w:val="Normaalweb"/>
        <w:divId w:val="982394320"/>
        <w:rPr>
          <w:lang w:val="de-DE"/>
        </w:rPr>
      </w:pPr>
      <w:r>
        <w:rPr>
          <w:lang w:val="de-DE"/>
        </w:rPr>
        <w:t xml:space="preserve">Allen Vermittlern ist ein grundlegendes Merkmal gemeinsam: Sie können untersuchen, Empfehlungen aussprechen und Berichte erstellen, aber sie </w:t>
      </w:r>
      <w:r>
        <w:rPr>
          <w:rStyle w:val="Zwaar"/>
          <w:lang w:val="de-DE"/>
        </w:rPr>
        <w:t>können</w:t>
      </w:r>
      <w:r>
        <w:rPr>
          <w:lang w:val="de-DE"/>
        </w:rPr>
        <w:t xml:space="preserve"> niemanden </w:t>
      </w:r>
      <w:r>
        <w:rPr>
          <w:rStyle w:val="Zwaar"/>
          <w:lang w:val="de-DE"/>
        </w:rPr>
        <w:t>zwingen</w:t>
      </w:r>
      <w:r>
        <w:rPr>
          <w:lang w:val="de-DE"/>
        </w:rPr>
        <w:t>. Kein Vermittler kann eine ausführende Behörde dazu verpflichten, eine Entscheidung zu revidieren, eine Leistung zu gewähren oder eine Registrierung vorzunehmen.</w:t>
      </w:r>
    </w:p>
    <w:p w14:paraId="7F4F6A29" w14:textId="77777777" w:rsidR="00FA4EDF" w:rsidRDefault="00FA4EDF">
      <w:pPr>
        <w:pStyle w:val="Normaalweb"/>
        <w:divId w:val="982394320"/>
        <w:rPr>
          <w:lang w:val="de-DE"/>
        </w:rPr>
      </w:pPr>
      <w:r>
        <w:rPr>
          <w:lang w:val="de-DE"/>
        </w:rPr>
        <w:t xml:space="preserve">Hinzu kommt ein zweites Merkmal: Jeder Vermittler hat seine eigene Schwelle, ab </w:t>
      </w:r>
      <w:r>
        <w:rPr>
          <w:rStyle w:val="Zwaar"/>
          <w:lang w:val="de-DE"/>
        </w:rPr>
        <w:t>der</w:t>
      </w:r>
      <w:r>
        <w:rPr>
          <w:lang w:val="de-DE"/>
        </w:rPr>
        <w:t xml:space="preserve"> </w:t>
      </w:r>
      <w:r>
        <w:rPr>
          <w:lang w:val="de-DE"/>
        </w:rPr>
        <w:t>er eingreifen darf. Der Bundesombudsmann darf dies bei laufenden Verfahren tun. Der Nationale Ombudsmann darf dies nicht. SOLVIT darf dies bei laufenden Gerichtsverfahren nicht. Das GIP darf dies niemals. Die ELA darf dies nur auf Antrag von Mitgliedstaaten. Der EGMR darf dies nur nach Ausschöpfung aller nationalen Rechtsmittel.</w:t>
      </w:r>
    </w:p>
    <w:p w14:paraId="24A8A6E0" w14:textId="77777777" w:rsidR="00FA4EDF" w:rsidRDefault="00FA4EDF">
      <w:pPr>
        <w:pStyle w:val="Normaalweb"/>
        <w:divId w:val="982394320"/>
        <w:rPr>
          <w:lang w:val="de-DE"/>
        </w:rPr>
      </w:pPr>
      <w:r>
        <w:rPr>
          <w:lang w:val="de-DE"/>
        </w:rPr>
        <w:t>Und aus dieser Akte geht hervor, dass der strengste Vermittlungsweg – die Europäische Arbeitsbehörde – nicht nur eingeschränkt, sondern gänzlich verschlossen ist. Die ELA wurde für Situationen wie diese konzipiert, ist für einzelne Bürger jedoch nicht zugänglich. Und die einzigen Anlaufstellen, die Zugang gewähren könnten (SOLVIT NL und BE), weigern sich, dies zu tun.</w:t>
      </w:r>
    </w:p>
    <w:p w14:paraId="75169C24" w14:textId="77777777" w:rsidR="00FA4EDF" w:rsidRDefault="00FA4EDF">
      <w:pPr>
        <w:pStyle w:val="Normaalweb"/>
        <w:divId w:val="982394320"/>
        <w:rPr>
          <w:lang w:val="de-DE"/>
        </w:rPr>
      </w:pPr>
      <w:r>
        <w:rPr>
          <w:lang w:val="de-DE"/>
        </w:rPr>
        <w:t>Es bleibt also dabei, dass die Vermittlungsinstanz wie eine Reihe von Filtern funktioniert. Jede Beschwerde wird registriert, geprüft und an eine andere Instanz weitergeleitet, die ebenfalls nicht eingreifen kann. Und wenn die letzte Instanz erreicht ist, stellt sich heraus, dass auch diese eine verschlossene Tür hat.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6209EF0"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7F70F6D4"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w:t>
            </w:r>
          </w:p>
          <w:p w14:paraId="2BBA16A2" w14:textId="77777777" w:rsidR="00FA4EDF" w:rsidRDefault="00FA4EDF">
            <w:pPr>
              <w:numPr>
                <w:ilvl w:val="0"/>
                <w:numId w:val="24"/>
              </w:numPr>
              <w:spacing w:before="100" w:beforeAutospacing="1" w:after="100" w:afterAutospacing="1"/>
              <w:rPr>
                <w:rFonts w:eastAsia="Times New Roman"/>
                <w:szCs w:val="22"/>
              </w:rPr>
            </w:pPr>
            <w:r>
              <w:rPr>
                <w:rStyle w:val="Nadruk"/>
                <w:rFonts w:eastAsia="Times New Roman"/>
                <w:szCs w:val="22"/>
              </w:rPr>
              <w:t>Der Föderale Ombudsmann (BE)</w:t>
            </w:r>
            <w:r>
              <w:rPr>
                <w:rFonts w:eastAsia="Times New Roman"/>
                <w:szCs w:val="22"/>
              </w:rPr>
              <w:t xml:space="preserve"> ist der einzige Vermittler, der in laufenden Angelegenheiten eingreifen kann, ohne dass zuvor ein Gerichtsverfahren erforderlich ist. Reichen Sie dort eine Beschwerde ein, wenn Sie bei einer föderalen Behörde nicht weiterkommen.</w:t>
            </w:r>
          </w:p>
          <w:p w14:paraId="1D0302D2" w14:textId="77777777" w:rsidR="00FA4EDF" w:rsidRDefault="00FA4EDF">
            <w:pPr>
              <w:numPr>
                <w:ilvl w:val="0"/>
                <w:numId w:val="24"/>
              </w:numPr>
              <w:spacing w:before="100" w:beforeAutospacing="1" w:after="100" w:afterAutospacing="1"/>
              <w:rPr>
                <w:rFonts w:eastAsia="Times New Roman"/>
                <w:szCs w:val="22"/>
              </w:rPr>
            </w:pPr>
            <w:r>
              <w:rPr>
                <w:rStyle w:val="Nadruk"/>
                <w:rFonts w:eastAsia="Times New Roman"/>
                <w:szCs w:val="22"/>
              </w:rPr>
              <w:t>Der Nationale Ombudsmann (NL)</w:t>
            </w:r>
            <w:r>
              <w:rPr>
                <w:rFonts w:eastAsia="Times New Roman"/>
                <w:szCs w:val="22"/>
              </w:rPr>
              <w:t xml:space="preserve"> kann erst tätig werden, wenn alle verwaltungsrechtlichen Verfahren abgeschlossen sind. Wenden Sie sich also nicht zuerst an den Ombudsmann, sondern an die Behörde selbst und anschließend an das Gericht.</w:t>
            </w:r>
          </w:p>
          <w:p w14:paraId="178FEE16" w14:textId="77777777" w:rsidR="00FA4EDF" w:rsidRDefault="00FA4EDF">
            <w:pPr>
              <w:numPr>
                <w:ilvl w:val="0"/>
                <w:numId w:val="24"/>
              </w:numPr>
              <w:spacing w:before="100" w:beforeAutospacing="1" w:after="100" w:afterAutospacing="1"/>
              <w:rPr>
                <w:rFonts w:eastAsia="Times New Roman"/>
                <w:szCs w:val="22"/>
              </w:rPr>
            </w:pPr>
            <w:r>
              <w:rPr>
                <w:rStyle w:val="Nadruk"/>
                <w:rFonts w:eastAsia="Times New Roman"/>
                <w:szCs w:val="22"/>
              </w:rPr>
              <w:t>SOLVIT</w:t>
            </w:r>
            <w:r>
              <w:rPr>
                <w:rFonts w:eastAsia="Times New Roman"/>
                <w:szCs w:val="22"/>
              </w:rPr>
              <w:t xml:space="preserve"> ist nützlich, um Informationen zu erhalten und ein strukturelles Problem zu dokumentieren. In diesem Fall weigerten sich jedoch beide Zentren, den Fall an die ELA weiterzuleiten. Erwarten Sie daher keinen Durchbruch über diesen Weg.</w:t>
            </w:r>
          </w:p>
          <w:p w14:paraId="07AD7386" w14:textId="77777777" w:rsidR="00FA4EDF" w:rsidRDefault="00FA4EDF">
            <w:pPr>
              <w:numPr>
                <w:ilvl w:val="0"/>
                <w:numId w:val="24"/>
              </w:numPr>
              <w:spacing w:before="100" w:beforeAutospacing="1" w:after="100" w:afterAutospacing="1"/>
              <w:rPr>
                <w:rFonts w:eastAsia="Times New Roman"/>
                <w:szCs w:val="22"/>
              </w:rPr>
            </w:pPr>
            <w:r>
              <w:rPr>
                <w:rStyle w:val="Nadruk"/>
                <w:rFonts w:eastAsia="Times New Roman"/>
                <w:szCs w:val="22"/>
              </w:rPr>
              <w:t>Die ELA</w:t>
            </w:r>
            <w:r>
              <w:rPr>
                <w:rFonts w:eastAsia="Times New Roman"/>
                <w:szCs w:val="22"/>
              </w:rPr>
              <w:t xml:space="preserve"> ist für Bürger nicht direkt zugänglich. Der Zugang erfolgt ausschließlich über SOLVIT-Zentren. Und diese lehnen es in diesem Fall konsequent ab.</w:t>
            </w:r>
          </w:p>
          <w:p w14:paraId="243591A1" w14:textId="77777777" w:rsidR="00FA4EDF" w:rsidRDefault="00FA4EDF">
            <w:pPr>
              <w:spacing w:after="0"/>
              <w:rPr>
                <w:rFonts w:eastAsia="Times New Roman"/>
                <w:szCs w:val="22"/>
              </w:rPr>
            </w:pPr>
            <w:r>
              <w:rPr>
                <w:rFonts w:eastAsia="Times New Roman"/>
                <w:szCs w:val="22"/>
              </w:rPr>
              <w:t xml:space="preserve">Die Vermittlungsebene ist eine Ergänzung zum Rechtsweg, kein Ersatz. Und manchmal ist sogar diese Ergänzung verschlossen. </w:t>
            </w:r>
          </w:p>
        </w:tc>
      </w:tr>
    </w:tbl>
    <w:p w14:paraId="1C7E21AD"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bezeichnet. Die Sachverhalte basieren auf Dokument B. Die rechtlichen Rahmenbedingungen stützen sich auf die offiziellen Mitteilungen der beteiligten Behörden. Dieses Kapitel stellt keine Rechtsberatung dar.</w:t>
      </w:r>
    </w:p>
    <w:p w14:paraId="273A0D1F" w14:textId="77777777" w:rsidR="00FA4EDF" w:rsidRDefault="00FA4EDF">
      <w:pPr>
        <w:pStyle w:val="marker"/>
        <w:ind w:left="800" w:right="800"/>
        <w:divId w:val="982394320"/>
        <w:rPr>
          <w:lang w:val="de-DE"/>
        </w:rPr>
      </w:pPr>
      <w:r>
        <w:br w:type="page"/>
      </w:r>
    </w:p>
    <w:p w14:paraId="50630988" w14:textId="77777777" w:rsidR="00FA4EDF" w:rsidRDefault="00FA4EDF">
      <w:pPr>
        <w:pStyle w:val="Kop2"/>
        <w:divId w:val="982394320"/>
        <w:rPr>
          <w:rFonts w:eastAsia="Times New Roman"/>
          <w:lang w:val="de-DE"/>
        </w:rPr>
      </w:pPr>
      <w:bookmarkStart w:id="126" w:name="_Toc242103162"/>
      <w:r>
        <w:rPr>
          <w:rFonts w:eastAsia="Times New Roman"/>
          <w:lang w:val="de-DE"/>
        </w:rPr>
        <w:t>Die Gerichte</w:t>
      </w:r>
      <w:bookmarkEnd w:id="126"/>
    </w:p>
    <w:p w14:paraId="02717CF4" w14:textId="77777777" w:rsidR="00FA4EDF" w:rsidRDefault="00FA4EDF">
      <w:pPr>
        <w:pStyle w:val="lead"/>
        <w:divId w:val="982394320"/>
        <w:rPr>
          <w:lang w:val="de-DE"/>
        </w:rPr>
      </w:pPr>
      <w:r>
        <w:rPr>
          <w:lang w:val="de-DE"/>
        </w:rPr>
        <w:t>Wenn keine Behörde mehr eingreift, bleibt nur noch der Richter. Theoretisch ist dies die Instanz, bei der eine Entscheidung erzwungen werden kann. In der Praxis erweist sich jedoch der Zugang zu diesem Richter selbst als Hürde – und genau diese Hürde ist das Problem, das der Richter eigentlich lösen sollte.</w:t>
      </w:r>
    </w:p>
    <w:p w14:paraId="56D3483F" w14:textId="77777777" w:rsidR="00FA4EDF" w:rsidRDefault="00FA4EDF">
      <w:pPr>
        <w:pStyle w:val="Kop3"/>
        <w:divId w:val="982394320"/>
        <w:rPr>
          <w:rFonts w:eastAsia="Times New Roman"/>
          <w:lang w:val="de-DE"/>
        </w:rPr>
      </w:pPr>
      <w:bookmarkStart w:id="127" w:name="_Toc242103163"/>
      <w:r>
        <w:rPr>
          <w:rFonts w:eastAsia="Times New Roman"/>
          <w:lang w:val="de-DE"/>
        </w:rPr>
        <w:t>Teil A – Die beiden Rechtswege</w:t>
      </w:r>
      <w:bookmarkEnd w:id="127"/>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8C4CF3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2878E28" w14:textId="77777777" w:rsidR="00FA4EDF" w:rsidRDefault="00FA4EDF">
            <w:pPr>
              <w:pStyle w:val="Normaalweb"/>
              <w:spacing w:before="120"/>
              <w:jc w:val="center"/>
              <w:rPr>
                <w:sz w:val="21"/>
                <w:szCs w:val="21"/>
              </w:rPr>
            </w:pPr>
            <w:r>
              <w:rPr>
                <w:noProof/>
                <w:sz w:val="21"/>
                <w:szCs w:val="21"/>
              </w:rPr>
              <w:drawing>
                <wp:inline distT="0" distB="0" distL="0" distR="0" wp14:anchorId="3796AF7F" wp14:editId="24F42C9B">
                  <wp:extent cx="3810000" cy="1644650"/>
                  <wp:effectExtent l="0" t="0" r="0" b="0"/>
                  <wp:docPr id="73" name="Afbeelding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256542EA" w14:textId="77777777" w:rsidR="00FA4EDF" w:rsidRDefault="00FA4EDF">
            <w:pPr>
              <w:pStyle w:val="caption"/>
              <w:spacing w:after="120" w:afterAutospacing="0"/>
            </w:pPr>
            <w:r>
              <w:rPr>
                <w:rStyle w:val="Zwaar"/>
              </w:rPr>
              <w:t>Abbildung XVI.1 – Die beiden Rechtswege.</w:t>
            </w:r>
            <w:r>
              <w:t xml:space="preserve"> </w:t>
            </w:r>
            <w:r>
              <w:t>In Belgien ist der Zugang zum Arbeitsgericht über einen einfachen Antrag möglich, ohne Registergebühr und ohne Verfahrenskosten für den Bürger. Die einzigen Kosten sind das Honorar des Rechtsanwalts. In den Niederlanden beginnt der Rechtsweg mit einem Widerspruch bei der betreffenden Behörde selbst, gefolgt von einer Klage vor dem Verwaltungsgericht, wobei Gerichtsgebühren und Anwaltskosten anfallen.</w:t>
            </w:r>
          </w:p>
        </w:tc>
      </w:tr>
    </w:tbl>
    <w:p w14:paraId="714D86E1" w14:textId="77777777" w:rsidR="00FA4EDF" w:rsidRDefault="00FA4EDF">
      <w:pPr>
        <w:pStyle w:val="Kop3"/>
        <w:divId w:val="982394320"/>
        <w:rPr>
          <w:rFonts w:eastAsia="Times New Roman"/>
          <w:lang w:val="de-DE"/>
        </w:rPr>
      </w:pPr>
      <w:bookmarkStart w:id="128" w:name="_Toc242103164"/>
      <w:r>
        <w:rPr>
          <w:rFonts w:eastAsia="Times New Roman"/>
          <w:lang w:val="de-DE"/>
        </w:rPr>
        <w:t>Teil B – Die Pro-Bono-Schwelle</w:t>
      </w:r>
      <w:bookmarkEnd w:id="128"/>
    </w:p>
    <w:p w14:paraId="463C5E26" w14:textId="77777777" w:rsidR="00FA4EDF" w:rsidRDefault="00FA4EDF">
      <w:pPr>
        <w:pStyle w:val="Normaalweb"/>
        <w:divId w:val="982394320"/>
        <w:rPr>
          <w:lang w:val="de-DE"/>
        </w:rPr>
      </w:pPr>
      <w:r>
        <w:rPr>
          <w:lang w:val="de-DE"/>
        </w:rPr>
        <w:t>In beiden Ländern gibt es ein System der subventionierten Rechtshilfe: „pro deo“ in Belgien, „toevoeging“ in den Niederlanden. Wer unter einer bestimmten Einkommensgrenze liegt, bekommt einen Anwalt zugewiesen, dessen Kosten (größtenteils) vom Staat übernommen werden. Doch die Zugangsvoraussetzungen sind für einen Grenzgänger in einer medizinischen Notlage problematisch.</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DE8561C"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4F4ADC0" w14:textId="77777777" w:rsidR="00FA4EDF" w:rsidRDefault="00FA4EDF">
            <w:pPr>
              <w:pStyle w:val="Normaalweb"/>
              <w:spacing w:before="120"/>
              <w:jc w:val="center"/>
              <w:rPr>
                <w:sz w:val="21"/>
                <w:szCs w:val="21"/>
              </w:rPr>
            </w:pPr>
            <w:r>
              <w:rPr>
                <w:noProof/>
                <w:sz w:val="21"/>
                <w:szCs w:val="21"/>
              </w:rPr>
              <w:drawing>
                <wp:inline distT="0" distB="0" distL="0" distR="0" wp14:anchorId="246AC69E" wp14:editId="0F6B5DA5">
                  <wp:extent cx="3810000" cy="1593850"/>
                  <wp:effectExtent l="0" t="0" r="0" b="6350"/>
                  <wp:docPr id="74" name="Afbeelding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09BA5F58" w14:textId="77777777" w:rsidR="00FA4EDF" w:rsidRDefault="00FA4EDF">
            <w:pPr>
              <w:pStyle w:val="caption"/>
              <w:spacing w:after="120" w:afterAutospacing="0"/>
            </w:pPr>
            <w:r>
              <w:rPr>
                <w:rStyle w:val="Zwaar"/>
              </w:rPr>
              <w:t>Abbildung XVI.2 – Die Pro-Deo-Schwellenwerte.</w:t>
            </w:r>
            <w:r>
              <w:t xml:space="preserve"> In Belgien wird das monatliche Nettoeinkommen von vor zwei Jahren (dem Bezugsjahr) herangezogen. In den Niederlanden wird das Bruttojahreseinkommen von vor zwei Jahren herangezogen. In beiden Ländern ist das tatsächliche Einkommen während der medizinischen Krise auf null gesunken, doch das Referenzjahr-Einkommen basiert noch auf dem Zeitraum vor der Krise. Der Bürger verdient auf dem Papier zu viel, während er in Wirklichkeit nichts hat.</w:t>
            </w:r>
          </w:p>
        </w:tc>
      </w:tr>
    </w:tbl>
    <w:p w14:paraId="653C5147" w14:textId="77777777" w:rsidR="00FA4EDF" w:rsidRDefault="00FA4EDF">
      <w:pPr>
        <w:pStyle w:val="Kop3"/>
        <w:divId w:val="982394320"/>
        <w:rPr>
          <w:rFonts w:eastAsia="Times New Roman"/>
          <w:lang w:val="de-DE"/>
        </w:rPr>
      </w:pPr>
      <w:bookmarkStart w:id="129" w:name="_Toc242103165"/>
      <w:r>
        <w:rPr>
          <w:rFonts w:eastAsia="Times New Roman"/>
          <w:lang w:val="de-DE"/>
        </w:rPr>
        <w:t>Teil C – Die Ironie des Referenzjahres</w:t>
      </w:r>
      <w:bookmarkEnd w:id="129"/>
    </w:p>
    <w:p w14:paraId="5606FA37" w14:textId="77777777" w:rsidR="00FA4EDF" w:rsidRDefault="00FA4EDF">
      <w:pPr>
        <w:pStyle w:val="Normaalweb"/>
        <w:divId w:val="982394320"/>
        <w:rPr>
          <w:lang w:val="de-DE"/>
        </w:rPr>
      </w:pPr>
      <w:r>
        <w:rPr>
          <w:lang w:val="de-DE"/>
        </w:rPr>
        <w:t xml:space="preserve">Der Kern des Problems ist das </w:t>
      </w:r>
      <w:r>
        <w:rPr>
          <w:rStyle w:val="Zwaar"/>
          <w:lang w:val="de-DE"/>
        </w:rPr>
        <w:t>Bezugsjahr</w:t>
      </w:r>
      <w:r>
        <w:rPr>
          <w:lang w:val="de-DE"/>
        </w:rPr>
        <w:t>. Beide Länder prüfen den Anspruch auf Prozesskostenhilfe anhand des Einkommens von vor zwei Jahren. Damit soll Betrug verhindert werden: Wer sein Einkommen kurzfristig senkt, um anspruchsberechtigt zu sein, wird ausgeschlossen. Das System berücksichtigt jedoch keinen plötzlichen, unfreiwilligen Einkommensrückgang aufgrund von Krankheit.</w:t>
      </w:r>
    </w:p>
    <w:p w14:paraId="64B9FF9F" w14:textId="77777777" w:rsidR="00FA4EDF" w:rsidRDefault="00FA4EDF">
      <w:pPr>
        <w:pStyle w:val="Normaalweb"/>
        <w:divId w:val="982394320"/>
        <w:rPr>
          <w:lang w:val="de-DE"/>
        </w:rPr>
      </w:pPr>
      <w:r>
        <w:rPr>
          <w:lang w:val="de-DE"/>
        </w:rPr>
        <w:t>In der Benutzerakte:</w:t>
      </w:r>
    </w:p>
    <w:p w14:paraId="4E906954" w14:textId="77777777" w:rsidR="00FA4EDF" w:rsidRDefault="00FA4EDF">
      <w:pPr>
        <w:numPr>
          <w:ilvl w:val="0"/>
          <w:numId w:val="25"/>
        </w:numPr>
        <w:spacing w:before="100" w:beforeAutospacing="1" w:after="100" w:afterAutospacing="1"/>
        <w:divId w:val="982394320"/>
        <w:rPr>
          <w:rFonts w:eastAsia="Times New Roman"/>
          <w:lang w:val="de-DE"/>
        </w:rPr>
      </w:pPr>
      <w:r>
        <w:rPr>
          <w:rFonts w:eastAsia="Times New Roman"/>
          <w:lang w:val="de-DE"/>
        </w:rPr>
        <w:t>Vor zwei Jahren war das Einkommen noch normal – der Vater arbeitete, die Gesundheitskrise hatte noch nicht begonnen.</w:t>
      </w:r>
    </w:p>
    <w:p w14:paraId="15258AF1" w14:textId="77777777" w:rsidR="00FA4EDF" w:rsidRDefault="00FA4EDF">
      <w:pPr>
        <w:numPr>
          <w:ilvl w:val="0"/>
          <w:numId w:val="25"/>
        </w:numPr>
        <w:spacing w:before="100" w:beforeAutospacing="1" w:after="100" w:afterAutospacing="1"/>
        <w:divId w:val="982394320"/>
        <w:rPr>
          <w:rFonts w:eastAsia="Times New Roman"/>
          <w:lang w:val="de-DE"/>
        </w:rPr>
      </w:pPr>
      <w:r>
        <w:rPr>
          <w:rFonts w:eastAsia="Times New Roman"/>
          <w:lang w:val="de-DE"/>
        </w:rPr>
        <w:t>Derzeit beträgt das tatsächliche Einkommen null: Das Krankengeld wurde gesperrt, der Antrag auf WIA-Leistungen wurde abgelehnt, die Zulagen liegen bei null.</w:t>
      </w:r>
    </w:p>
    <w:p w14:paraId="5C5007B5" w14:textId="77777777" w:rsidR="00FA4EDF" w:rsidRDefault="00FA4EDF">
      <w:pPr>
        <w:numPr>
          <w:ilvl w:val="0"/>
          <w:numId w:val="25"/>
        </w:numPr>
        <w:spacing w:before="100" w:beforeAutospacing="1" w:after="100" w:afterAutospacing="1"/>
        <w:divId w:val="982394320"/>
        <w:rPr>
          <w:rFonts w:eastAsia="Times New Roman"/>
          <w:lang w:val="de-DE"/>
        </w:rPr>
      </w:pPr>
      <w:r>
        <w:rPr>
          <w:rFonts w:eastAsia="Times New Roman"/>
          <w:lang w:val="de-DE"/>
        </w:rPr>
        <w:t>Die medizinischen Kosten haben das verfügbare Einkommen vollständig aufgezehrt.</w:t>
      </w:r>
    </w:p>
    <w:p w14:paraId="05448186" w14:textId="77777777" w:rsidR="00FA4EDF" w:rsidRDefault="00FA4EDF">
      <w:pPr>
        <w:numPr>
          <w:ilvl w:val="0"/>
          <w:numId w:val="25"/>
        </w:numPr>
        <w:spacing w:before="100" w:beforeAutospacing="1" w:after="100" w:afterAutospacing="1"/>
        <w:divId w:val="982394320"/>
        <w:rPr>
          <w:rFonts w:eastAsia="Times New Roman"/>
          <w:lang w:val="de-DE"/>
        </w:rPr>
      </w:pPr>
      <w:r>
        <w:rPr>
          <w:rFonts w:eastAsia="Times New Roman"/>
          <w:lang w:val="de-DE"/>
        </w:rPr>
        <w:t>Das Referenzjahr-Einkommen ist jedoch nach wie vor das alte, normale Einkommen.</w:t>
      </w:r>
    </w:p>
    <w:p w14:paraId="3029B232" w14:textId="77777777" w:rsidR="00FA4EDF" w:rsidRDefault="00FA4EDF">
      <w:pPr>
        <w:pStyle w:val="Normaalweb"/>
        <w:divId w:val="982394320"/>
        <w:rPr>
          <w:lang w:val="de-DE"/>
        </w:rPr>
      </w:pPr>
      <w:r>
        <w:rPr>
          <w:lang w:val="de-DE"/>
        </w:rPr>
        <w:t>Die Folge: Auf dem Papier verdient der Bürger zu viel für einen Pro-Bono-Anwalt, während er in Wirklichkeit kein Geld hat, um einen Anwalt zu bezahlen. Die Schwelle, die eigentlich dazu gedacht ist, die Schwächsten zu schützen, schließt gerade diejenigen aus, die durch eine plötzliche Krise in Schwierigkeiten geraten sind.</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DDB38A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AA5EAB3" w14:textId="77777777" w:rsidR="00FA4EDF" w:rsidRDefault="00FA4EDF">
            <w:pPr>
              <w:pStyle w:val="Normaalweb"/>
              <w:spacing w:before="120"/>
              <w:jc w:val="center"/>
              <w:rPr>
                <w:sz w:val="21"/>
                <w:szCs w:val="21"/>
              </w:rPr>
            </w:pPr>
            <w:r>
              <w:rPr>
                <w:noProof/>
                <w:sz w:val="21"/>
                <w:szCs w:val="21"/>
              </w:rPr>
              <w:drawing>
                <wp:inline distT="0" distB="0" distL="0" distR="0" wp14:anchorId="079C8B87" wp14:editId="3ECE67A8">
                  <wp:extent cx="3810000" cy="1250950"/>
                  <wp:effectExtent l="0" t="0" r="0" b="6350"/>
                  <wp:docPr id="75" name="Afbeelding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10000" cy="1250950"/>
                          </a:xfrm>
                          <a:prstGeom prst="rect">
                            <a:avLst/>
                          </a:prstGeom>
                          <a:noFill/>
                          <a:ln>
                            <a:noFill/>
                          </a:ln>
                        </pic:spPr>
                      </pic:pic>
                    </a:graphicData>
                  </a:graphic>
                </wp:inline>
              </w:drawing>
            </w:r>
          </w:p>
          <w:p w14:paraId="5A29BA41" w14:textId="77777777" w:rsidR="00FA4EDF" w:rsidRDefault="00FA4EDF">
            <w:pPr>
              <w:pStyle w:val="caption"/>
              <w:spacing w:after="120" w:afterAutospacing="0"/>
            </w:pPr>
            <w:r>
              <w:rPr>
                <w:rStyle w:val="Zwaar"/>
              </w:rPr>
              <w:t>Abbildung XVI.3 – Die Ironie des Bezugsjahres.</w:t>
            </w:r>
            <w:r>
              <w:t xml:space="preserve"> Das System stützt sich auf das Einkommen von vor zwei Jahren. In der medizinischen Krise ist dieses Einkommen jedoch nicht mehr repräsentativ. Auf dem Papier verdient der Bürger zu viel für eine unentgeltliche Rechtsberatung, während sein tatsächliches Einkommen bei null liegt. Die Schwelle, die eigentlich dazu gedacht ist, die Schwächsten zu schützen, schließt gerade diejenigen aus, die durch eine plötzliche Krise in Schwierigkeiten geraten sind.</w:t>
            </w:r>
          </w:p>
        </w:tc>
      </w:tr>
    </w:tbl>
    <w:p w14:paraId="2E199E90" w14:textId="77777777" w:rsidR="00FA4EDF" w:rsidRDefault="00FA4EDF">
      <w:pPr>
        <w:pStyle w:val="Kop3"/>
        <w:divId w:val="982394320"/>
        <w:rPr>
          <w:rFonts w:eastAsia="Times New Roman"/>
          <w:lang w:val="de-DE"/>
        </w:rPr>
      </w:pPr>
      <w:bookmarkStart w:id="130" w:name="_Toc242103166"/>
      <w:r>
        <w:rPr>
          <w:rFonts w:eastAsia="Times New Roman"/>
          <w:lang w:val="de-DE"/>
        </w:rPr>
        <w:t>Teil D – Was das bedeutet</w:t>
      </w:r>
      <w:bookmarkEnd w:id="130"/>
    </w:p>
    <w:p w14:paraId="27E4B4C2" w14:textId="77777777" w:rsidR="00FA4EDF" w:rsidRDefault="00FA4EDF">
      <w:pPr>
        <w:pStyle w:val="Normaalweb"/>
        <w:divId w:val="982394320"/>
        <w:rPr>
          <w:lang w:val="de-DE"/>
        </w:rPr>
      </w:pPr>
      <w:r>
        <w:rPr>
          <w:lang w:val="de-DE"/>
        </w:rPr>
        <w:t>Der Rechtsweg ist theoretisch die ultimative Lösung. Das Gericht kann eine Behörde dazu zwingen, eine Entscheidung zu revidieren. In der Praxis erweist sich jedoch der Zugang zum Gericht selbst als Hürde. Und genau diese Hürde ist das Problem, das das Gericht eigentlich lösen sollte.</w:t>
      </w:r>
    </w:p>
    <w:p w14:paraId="0BF74408" w14:textId="77777777" w:rsidR="00FA4EDF" w:rsidRDefault="00FA4EDF">
      <w:pPr>
        <w:pStyle w:val="Normaalweb"/>
        <w:divId w:val="982394320"/>
        <w:rPr>
          <w:lang w:val="de-DE"/>
        </w:rPr>
      </w:pPr>
      <w:r>
        <w:rPr>
          <w:lang w:val="de-DE"/>
        </w:rPr>
        <w:t>Wer sich keinen Anwalt leisten kann, hat keinen Zugang zur Justiz. Wer keinen Pro-Bono-Anwalt erhält, weil sein Referenzjahreseinkommen zu hoch ist, hat keinen Zugang zur Justiz. Wer kein Einkommen hat, weil seine Sozialleistungen gesperrt sind, kann den Rechtsweg nicht beschreiten. Das System verweist an das Gericht, doch das Gericht ist für diejenigen unerreichbar, die den Zugang am dringendsten benötigen.</w:t>
      </w:r>
    </w:p>
    <w:p w14:paraId="27F99A4F" w14:textId="77777777" w:rsidR="00FA4EDF" w:rsidRDefault="00FA4EDF">
      <w:pPr>
        <w:pStyle w:val="Normaalweb"/>
        <w:divId w:val="982394320"/>
        <w:rPr>
          <w:lang w:val="de-DE"/>
        </w:rPr>
      </w:pPr>
      <w:r>
        <w:rPr>
          <w:lang w:val="de-DE"/>
        </w:rPr>
        <w:t>In Belgien ist die Hürde niedriger: Der Antrag ist einfach und kostenlos, und die einzigen Kosten sind das Honorar des Anwalts. Doch auch dieses Honorar ist für viele Menschen unerschwinglich. In den Niederlanden ist die Hürde höher: Gerichtsgebühren, Anwaltskosten und ein noch strengerer Prüfungsrahmen.</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327DBB67"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2DA19367"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Der Rechtsweg ist nicht ausgeschlossen, aber der Zugang ist durch das Bezugsjahr eingeschränkt. Drei Dinge, die Sie wissen sollten: </w:t>
            </w:r>
          </w:p>
          <w:p w14:paraId="2AA0B3EE" w14:textId="77777777" w:rsidR="00FA4EDF" w:rsidRDefault="00FA4EDF">
            <w:pPr>
              <w:numPr>
                <w:ilvl w:val="0"/>
                <w:numId w:val="26"/>
              </w:numPr>
              <w:spacing w:before="100" w:beforeAutospacing="1" w:after="100" w:afterAutospacing="1"/>
              <w:rPr>
                <w:rFonts w:eastAsia="Times New Roman"/>
                <w:szCs w:val="22"/>
              </w:rPr>
            </w:pPr>
            <w:r>
              <w:rPr>
                <w:rFonts w:eastAsia="Times New Roman"/>
                <w:szCs w:val="22"/>
              </w:rPr>
              <w:t xml:space="preserve">Beantragen Sie beim Büro für Rechtshilfe (BE) oder beim Rat für Rechtshilfe (NL) eine </w:t>
            </w:r>
            <w:r>
              <w:rPr>
                <w:rStyle w:val="Zwaar"/>
                <w:rFonts w:eastAsia="Times New Roman"/>
                <w:szCs w:val="22"/>
              </w:rPr>
              <w:t>Verschiebung des Bezugsjahres</w:t>
            </w:r>
            <w:r>
              <w:rPr>
                <w:rFonts w:eastAsia="Times New Roman"/>
                <w:szCs w:val="22"/>
              </w:rPr>
              <w:t>. In den Niederlanden ist dies möglich, wenn das Einkommen im Vergleich zu vor zwei Jahren um mindestens 15 % gesunken ist. In Belgien kann das Büro für Rechtshilfe auch die aktuellen Lebenshaltungskosten berücksichtigen.</w:t>
            </w:r>
          </w:p>
          <w:p w14:paraId="72237F4F" w14:textId="77777777" w:rsidR="00FA4EDF" w:rsidRDefault="00FA4EDF">
            <w:pPr>
              <w:numPr>
                <w:ilvl w:val="0"/>
                <w:numId w:val="26"/>
              </w:numPr>
              <w:spacing w:before="100" w:beforeAutospacing="1" w:after="100" w:afterAutospacing="1"/>
              <w:rPr>
                <w:rFonts w:eastAsia="Times New Roman"/>
                <w:szCs w:val="22"/>
              </w:rPr>
            </w:pPr>
            <w:r>
              <w:rPr>
                <w:rFonts w:eastAsia="Times New Roman"/>
                <w:szCs w:val="22"/>
              </w:rPr>
              <w:t>In Belgien ist die Einreichung des Antrags beim Arbeitsgericht kostenlos. Sie können ihn selbst verfassen, ohne Anwalt. Eine Gewerkschaft oder eine soziale Organisation kann Ihnen dabei helfen.</w:t>
            </w:r>
          </w:p>
          <w:p w14:paraId="56D7EF56" w14:textId="77777777" w:rsidR="00FA4EDF" w:rsidRDefault="00FA4EDF">
            <w:pPr>
              <w:numPr>
                <w:ilvl w:val="0"/>
                <w:numId w:val="26"/>
              </w:numPr>
              <w:spacing w:before="100" w:beforeAutospacing="1" w:after="100" w:afterAutospacing="1"/>
              <w:rPr>
                <w:rFonts w:eastAsia="Times New Roman"/>
                <w:szCs w:val="22"/>
              </w:rPr>
            </w:pPr>
            <w:r>
              <w:rPr>
                <w:rFonts w:eastAsia="Times New Roman"/>
                <w:szCs w:val="22"/>
              </w:rPr>
              <w:t>In den Niederlanden ist ein Widerspruch bei der Behörde selbst kostenlos. Wenn das nicht hilft, ist der nächste Schritt das Verwaltungsgericht, was jedoch mit Kosten verbunden ist. Beantragen Sie Prozesskostenhilfe, wenn Ihr Einkommen im laufenden Jahr niedrig ist – auch wenn das Einkommen im Bezugsjahr höher war.</w:t>
            </w:r>
          </w:p>
          <w:p w14:paraId="350596FA" w14:textId="77777777" w:rsidR="00FA4EDF" w:rsidRDefault="00FA4EDF">
            <w:pPr>
              <w:spacing w:after="0"/>
              <w:rPr>
                <w:rFonts w:eastAsia="Times New Roman"/>
                <w:szCs w:val="22"/>
              </w:rPr>
            </w:pPr>
            <w:r>
              <w:rPr>
                <w:rFonts w:eastAsia="Times New Roman"/>
                <w:szCs w:val="22"/>
              </w:rPr>
              <w:t xml:space="preserve">Der Rechtsweg ist der letzte Ausweg. Er ist jedoch nicht für jeden gleichermaßen zugänglich. </w:t>
            </w:r>
          </w:p>
        </w:tc>
      </w:tr>
    </w:tbl>
    <w:p w14:paraId="1C8B3C4E" w14:textId="77777777" w:rsidR="00FA4EDF" w:rsidRDefault="00FA4EDF">
      <w:pPr>
        <w:pStyle w:val="noot"/>
        <w:spacing w:after="120" w:afterAutospacing="0"/>
        <w:divId w:val="982394320"/>
        <w:rPr>
          <w:lang w:val="de-DE"/>
        </w:rPr>
      </w:pPr>
      <w:r>
        <w:rPr>
          <w:lang w:val="de-DE"/>
        </w:rPr>
        <w:t>Alle in diesem Kapitel genannten Organisationen sind juristische Personen. Die Einkommensgrenzen für Pro-Bono-Vertretung und Prozesskostenhilfe basieren auf den offiziellen Mitteilungen der zuständigen Stellen (advocaat.be, Rat für Rechtshilfe). Dieses Kapitel stellt keine Rechtsberatung dar. Wenden Sie sich im Zweifelsfall an eine spezialisierte Stelle oder einen Rechtsanwalt.</w:t>
      </w:r>
    </w:p>
    <w:p w14:paraId="61A74F51" w14:textId="77777777" w:rsidR="00FA4EDF" w:rsidRDefault="00FA4EDF">
      <w:pPr>
        <w:pStyle w:val="marker"/>
        <w:ind w:left="800" w:right="800"/>
        <w:divId w:val="982394320"/>
        <w:rPr>
          <w:lang w:val="de-DE"/>
        </w:rPr>
      </w:pPr>
      <w:r>
        <w:br w:type="page"/>
      </w:r>
    </w:p>
    <w:p w14:paraId="0DC4C8CB" w14:textId="77777777" w:rsidR="00FA4EDF" w:rsidRDefault="00FA4EDF">
      <w:pPr>
        <w:pStyle w:val="Kop2"/>
        <w:divId w:val="982394320"/>
        <w:rPr>
          <w:rFonts w:eastAsia="Times New Roman"/>
          <w:lang w:val="de-DE"/>
        </w:rPr>
      </w:pPr>
      <w:bookmarkStart w:id="131" w:name="_Toc242103167"/>
      <w:r>
        <w:rPr>
          <w:rFonts w:eastAsia="Times New Roman"/>
          <w:lang w:val="de-DE"/>
        </w:rPr>
        <w:t>Die Politik</w:t>
      </w:r>
      <w:bookmarkEnd w:id="131"/>
    </w:p>
    <w:p w14:paraId="5157CFD6" w14:textId="77777777" w:rsidR="00FA4EDF" w:rsidRDefault="00FA4EDF">
      <w:pPr>
        <w:pStyle w:val="lead"/>
        <w:divId w:val="982394320"/>
        <w:rPr>
          <w:lang w:val="de-DE"/>
        </w:rPr>
      </w:pPr>
      <w:r>
        <w:rPr>
          <w:lang w:val="de-DE"/>
        </w:rPr>
        <w:t>Die Politik hat die Macht, Gesetze zu ändern, Mittel zuzuweisen und die ausführenden Behörden zu lenken. Theoretisch ist sie die ultimative Korrekturinstanz. In der Praxis zeigt sich jedoch, dass die Politik diese Macht nur dann ausübt, wenn das Problem als kollektives Systemversagen dargestellt wird – nicht jedoch, wenn es sich um eine individuelle Beschwerde handelt.</w:t>
      </w:r>
    </w:p>
    <w:p w14:paraId="30CD3882" w14:textId="77777777" w:rsidR="00FA4EDF" w:rsidRDefault="00FA4EDF">
      <w:pPr>
        <w:pStyle w:val="Kop3"/>
        <w:divId w:val="982394320"/>
        <w:rPr>
          <w:rFonts w:eastAsia="Times New Roman"/>
          <w:lang w:val="de-DE"/>
        </w:rPr>
      </w:pPr>
      <w:bookmarkStart w:id="132" w:name="_Toc242103168"/>
      <w:r>
        <w:rPr>
          <w:rFonts w:eastAsia="Times New Roman"/>
          <w:lang w:val="de-DE"/>
        </w:rPr>
        <w:t>Teil A – Die Gewaltenteilung</w:t>
      </w:r>
      <w:bookmarkEnd w:id="13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006A2A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4BFD9F0E" w14:textId="77777777" w:rsidR="00FA4EDF" w:rsidRDefault="00FA4EDF">
            <w:pPr>
              <w:pStyle w:val="Normaalweb"/>
              <w:spacing w:before="120"/>
              <w:jc w:val="center"/>
              <w:rPr>
                <w:sz w:val="21"/>
                <w:szCs w:val="21"/>
              </w:rPr>
            </w:pPr>
            <w:r>
              <w:rPr>
                <w:noProof/>
                <w:sz w:val="21"/>
                <w:szCs w:val="21"/>
              </w:rPr>
              <w:drawing>
                <wp:inline distT="0" distB="0" distL="0" distR="0" wp14:anchorId="1BF60D5A" wp14:editId="19FA9FBA">
                  <wp:extent cx="3810000" cy="1784350"/>
                  <wp:effectExtent l="0" t="0" r="0" b="6350"/>
                  <wp:docPr id="76" name="Afbeelding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10000" cy="1784350"/>
                          </a:xfrm>
                          <a:prstGeom prst="rect">
                            <a:avLst/>
                          </a:prstGeom>
                          <a:noFill/>
                          <a:ln>
                            <a:noFill/>
                          </a:ln>
                        </pic:spPr>
                      </pic:pic>
                    </a:graphicData>
                  </a:graphic>
                </wp:inline>
              </w:drawing>
            </w:r>
          </w:p>
          <w:p w14:paraId="5BCBAF08" w14:textId="77777777" w:rsidR="00FA4EDF" w:rsidRDefault="00FA4EDF">
            <w:pPr>
              <w:pStyle w:val="caption"/>
              <w:spacing w:after="120" w:afterAutospacing="0"/>
            </w:pPr>
            <w:r>
              <w:rPr>
                <w:rStyle w:val="Zwaar"/>
              </w:rPr>
              <w:t>Abbildung XVII.1 – Die Gewaltenteilung.</w:t>
            </w:r>
            <w:r>
              <w:t xml:space="preserve"> </w:t>
            </w:r>
            <w:r>
              <w:t>In Belgien gilt eine klassische Trias politica, die in den Artikeln 33, 36, 37 und 40 der Verfassung verankert ist. In den Niederlanden gibt es keine strikte Gewaltenteilung, sondern ein System der gegenseitigen Kontrolle (Checks and Balances), dessen Kern die ministerielle Verantwortung (Art. 42) und die Auskunftspflicht (Art. 68) bilden.</w:t>
            </w:r>
          </w:p>
        </w:tc>
      </w:tr>
    </w:tbl>
    <w:p w14:paraId="099B4F05" w14:textId="77777777" w:rsidR="00FA4EDF" w:rsidRDefault="00FA4EDF">
      <w:pPr>
        <w:pStyle w:val="Kop3"/>
        <w:divId w:val="982394320"/>
        <w:rPr>
          <w:rFonts w:eastAsia="Times New Roman"/>
          <w:lang w:val="de-DE"/>
        </w:rPr>
      </w:pPr>
      <w:bookmarkStart w:id="133" w:name="_Toc242103169"/>
      <w:r>
        <w:rPr>
          <w:rFonts w:eastAsia="Times New Roman"/>
          <w:lang w:val="de-DE"/>
        </w:rPr>
        <w:t>Teil B – Was die Politik tun kann und was nicht</w:t>
      </w:r>
      <w:bookmarkEnd w:id="13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1E36206"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6331E94" w14:textId="77777777" w:rsidR="00FA4EDF" w:rsidRDefault="00FA4EDF">
            <w:pPr>
              <w:pStyle w:val="Normaalweb"/>
              <w:spacing w:before="120"/>
              <w:jc w:val="center"/>
              <w:rPr>
                <w:sz w:val="21"/>
                <w:szCs w:val="21"/>
              </w:rPr>
            </w:pPr>
            <w:r>
              <w:rPr>
                <w:noProof/>
                <w:sz w:val="21"/>
                <w:szCs w:val="21"/>
              </w:rPr>
              <w:drawing>
                <wp:inline distT="0" distB="0" distL="0" distR="0" wp14:anchorId="27577973" wp14:editId="2F603C6B">
                  <wp:extent cx="3810000" cy="1593850"/>
                  <wp:effectExtent l="0" t="0" r="0" b="6350"/>
                  <wp:docPr id="77" name="Afbeelding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10000" cy="1593850"/>
                          </a:xfrm>
                          <a:prstGeom prst="rect">
                            <a:avLst/>
                          </a:prstGeom>
                          <a:noFill/>
                          <a:ln>
                            <a:noFill/>
                          </a:ln>
                        </pic:spPr>
                      </pic:pic>
                    </a:graphicData>
                  </a:graphic>
                </wp:inline>
              </w:drawing>
            </w:r>
          </w:p>
          <w:p w14:paraId="1228CA3E" w14:textId="77777777" w:rsidR="00FA4EDF" w:rsidRDefault="00FA4EDF">
            <w:pPr>
              <w:pStyle w:val="caption"/>
              <w:spacing w:after="120" w:afterAutospacing="0"/>
            </w:pPr>
            <w:r>
              <w:rPr>
                <w:rStyle w:val="Zwaar"/>
              </w:rPr>
              <w:t>Abbildung XVII.2 – Was die Politik kann und was nicht.</w:t>
            </w:r>
            <w:r>
              <w:t xml:space="preserve"> Die Politik kann Gesetze erlassen und ändern, aber keine Einzelentscheidung revidieren. Sie kann einer Vollzugsbehörde neue Aufträge erteilen, aber keinen Einzelfall eröffnen oder abschließen. Die Gewaltenteilung verbietet Eingriffe in konkrete Angelegenheiten.</w:t>
            </w:r>
          </w:p>
        </w:tc>
      </w:tr>
    </w:tbl>
    <w:p w14:paraId="4B344E2E" w14:textId="77777777" w:rsidR="00FA4EDF" w:rsidRDefault="00FA4EDF">
      <w:pPr>
        <w:pStyle w:val="Kop3"/>
        <w:divId w:val="982394320"/>
        <w:rPr>
          <w:rFonts w:eastAsia="Times New Roman"/>
          <w:lang w:val="de-DE"/>
        </w:rPr>
      </w:pPr>
      <w:bookmarkStart w:id="134" w:name="_Toc242103170"/>
      <w:r>
        <w:rPr>
          <w:rFonts w:eastAsia="Times New Roman"/>
          <w:lang w:val="de-DE"/>
        </w:rPr>
        <w:t>Teil C – Die parlamentarische Praxis in Belgien</w:t>
      </w:r>
      <w:bookmarkEnd w:id="134"/>
    </w:p>
    <w:p w14:paraId="30A817EC" w14:textId="77777777" w:rsidR="00FA4EDF" w:rsidRDefault="00FA4EDF">
      <w:pPr>
        <w:pStyle w:val="Normaalweb"/>
        <w:divId w:val="982394320"/>
        <w:rPr>
          <w:lang w:val="de-DE"/>
        </w:rPr>
      </w:pPr>
      <w:r>
        <w:rPr>
          <w:lang w:val="de-DE"/>
        </w:rPr>
        <w:t>In Belgien verfügt die Abgeordnetenkammer über ein umfangreiches Arsenal an Kontrollinstrumenten. Die ständigen Ausschüsse – darunter der Ausschuss für Soziales, Arbeit und Renten – bereiten Gesetzentwürfe vor und üben die Kontrolle über die Regierung aus. Innerhalb dieser Ausschüsse können Abgeordnete schriftliche und mündliche Anfragen stellen sowie Interpellationen durchführen, die zu Empfehlungsanträgen oder Misstrauensanträgen führen können.</w:t>
      </w:r>
    </w:p>
    <w:p w14:paraId="3BAA9113" w14:textId="77777777" w:rsidR="00FA4EDF" w:rsidRDefault="00FA4EDF">
      <w:pPr>
        <w:pStyle w:val="Normaalweb"/>
        <w:divId w:val="982394320"/>
        <w:rPr>
          <w:lang w:val="de-DE"/>
        </w:rPr>
      </w:pPr>
      <w:r>
        <w:rPr>
          <w:lang w:val="de-DE"/>
        </w:rPr>
        <w:t>Darüber hinaus gibt es den Petitionsausschuss. Jeder Bürger kann dort eine Petition einreichen. Der Ausschuss prüft, ob die Petition zulässig ist, und leitet sie anschließend an den zuständigen Ausschuss oder den zuständigen Minister weiter. Von diesem Minister wird erwartet, dass er innerhalb von sechs Wochen schriftlich Stellung nimmt. Anschließend kann der Ausschuss beschließen, die Petition zu den Akten zu legen, sie weiterzuleiten oder eine Anhörung zu organisieren.</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437AC6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98C65AA" w14:textId="77777777" w:rsidR="00FA4EDF" w:rsidRDefault="00FA4EDF">
            <w:pPr>
              <w:pStyle w:val="Normaalweb"/>
              <w:spacing w:before="120"/>
              <w:jc w:val="center"/>
              <w:rPr>
                <w:sz w:val="21"/>
                <w:szCs w:val="21"/>
              </w:rPr>
            </w:pPr>
            <w:r>
              <w:rPr>
                <w:noProof/>
                <w:sz w:val="21"/>
                <w:szCs w:val="21"/>
              </w:rPr>
              <w:drawing>
                <wp:inline distT="0" distB="0" distL="0" distR="0" wp14:anchorId="27958AB7" wp14:editId="6CE885C1">
                  <wp:extent cx="3810000" cy="1644650"/>
                  <wp:effectExtent l="0" t="0" r="0" b="0"/>
                  <wp:docPr id="78" name="Afbeelding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3A24E37B" w14:textId="77777777" w:rsidR="00FA4EDF" w:rsidRDefault="00FA4EDF">
            <w:pPr>
              <w:pStyle w:val="caption"/>
              <w:spacing w:after="120" w:afterAutospacing="0"/>
            </w:pPr>
            <w:r>
              <w:rPr>
                <w:rStyle w:val="Zwaar"/>
              </w:rPr>
              <w:t>Abbildung XVII.3 – Der belgische Weg.</w:t>
            </w:r>
            <w:r>
              <w:t xml:space="preserve"> Ein Bürger reicht eine Petition ein. Der Petitionsausschuss erklärt sie für zulässig und leitet sie an den zuständigen Ausschuss und den Minister weiter. Der Minister gibt innerhalb von sechs Wochen eine Stellungnahme ab. Danach ist das Verfahren beendet. In diesem Fall: für zulässig erklärt, weitergeleitet, keine inhaltliche Stellungnahme.</w:t>
            </w:r>
          </w:p>
        </w:tc>
      </w:tr>
    </w:tbl>
    <w:p w14:paraId="56DE4A54" w14:textId="77777777" w:rsidR="00FA4EDF" w:rsidRDefault="00FA4EDF">
      <w:pPr>
        <w:pStyle w:val="Kop3"/>
        <w:divId w:val="982394320"/>
        <w:rPr>
          <w:rFonts w:eastAsia="Times New Roman"/>
          <w:lang w:val="de-DE"/>
        </w:rPr>
      </w:pPr>
      <w:bookmarkStart w:id="135" w:name="_Toc242103171"/>
      <w:r>
        <w:rPr>
          <w:rFonts w:eastAsia="Times New Roman"/>
          <w:lang w:val="de-DE"/>
        </w:rPr>
        <w:t>Teil D – Die niederländische parlamentarische Praxis</w:t>
      </w:r>
      <w:bookmarkEnd w:id="135"/>
    </w:p>
    <w:p w14:paraId="28D660F8" w14:textId="77777777" w:rsidR="00FA4EDF" w:rsidRDefault="00FA4EDF">
      <w:pPr>
        <w:pStyle w:val="Normaalweb"/>
        <w:divId w:val="982394320"/>
        <w:rPr>
          <w:lang w:val="de-DE"/>
        </w:rPr>
      </w:pPr>
      <w:r>
        <w:rPr>
          <w:lang w:val="de-DE"/>
        </w:rPr>
        <w:t>Die Zweite Kammer verfügt über ähnliche Instrumente. Die Abgeordneten können schriftliche Anfragen stellen, mündliche Anfragen stellen, Interpellationen einreichen und Anträge einbringen. Der Ständige Ausschuss für Soziales und Beschäftigung (SZW) ist für die Kontrolle des Ministeriums für Soziales und Beschäftigung (SZW) und der ihm unterstellten Durchführungsorganisationen zuständig.</w:t>
      </w:r>
    </w:p>
    <w:p w14:paraId="4352C583" w14:textId="77777777" w:rsidR="00FA4EDF" w:rsidRDefault="00FA4EDF">
      <w:pPr>
        <w:pStyle w:val="Normaalweb"/>
        <w:divId w:val="982394320"/>
        <w:rPr>
          <w:lang w:val="de-DE"/>
        </w:rPr>
      </w:pPr>
      <w:r>
        <w:rPr>
          <w:lang w:val="de-DE"/>
        </w:rPr>
        <w:t>Was die Niederlande auszeichnet, ist die parlamentarische Untersuchung. Das ist das wirksamste Untersuchungsinstrument: Ein Ausschuss, der Zeugen unter Eid anhören, Unterlagen anfordern und einen öffentlichen Bericht vorlegen kann. Die Zulagenaffäre ist das jüngste Beispiel dafür, wie dieses Instrument funktioniert – und wie lange es dauert, bis es zum Einsatz kommt.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3FD434F2"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9700E00" w14:textId="77777777" w:rsidR="00FA4EDF" w:rsidRDefault="00FA4EDF">
            <w:pPr>
              <w:pStyle w:val="Normaalweb"/>
              <w:spacing w:before="120"/>
              <w:jc w:val="center"/>
              <w:rPr>
                <w:sz w:val="21"/>
                <w:szCs w:val="21"/>
              </w:rPr>
            </w:pPr>
            <w:r>
              <w:rPr>
                <w:noProof/>
                <w:sz w:val="21"/>
                <w:szCs w:val="21"/>
              </w:rPr>
              <w:drawing>
                <wp:inline distT="0" distB="0" distL="0" distR="0" wp14:anchorId="61FCFF65" wp14:editId="1814B175">
                  <wp:extent cx="3810000" cy="1644650"/>
                  <wp:effectExtent l="0" t="0" r="0" b="0"/>
                  <wp:docPr id="79" name="Afbeelding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3AD606EB" w14:textId="77777777" w:rsidR="00FA4EDF" w:rsidRDefault="00FA4EDF">
            <w:pPr>
              <w:pStyle w:val="caption"/>
              <w:spacing w:after="120" w:afterAutospacing="0"/>
            </w:pPr>
            <w:r>
              <w:rPr>
                <w:rStyle w:val="Zwaar"/>
              </w:rPr>
              <w:t>Abbildung XVII.4 – Der niederländische Weg.</w:t>
            </w:r>
            <w:r>
              <w:t xml:space="preserve"> Die Zweite Kammer befasst sich nicht mit Einzelbeschwerden. Der Ausschuss für Soziales, Arbeit und Wohlfahrt (SZW) kann ein Dossier zurückstellen. Das wirksamste Instrument – die parlamentarische Untersuchung – erfordert eine Mehrheit und wird nur bei großen Systemkrisen eingesetzt. Die Zulagenaffäre zeigt, wie lange das dauert.</w:t>
            </w:r>
          </w:p>
        </w:tc>
      </w:tr>
    </w:tbl>
    <w:p w14:paraId="4AFFFE02" w14:textId="77777777" w:rsidR="00FA4EDF" w:rsidRDefault="00FA4EDF">
      <w:pPr>
        <w:pStyle w:val="Kop3"/>
        <w:divId w:val="982394320"/>
        <w:rPr>
          <w:rFonts w:eastAsia="Times New Roman"/>
          <w:lang w:val="de-DE"/>
        </w:rPr>
      </w:pPr>
      <w:bookmarkStart w:id="136" w:name="_Toc242103172"/>
      <w:r>
        <w:rPr>
          <w:rFonts w:eastAsia="Times New Roman"/>
          <w:lang w:val="de-DE"/>
        </w:rPr>
        <w:t>Teil E – Die Unterschiede im Überblick</w:t>
      </w:r>
      <w:bookmarkEnd w:id="136"/>
    </w:p>
    <w:tbl>
      <w:tblPr>
        <w:tblW w:w="5000" w:type="pct"/>
        <w:tblCellMar>
          <w:top w:w="15" w:type="dxa"/>
          <w:left w:w="15" w:type="dxa"/>
          <w:bottom w:w="15" w:type="dxa"/>
          <w:right w:w="15" w:type="dxa"/>
        </w:tblCellMar>
        <w:tblLook w:val="04A0" w:firstRow="1" w:lastRow="0" w:firstColumn="1" w:lastColumn="0" w:noHBand="0" w:noVBand="1"/>
      </w:tblPr>
      <w:tblGrid>
        <w:gridCol w:w="2179"/>
        <w:gridCol w:w="3438"/>
        <w:gridCol w:w="3439"/>
      </w:tblGrid>
      <w:tr w:rsidR="00000000" w14:paraId="414053D1" w14:textId="77777777">
        <w:trPr>
          <w:divId w:val="982394320"/>
          <w:tblHeader/>
        </w:trPr>
        <w:tc>
          <w:tcPr>
            <w:tcW w:w="110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59C06140"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Aspekt</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445FBBE0"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Belgien</w:t>
            </w:r>
          </w:p>
        </w:tc>
        <w:tc>
          <w:tcPr>
            <w:tcW w:w="1950" w:type="pct"/>
            <w:tcBorders>
              <w:top w:val="single" w:sz="6" w:space="0" w:color="4A3B6B"/>
              <w:left w:val="single" w:sz="6" w:space="0" w:color="4A3B6B"/>
              <w:bottom w:val="single" w:sz="6" w:space="0" w:color="4A3B6B"/>
              <w:right w:val="single" w:sz="6" w:space="0" w:color="4A3B6B"/>
            </w:tcBorders>
            <w:shd w:val="clear" w:color="auto" w:fill="4A3B6B"/>
            <w:tcMar>
              <w:top w:w="140" w:type="dxa"/>
              <w:left w:w="180" w:type="dxa"/>
              <w:bottom w:w="140" w:type="dxa"/>
              <w:right w:w="180" w:type="dxa"/>
            </w:tcMar>
            <w:vAlign w:val="center"/>
            <w:hideMark/>
          </w:tcPr>
          <w:p w14:paraId="27B7623C" w14:textId="77777777" w:rsidR="00FA4EDF" w:rsidRDefault="00FA4EDF">
            <w:pPr>
              <w:spacing w:before="200" w:after="360"/>
              <w:rPr>
                <w:rFonts w:eastAsia="Times New Roman"/>
                <w:b/>
                <w:bCs/>
                <w:color w:val="FFFFFF"/>
                <w:sz w:val="21"/>
                <w:szCs w:val="21"/>
              </w:rPr>
            </w:pPr>
            <w:r>
              <w:rPr>
                <w:rFonts w:eastAsia="Times New Roman"/>
                <w:b/>
                <w:bCs/>
                <w:color w:val="FFFFFF"/>
                <w:sz w:val="21"/>
                <w:szCs w:val="21"/>
              </w:rPr>
              <w:t>Niederlande</w:t>
            </w:r>
          </w:p>
        </w:tc>
      </w:tr>
      <w:tr w:rsidR="00000000" w14:paraId="537AD4E9"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BDC3F5B" w14:textId="77777777" w:rsidR="00FA4EDF" w:rsidRDefault="00FA4EDF">
            <w:pPr>
              <w:spacing w:before="200" w:after="360"/>
              <w:rPr>
                <w:rFonts w:eastAsia="Times New Roman"/>
                <w:sz w:val="21"/>
                <w:szCs w:val="21"/>
              </w:rPr>
            </w:pPr>
            <w:r>
              <w:rPr>
                <w:rStyle w:val="Zwaar"/>
                <w:rFonts w:eastAsia="Times New Roman"/>
                <w:sz w:val="21"/>
                <w:szCs w:val="21"/>
              </w:rPr>
              <w:t>Einzelbeschwerde</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B777C5F" w14:textId="77777777" w:rsidR="00FA4EDF" w:rsidRDefault="00FA4EDF">
            <w:pPr>
              <w:spacing w:before="200" w:after="360"/>
              <w:rPr>
                <w:rFonts w:eastAsia="Times New Roman"/>
                <w:sz w:val="21"/>
                <w:szCs w:val="21"/>
              </w:rPr>
            </w:pPr>
            <w:r>
              <w:rPr>
                <w:rFonts w:eastAsia="Times New Roman"/>
                <w:sz w:val="21"/>
                <w:szCs w:val="21"/>
              </w:rPr>
              <w:t>Über den Petitionsausschuss · Prüfung der Zulässigkeit · Weiterleitung an den Minister · schriftliche Stellungnahme innerhalb von 6 Wochen</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1EB1B16" w14:textId="77777777" w:rsidR="00FA4EDF" w:rsidRDefault="00FA4EDF">
            <w:pPr>
              <w:spacing w:before="200" w:after="360"/>
              <w:rPr>
                <w:rFonts w:eastAsia="Times New Roman"/>
                <w:sz w:val="21"/>
                <w:szCs w:val="21"/>
              </w:rPr>
            </w:pPr>
            <w:r>
              <w:rPr>
                <w:rFonts w:eastAsia="Times New Roman"/>
                <w:sz w:val="21"/>
                <w:szCs w:val="21"/>
              </w:rPr>
              <w:t>Nicht in Bearbeitung · Der Rechtsweg muss offen sein oder ausgeschöpft sein · Ein Schreiben an einen Abgeordneten führt selten zu Maßnahmen</w:t>
            </w:r>
          </w:p>
        </w:tc>
      </w:tr>
      <w:tr w:rsidR="00000000" w14:paraId="35B1808D"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A46D825" w14:textId="77777777" w:rsidR="00FA4EDF" w:rsidRDefault="00FA4EDF">
            <w:pPr>
              <w:spacing w:before="200" w:after="360"/>
              <w:rPr>
                <w:rFonts w:eastAsia="Times New Roman"/>
                <w:sz w:val="21"/>
                <w:szCs w:val="21"/>
              </w:rPr>
            </w:pPr>
            <w:r>
              <w:rPr>
                <w:rStyle w:val="Zwaar"/>
                <w:rFonts w:eastAsia="Times New Roman"/>
                <w:sz w:val="21"/>
                <w:szCs w:val="21"/>
              </w:rPr>
              <w:t>Parlamentarisches Instrument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ADED3B0" w14:textId="77777777" w:rsidR="00FA4EDF" w:rsidRDefault="00FA4EDF">
            <w:pPr>
              <w:spacing w:before="200" w:after="360"/>
              <w:rPr>
                <w:rFonts w:eastAsia="Times New Roman"/>
                <w:sz w:val="21"/>
                <w:szCs w:val="21"/>
              </w:rPr>
            </w:pPr>
            <w:r>
              <w:rPr>
                <w:rFonts w:eastAsia="Times New Roman"/>
                <w:sz w:val="21"/>
                <w:szCs w:val="21"/>
              </w:rPr>
              <w:t>Schriftliche und mündliche Anfragen · Interpellationen · Empfehlungsanträge · Misstrauensanträge · Untersuchungsausschuss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16BF562" w14:textId="77777777" w:rsidR="00FA4EDF" w:rsidRDefault="00FA4EDF">
            <w:pPr>
              <w:spacing w:before="200" w:after="360"/>
              <w:rPr>
                <w:rFonts w:eastAsia="Times New Roman"/>
                <w:sz w:val="21"/>
                <w:szCs w:val="21"/>
              </w:rPr>
            </w:pPr>
            <w:r>
              <w:rPr>
                <w:rFonts w:eastAsia="Times New Roman"/>
                <w:sz w:val="21"/>
                <w:szCs w:val="21"/>
              </w:rPr>
              <w:t>Schriftliche und mündliche Anfragen · Interpellationen · Anträge · 30-Abgeordneten-Debatte · parlamentarische Untersuchung</w:t>
            </w:r>
          </w:p>
        </w:tc>
      </w:tr>
      <w:tr w:rsidR="00000000" w14:paraId="18AD9F1E"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59D73CA" w14:textId="77777777" w:rsidR="00FA4EDF" w:rsidRDefault="00FA4EDF">
            <w:pPr>
              <w:spacing w:before="200" w:after="360"/>
              <w:rPr>
                <w:rFonts w:eastAsia="Times New Roman"/>
                <w:sz w:val="21"/>
                <w:szCs w:val="21"/>
              </w:rPr>
            </w:pPr>
            <w:r>
              <w:rPr>
                <w:rStyle w:val="Zwaar"/>
                <w:rFonts w:eastAsia="Times New Roman"/>
                <w:sz w:val="21"/>
                <w:szCs w:val="21"/>
              </w:rPr>
              <w:t>Das wirksamste Mittel</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4701308" w14:textId="77777777" w:rsidR="00FA4EDF" w:rsidRDefault="00FA4EDF">
            <w:pPr>
              <w:spacing w:before="200" w:after="360"/>
              <w:rPr>
                <w:rFonts w:eastAsia="Times New Roman"/>
                <w:sz w:val="21"/>
                <w:szCs w:val="21"/>
              </w:rPr>
            </w:pPr>
            <w:r>
              <w:rPr>
                <w:rFonts w:eastAsia="Times New Roman"/>
                <w:sz w:val="21"/>
                <w:szCs w:val="21"/>
              </w:rPr>
              <w:t>Parlamentarischer Untersuchungsausschuss · Untersuchungsrecht (Art. 56 der Verfassung)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4A96DD1E" w14:textId="77777777" w:rsidR="00FA4EDF" w:rsidRDefault="00FA4EDF">
            <w:pPr>
              <w:spacing w:before="200" w:after="360"/>
              <w:rPr>
                <w:rFonts w:eastAsia="Times New Roman"/>
                <w:sz w:val="21"/>
                <w:szCs w:val="21"/>
              </w:rPr>
            </w:pPr>
            <w:r>
              <w:rPr>
                <w:rFonts w:eastAsia="Times New Roman"/>
                <w:sz w:val="21"/>
                <w:szCs w:val="21"/>
              </w:rPr>
              <w:t>Parlamentarische Untersuchung · Zeugen unter Eid · Rechtsgrundlage (Gesetz über parlamentarische Untersuchungen von 2008)</w:t>
            </w:r>
          </w:p>
        </w:tc>
      </w:tr>
      <w:tr w:rsidR="00000000" w14:paraId="084AF316"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7BE05DB" w14:textId="77777777" w:rsidR="00FA4EDF" w:rsidRDefault="00FA4EDF">
            <w:pPr>
              <w:spacing w:before="200" w:after="360"/>
              <w:rPr>
                <w:rFonts w:eastAsia="Times New Roman"/>
                <w:sz w:val="21"/>
                <w:szCs w:val="21"/>
              </w:rPr>
            </w:pPr>
            <w:r>
              <w:rPr>
                <w:rStyle w:val="Zwaar"/>
                <w:rFonts w:eastAsia="Times New Roman"/>
                <w:sz w:val="21"/>
                <w:szCs w:val="21"/>
              </w:rPr>
              <w:t>Praxisbeispiele in diesem Dossier</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F39919" w14:textId="77777777" w:rsidR="00FA4EDF" w:rsidRDefault="00FA4EDF">
            <w:pPr>
              <w:spacing w:before="200" w:after="360"/>
              <w:rPr>
                <w:rFonts w:eastAsia="Times New Roman"/>
                <w:sz w:val="21"/>
                <w:szCs w:val="21"/>
              </w:rPr>
            </w:pPr>
            <w:r>
              <w:rPr>
                <w:rFonts w:eastAsia="Times New Roman"/>
                <w:sz w:val="21"/>
                <w:szCs w:val="21"/>
              </w:rPr>
              <w:t>Die Petition wurde für zulässig erklärt, weitergeleitet, danach herrschte Stille. Neun Parteien wurden angeschrieben, fünf reagierten nicht, vier verwiesen auf die Fachabteilung oder erklärten sich für unzuständig.</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2F451532" w14:textId="77777777" w:rsidR="00FA4EDF" w:rsidRDefault="00FA4EDF">
            <w:pPr>
              <w:spacing w:before="200" w:after="360"/>
              <w:rPr>
                <w:rFonts w:eastAsia="Times New Roman"/>
                <w:sz w:val="21"/>
                <w:szCs w:val="21"/>
              </w:rPr>
            </w:pPr>
            <w:r>
              <w:rPr>
                <w:rFonts w:eastAsia="Times New Roman"/>
                <w:sz w:val="21"/>
                <w:szCs w:val="21"/>
              </w:rPr>
              <w:t>Der Brandbrief wurde registriert, die Angelegenheit wurde bis zur Ausschussdebatte zurückgestellt, es wurden keine individuellen Maßnahmen ergriffen. Die Parteien wurden an den Ombudsmann oder den Forschungsdienst verwiesen.</w:t>
            </w:r>
          </w:p>
        </w:tc>
      </w:tr>
      <w:tr w:rsidR="00000000" w14:paraId="3CB68970" w14:textId="77777777">
        <w:trPr>
          <w:divId w:val="982394320"/>
        </w:trPr>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3E5C5741" w14:textId="77777777" w:rsidR="00FA4EDF" w:rsidRDefault="00FA4EDF">
            <w:pPr>
              <w:spacing w:before="200" w:after="360"/>
              <w:rPr>
                <w:rFonts w:eastAsia="Times New Roman"/>
                <w:sz w:val="21"/>
                <w:szCs w:val="21"/>
              </w:rPr>
            </w:pPr>
            <w:r>
              <w:rPr>
                <w:rStyle w:val="Zwaar"/>
                <w:rFonts w:eastAsia="Times New Roman"/>
                <w:sz w:val="21"/>
                <w:szCs w:val="21"/>
              </w:rPr>
              <w:t>Durchlaufzeit</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778C1E4B" w14:textId="77777777" w:rsidR="00FA4EDF" w:rsidRDefault="00FA4EDF">
            <w:pPr>
              <w:spacing w:before="200" w:after="360"/>
              <w:rPr>
                <w:rFonts w:eastAsia="Times New Roman"/>
                <w:sz w:val="21"/>
                <w:szCs w:val="21"/>
              </w:rPr>
            </w:pPr>
            <w:r>
              <w:rPr>
                <w:rFonts w:eastAsia="Times New Roman"/>
                <w:sz w:val="21"/>
                <w:szCs w:val="21"/>
              </w:rPr>
              <w:t>Minister: 6 Wochen für eine schriftliche Stellungnahme · danach Entscheidung des Ausschusses</w:t>
            </w:r>
          </w:p>
        </w:tc>
        <w:tc>
          <w:tcPr>
            <w:tcW w:w="0" w:type="auto"/>
            <w:tcBorders>
              <w:top w:val="single" w:sz="6" w:space="0" w:color="D5D0C5"/>
              <w:left w:val="single" w:sz="6" w:space="0" w:color="D5D0C5"/>
              <w:bottom w:val="single" w:sz="6" w:space="0" w:color="D5D0C5"/>
              <w:right w:val="single" w:sz="6" w:space="0" w:color="D5D0C5"/>
            </w:tcBorders>
            <w:shd w:val="clear" w:color="auto" w:fill="FFFFFF"/>
            <w:tcMar>
              <w:top w:w="120" w:type="dxa"/>
              <w:left w:w="180" w:type="dxa"/>
              <w:bottom w:w="120" w:type="dxa"/>
              <w:right w:w="180" w:type="dxa"/>
            </w:tcMar>
            <w:hideMark/>
          </w:tcPr>
          <w:p w14:paraId="5573209A" w14:textId="77777777" w:rsidR="00FA4EDF" w:rsidRDefault="00FA4EDF">
            <w:pPr>
              <w:spacing w:before="200" w:after="360"/>
              <w:rPr>
                <w:rFonts w:eastAsia="Times New Roman"/>
                <w:sz w:val="21"/>
                <w:szCs w:val="21"/>
              </w:rPr>
            </w:pPr>
            <w:r>
              <w:rPr>
                <w:rFonts w:eastAsia="Times New Roman"/>
                <w:sz w:val="21"/>
                <w:szCs w:val="21"/>
              </w:rPr>
              <w:t>Keine Frist für die Bearbeitung einzelner Schreiben · Umfrage: Jahre</w:t>
            </w:r>
          </w:p>
        </w:tc>
      </w:tr>
    </w:tbl>
    <w:p w14:paraId="41C37131" w14:textId="77777777" w:rsidR="00FA4EDF" w:rsidRDefault="00FA4EDF">
      <w:pPr>
        <w:pStyle w:val="Kop3"/>
        <w:divId w:val="982394320"/>
        <w:rPr>
          <w:rFonts w:eastAsia="Times New Roman"/>
          <w:lang w:val="de-DE"/>
        </w:rPr>
      </w:pPr>
      <w:bookmarkStart w:id="137" w:name="_Toc242103173"/>
      <w:r>
        <w:rPr>
          <w:rFonts w:eastAsia="Times New Roman"/>
          <w:lang w:val="de-DE"/>
        </w:rPr>
        <w:t>Teil F – Die Kraft des Framings</w:t>
      </w:r>
      <w:bookmarkEnd w:id="137"/>
    </w:p>
    <w:p w14:paraId="01DA4709" w14:textId="77777777" w:rsidR="00FA4EDF" w:rsidRDefault="00FA4EDF">
      <w:pPr>
        <w:pStyle w:val="Normaalweb"/>
        <w:divId w:val="982394320"/>
        <w:rPr>
          <w:lang w:val="de-DE"/>
        </w:rPr>
      </w:pPr>
      <w:r>
        <w:rPr>
          <w:lang w:val="de-DE"/>
        </w:rPr>
        <w:t>Das ist die zentrale Erkenntnis. Dieselben Fakten lassen sich auf zwei Arten darstellen, und diese beiden Darstellungen führen zu zwei völlig unterschiedlichen Reaktionen seitens der Politik.</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2EFC285"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DE3DCC4" w14:textId="77777777" w:rsidR="00FA4EDF" w:rsidRDefault="00FA4EDF">
            <w:pPr>
              <w:pStyle w:val="Normaalweb"/>
              <w:spacing w:before="120"/>
              <w:jc w:val="center"/>
              <w:rPr>
                <w:sz w:val="21"/>
                <w:szCs w:val="21"/>
              </w:rPr>
            </w:pPr>
            <w:r>
              <w:rPr>
                <w:noProof/>
                <w:sz w:val="21"/>
                <w:szCs w:val="21"/>
              </w:rPr>
              <w:drawing>
                <wp:inline distT="0" distB="0" distL="0" distR="0" wp14:anchorId="15B4A968" wp14:editId="6670FFDD">
                  <wp:extent cx="3810000" cy="1974850"/>
                  <wp:effectExtent l="0" t="0" r="0" b="6350"/>
                  <wp:docPr id="80" name="Afbeelding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810000" cy="1974850"/>
                          </a:xfrm>
                          <a:prstGeom prst="rect">
                            <a:avLst/>
                          </a:prstGeom>
                          <a:noFill/>
                          <a:ln>
                            <a:noFill/>
                          </a:ln>
                        </pic:spPr>
                      </pic:pic>
                    </a:graphicData>
                  </a:graphic>
                </wp:inline>
              </w:drawing>
            </w:r>
          </w:p>
          <w:p w14:paraId="19992366" w14:textId="77777777" w:rsidR="00FA4EDF" w:rsidRDefault="00FA4EDF">
            <w:pPr>
              <w:pStyle w:val="caption"/>
              <w:spacing w:after="120" w:afterAutospacing="0"/>
            </w:pPr>
            <w:r>
              <w:rPr>
                <w:rStyle w:val="Zwaar"/>
              </w:rPr>
              <w:t>Abbildung XVII.5 – Zwei Darstellungen, zwei Reaktionen.</w:t>
            </w:r>
            <w:r>
              <w:t xml:space="preserve"> Dieselben Fakten, anders dargestellt. Als persönliche Beschwerde: Die Politik erklärt sich für unzuständig. Als institutionelle Prüfung: Die Politik kann gar nicht anders, als sich mit einem systemischen Problem auseinanderzusetzen.</w:t>
            </w:r>
          </w:p>
        </w:tc>
      </w:tr>
    </w:tbl>
    <w:p w14:paraId="63062036" w14:textId="77777777" w:rsidR="00FA4EDF" w:rsidRDefault="00FA4EDF">
      <w:pPr>
        <w:pStyle w:val="Kop3"/>
        <w:divId w:val="982394320"/>
        <w:rPr>
          <w:rFonts w:eastAsia="Times New Roman"/>
          <w:lang w:val="de-DE"/>
        </w:rPr>
      </w:pPr>
      <w:bookmarkStart w:id="138" w:name="_Toc242103174"/>
      <w:r>
        <w:rPr>
          <w:rFonts w:eastAsia="Times New Roman"/>
          <w:lang w:val="de-DE"/>
        </w:rPr>
        <w:t>Teil G – Was dieses Dossier bewirkt</w:t>
      </w:r>
      <w:bookmarkEnd w:id="138"/>
    </w:p>
    <w:p w14:paraId="7D0EA4C9" w14:textId="77777777" w:rsidR="00FA4EDF" w:rsidRDefault="00FA4EDF">
      <w:pPr>
        <w:pStyle w:val="Normaalweb"/>
        <w:divId w:val="982394320"/>
        <w:rPr>
          <w:lang w:val="de-DE"/>
        </w:rPr>
      </w:pPr>
      <w:r>
        <w:rPr>
          <w:lang w:val="de-DE"/>
        </w:rPr>
        <w:t>Dieses Dossier ist keine Beschwerde. Es handelt sich um ein Audit. Das ist keine rhetorische Entscheidung – es ist eine strategische Entscheidung.</w:t>
      </w:r>
    </w:p>
    <w:p w14:paraId="35D4A5D0" w14:textId="77777777" w:rsidR="00FA4EDF" w:rsidRDefault="00FA4EDF">
      <w:pPr>
        <w:pStyle w:val="Normaalweb"/>
        <w:divId w:val="982394320"/>
        <w:rPr>
          <w:lang w:val="de-DE"/>
        </w:rPr>
      </w:pPr>
      <w:r>
        <w:rPr>
          <w:lang w:val="de-DE"/>
        </w:rPr>
        <w:t>Eine Beschwerde wird als individuelles Problem behandelt. Ein Audit wird als systemisches Problem behandelt. Und nur ein systemisches Problem setzt die politischen Instrumente in Gang, die zu echten Veränderungen führen können.</w:t>
      </w:r>
    </w:p>
    <w:p w14:paraId="39E9DA87" w14:textId="77777777" w:rsidR="00FA4EDF" w:rsidRDefault="00FA4EDF">
      <w:pPr>
        <w:pStyle w:val="Normaalweb"/>
        <w:divId w:val="982394320"/>
        <w:rPr>
          <w:lang w:val="de-DE"/>
        </w:rPr>
      </w:pPr>
      <w:r>
        <w:rPr>
          <w:lang w:val="de-DE"/>
        </w:rPr>
        <w:t>Die Dokumente in dieser Akte sind daher wie ein Audit aufgebaut:</w:t>
      </w:r>
    </w:p>
    <w:p w14:paraId="5B714F33" w14:textId="77777777" w:rsidR="00FA4EDF" w:rsidRDefault="00FA4EDF">
      <w:pPr>
        <w:numPr>
          <w:ilvl w:val="0"/>
          <w:numId w:val="27"/>
        </w:numPr>
        <w:spacing w:before="100" w:beforeAutospacing="1" w:after="100" w:afterAutospacing="1"/>
        <w:divId w:val="982394320"/>
        <w:rPr>
          <w:rFonts w:eastAsia="Times New Roman"/>
          <w:lang w:val="de-DE"/>
        </w:rPr>
      </w:pPr>
      <w:r>
        <w:rPr>
          <w:rStyle w:val="Zwaar"/>
          <w:rFonts w:eastAsia="Times New Roman"/>
          <w:lang w:val="de-DE"/>
        </w:rPr>
        <w:t>Dokument B</w:t>
      </w:r>
      <w:r>
        <w:rPr>
          <w:rFonts w:eastAsia="Times New Roman"/>
          <w:lang w:val="de-DE"/>
        </w:rPr>
        <w:t xml:space="preserve"> ist keine Aneinanderreihung von Beschwerden, sondern eine </w:t>
      </w:r>
      <w:r>
        <w:rPr>
          <w:rStyle w:val="Nadruk"/>
          <w:rFonts w:eastAsia="Times New Roman"/>
          <w:lang w:val="de-DE"/>
        </w:rPr>
        <w:t>Datenmatrix</w:t>
      </w:r>
      <w:r>
        <w:rPr>
          <w:rFonts w:eastAsia="Times New Roman"/>
          <w:lang w:val="de-DE"/>
        </w:rPr>
        <w:t>: eine sachliche Auflistung von Daten, Referenznummern und Korrespondenz.</w:t>
      </w:r>
    </w:p>
    <w:p w14:paraId="24F82F6C" w14:textId="77777777" w:rsidR="00FA4EDF" w:rsidRDefault="00FA4EDF">
      <w:pPr>
        <w:numPr>
          <w:ilvl w:val="0"/>
          <w:numId w:val="27"/>
        </w:numPr>
        <w:spacing w:before="100" w:beforeAutospacing="1" w:after="100" w:afterAutospacing="1"/>
        <w:divId w:val="982394320"/>
        <w:rPr>
          <w:rFonts w:eastAsia="Times New Roman"/>
          <w:lang w:val="de-DE"/>
        </w:rPr>
      </w:pPr>
      <w:r>
        <w:rPr>
          <w:rStyle w:val="Zwaar"/>
          <w:rFonts w:eastAsia="Times New Roman"/>
          <w:lang w:val="de-DE"/>
        </w:rPr>
        <w:t>Dokument C</w:t>
      </w:r>
      <w:r>
        <w:rPr>
          <w:rFonts w:eastAsia="Times New Roman"/>
          <w:lang w:val="de-DE"/>
        </w:rPr>
        <w:t xml:space="preserve"> ist kein Bilderbuch, sondern eine </w:t>
      </w:r>
      <w:r>
        <w:rPr>
          <w:rStyle w:val="Nadruk"/>
          <w:rFonts w:eastAsia="Times New Roman"/>
          <w:lang w:val="de-DE"/>
        </w:rPr>
        <w:t>visuelle Architektur</w:t>
      </w:r>
      <w:r>
        <w:rPr>
          <w:rFonts w:eastAsia="Times New Roman"/>
          <w:lang w:val="de-DE"/>
        </w:rPr>
        <w:t>: eine strukturelle Analyse der institutionellen Ebenen und der Mechanismen, die zum Scheitern führen.</w:t>
      </w:r>
    </w:p>
    <w:p w14:paraId="603FF82E" w14:textId="77777777" w:rsidR="00FA4EDF" w:rsidRDefault="00FA4EDF">
      <w:pPr>
        <w:numPr>
          <w:ilvl w:val="0"/>
          <w:numId w:val="27"/>
        </w:numPr>
        <w:spacing w:before="100" w:beforeAutospacing="1" w:after="100" w:afterAutospacing="1"/>
        <w:divId w:val="982394320"/>
        <w:rPr>
          <w:rFonts w:eastAsia="Times New Roman"/>
          <w:lang w:val="de-DE"/>
        </w:rPr>
      </w:pPr>
      <w:r>
        <w:rPr>
          <w:rStyle w:val="Zwaar"/>
          <w:rFonts w:eastAsia="Times New Roman"/>
          <w:lang w:val="de-DE"/>
        </w:rPr>
        <w:t>Dokument D</w:t>
      </w:r>
      <w:r>
        <w:rPr>
          <w:rFonts w:eastAsia="Times New Roman"/>
          <w:lang w:val="de-DE"/>
        </w:rPr>
        <w:t xml:space="preserve"> ist keine Zusammenfassung, sondern eine </w:t>
      </w:r>
      <w:r>
        <w:rPr>
          <w:rStyle w:val="Nadruk"/>
          <w:rFonts w:eastAsia="Times New Roman"/>
          <w:lang w:val="de-DE"/>
        </w:rPr>
        <w:t>Synthese</w:t>
      </w:r>
      <w:r>
        <w:rPr>
          <w:rFonts w:eastAsia="Times New Roman"/>
          <w:lang w:val="de-DE"/>
        </w:rPr>
        <w:t>: die Schlussfolgerungen und die drei Bausteine für eine Reform.</w:t>
      </w:r>
    </w:p>
    <w:p w14:paraId="1120F486" w14:textId="77777777" w:rsidR="00FA4EDF" w:rsidRDefault="00FA4EDF">
      <w:pPr>
        <w:pStyle w:val="Normaalweb"/>
        <w:divId w:val="982394320"/>
        <w:rPr>
          <w:lang w:val="de-DE"/>
        </w:rPr>
      </w:pPr>
      <w:r>
        <w:rPr>
          <w:lang w:val="de-DE"/>
        </w:rPr>
        <w:t>Der Unterschied ist nicht nur rein kosmetischer Natur. Er entscheidet darüber, ob die Politik den Fall beiseite schieben kann – „wir befassen uns nicht mit Einzelfällen“ – oder ob sie sich dazu äußern muss.</w:t>
      </w:r>
    </w:p>
    <w:p w14:paraId="38517D2A" w14:textId="77777777" w:rsidR="00FA4EDF" w:rsidRDefault="00FA4EDF">
      <w:pPr>
        <w:pStyle w:val="noot"/>
        <w:spacing w:after="120" w:afterAutospacing="0"/>
        <w:divId w:val="982394320"/>
        <w:rPr>
          <w:lang w:val="de-DE"/>
        </w:rPr>
      </w:pPr>
      <w:r>
        <w:rPr>
          <w:lang w:val="de-DE"/>
        </w:rPr>
        <w:t>Alle Organisationen in diesem Kapitel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Die Sachverhalte basieren auf Dokument B. Die verfassungsrechtliche Grundlage bilden die Artikel 33, 36, 37 und 40 der belgischen Verfassung sowie die Artikel 42 und 68 der niederl</w:t>
      </w:r>
      <w:r>
        <w:rPr>
          <w:rFonts w:cs="Aptos"/>
          <w:lang w:val="de-DE"/>
        </w:rPr>
        <w:t>ä</w:t>
      </w:r>
      <w:r>
        <w:rPr>
          <w:lang w:val="de-DE"/>
        </w:rPr>
        <w:t>ndischen Verfassung. Die parlamentarischen Verfahren basieren auf den Gesch</w:t>
      </w:r>
      <w:r>
        <w:rPr>
          <w:rFonts w:cs="Aptos"/>
          <w:lang w:val="de-DE"/>
        </w:rPr>
        <w:t>ä</w:t>
      </w:r>
      <w:r>
        <w:rPr>
          <w:lang w:val="de-DE"/>
        </w:rPr>
        <w:t>ftsordnungen der Kammer der Volksvertreter und der Zweiten Kammer. Die Informationen zur Zulagenaff</w:t>
      </w:r>
      <w:r>
        <w:rPr>
          <w:rFonts w:cs="Aptos"/>
          <w:lang w:val="de-DE"/>
        </w:rPr>
        <w:t>ä</w:t>
      </w:r>
      <w:r>
        <w:rPr>
          <w:lang w:val="de-DE"/>
        </w:rPr>
        <w:t>re basieren auf öffentlichen Berichten des Nationalen Ombudsmanns und des parlamentarischen Untersuchungsausschusses. Dieses Kapitel stellt keine Rechtsberatung dar.</w:t>
      </w:r>
    </w:p>
    <w:p w14:paraId="4FA7817D" w14:textId="77777777" w:rsidR="00FA4EDF" w:rsidRDefault="00FA4EDF">
      <w:pPr>
        <w:pStyle w:val="marker"/>
        <w:ind w:left="800" w:right="800"/>
        <w:divId w:val="982394320"/>
        <w:rPr>
          <w:lang w:val="de-DE"/>
        </w:rPr>
      </w:pPr>
      <w:r>
        <w:br w:type="page"/>
      </w:r>
    </w:p>
    <w:p w14:paraId="6CE3E575" w14:textId="77777777" w:rsidR="00FA4EDF" w:rsidRDefault="00FA4EDF">
      <w:pPr>
        <w:pStyle w:val="Kop2"/>
        <w:divId w:val="982394320"/>
        <w:rPr>
          <w:rFonts w:eastAsia="Times New Roman"/>
          <w:lang w:val="de-DE"/>
        </w:rPr>
      </w:pPr>
      <w:bookmarkStart w:id="139" w:name="_Toc242103175"/>
      <w:r>
        <w:rPr>
          <w:rFonts w:eastAsia="Times New Roman"/>
          <w:lang w:val="de-DE"/>
        </w:rPr>
        <w:t>Der Adel</w:t>
      </w:r>
      <w:bookmarkEnd w:id="139"/>
    </w:p>
    <w:p w14:paraId="7DE6B668" w14:textId="77777777" w:rsidR="00FA4EDF" w:rsidRDefault="00FA4EDF">
      <w:pPr>
        <w:pStyle w:val="lead"/>
        <w:divId w:val="982394320"/>
        <w:rPr>
          <w:lang w:val="de-DE"/>
        </w:rPr>
      </w:pPr>
      <w:r>
        <w:rPr>
          <w:lang w:val="de-DE"/>
        </w:rPr>
        <w:t>Der König ist in Belgien und den Niederlanden das symbolische Staatsoberhaupt. Formal verfügt er über keine eigenständige Macht: Seine Handlungen sind nur gültig, wenn sie von einem zuständigen Minister mitunterzeichnet werden. Dennoch erhält er jährlich Tausende von Petitionen von Bürgern. Diese Petitionen stellen keine rechtlichen Verfahren dar. Sie sind ein informeller Kanal – und gerade weil sie informell sind, können sie die politische Agenda auf eine Weise beeinflussen, wie es formelle Beschwerden nic</w:t>
      </w:r>
      <w:r>
        <w:rPr>
          <w:lang w:val="de-DE"/>
        </w:rPr>
        <w:t>ht vermögen.</w:t>
      </w:r>
    </w:p>
    <w:p w14:paraId="16F0AC32" w14:textId="77777777" w:rsidR="00FA4EDF" w:rsidRDefault="00FA4EDF">
      <w:pPr>
        <w:pStyle w:val="Kop3"/>
        <w:divId w:val="982394320"/>
        <w:rPr>
          <w:rFonts w:eastAsia="Times New Roman"/>
          <w:lang w:val="de-DE"/>
        </w:rPr>
      </w:pPr>
      <w:bookmarkStart w:id="140" w:name="_Toc242103176"/>
      <w:r>
        <w:rPr>
          <w:rFonts w:eastAsia="Times New Roman"/>
          <w:lang w:val="de-DE"/>
        </w:rPr>
        <w:t>Teil A – Die formelle Macht: Was der König tun darf und was nicht</w:t>
      </w:r>
      <w:bookmarkEnd w:id="140"/>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15777454"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2A0AA9BF" w14:textId="77777777" w:rsidR="00FA4EDF" w:rsidRDefault="00FA4EDF">
            <w:pPr>
              <w:pStyle w:val="Normaalweb"/>
              <w:spacing w:before="120"/>
              <w:jc w:val="center"/>
              <w:rPr>
                <w:sz w:val="21"/>
                <w:szCs w:val="21"/>
              </w:rPr>
            </w:pPr>
            <w:r>
              <w:rPr>
                <w:noProof/>
                <w:sz w:val="21"/>
                <w:szCs w:val="21"/>
              </w:rPr>
              <w:drawing>
                <wp:inline distT="0" distB="0" distL="0" distR="0" wp14:anchorId="2C774D21" wp14:editId="5C8E9EDA">
                  <wp:extent cx="3810000" cy="1524000"/>
                  <wp:effectExtent l="0" t="0" r="0" b="0"/>
                  <wp:docPr id="81" name="Afbeelding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761EC4F9" w14:textId="77777777" w:rsidR="00FA4EDF" w:rsidRDefault="00FA4EDF">
            <w:pPr>
              <w:pStyle w:val="caption"/>
              <w:spacing w:after="120" w:afterAutospacing="0"/>
            </w:pPr>
            <w:r>
              <w:rPr>
                <w:rStyle w:val="Zwaar"/>
              </w:rPr>
              <w:t>Abbildung XVIII.1 – Die formelle Stellung des Königs.</w:t>
            </w:r>
            <w:r>
              <w:t xml:space="preserve"> In Belgien ist der König Teil der gesetzgebenden Gewalt (Art. 36) und liegt die vollziehende Gewalt bei ihm (Art. 37), doch ist kein Rechtsakt ohne die Mitunterzeichnung eines Ministers gültig (Art. 106). In den Niederlanden ist der König unverletzlich (Art. 42) und verfügt über keine eigenständigen staatsrechtlichen Befugnisse. In beiden Ländern gilt: Der König regiert, aber er verwaltet nicht.</w:t>
            </w:r>
          </w:p>
        </w:tc>
      </w:tr>
    </w:tbl>
    <w:p w14:paraId="22B67556" w14:textId="77777777" w:rsidR="00FA4EDF" w:rsidRDefault="00FA4EDF">
      <w:pPr>
        <w:pStyle w:val="Kop3"/>
        <w:divId w:val="982394320"/>
        <w:rPr>
          <w:rFonts w:eastAsia="Times New Roman"/>
          <w:lang w:val="de-DE"/>
        </w:rPr>
      </w:pPr>
      <w:bookmarkStart w:id="141" w:name="_Toc242103177"/>
      <w:r>
        <w:rPr>
          <w:rFonts w:eastAsia="Times New Roman"/>
          <w:lang w:val="de-DE"/>
        </w:rPr>
        <w:t>Teil B – Das Petitionsrecht</w:t>
      </w:r>
      <w:bookmarkEnd w:id="141"/>
    </w:p>
    <w:p w14:paraId="4CC02E45" w14:textId="77777777" w:rsidR="00FA4EDF" w:rsidRDefault="00FA4EDF">
      <w:pPr>
        <w:pStyle w:val="Normaalweb"/>
        <w:divId w:val="982394320"/>
        <w:rPr>
          <w:lang w:val="de-DE"/>
        </w:rPr>
      </w:pPr>
      <w:r>
        <w:rPr>
          <w:lang w:val="de-DE"/>
        </w:rPr>
        <w:t>In beiden Ländern ist das Recht auf Einreichung einer Petition verfassungsrechtlich verankert.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5D7BF3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03BBF898" w14:textId="77777777" w:rsidR="00FA4EDF" w:rsidRDefault="00FA4EDF">
            <w:pPr>
              <w:pStyle w:val="Normaalweb"/>
              <w:spacing w:before="120"/>
              <w:jc w:val="center"/>
              <w:rPr>
                <w:sz w:val="21"/>
                <w:szCs w:val="21"/>
              </w:rPr>
            </w:pPr>
            <w:r>
              <w:rPr>
                <w:noProof/>
                <w:sz w:val="21"/>
                <w:szCs w:val="21"/>
              </w:rPr>
              <w:drawing>
                <wp:inline distT="0" distB="0" distL="0" distR="0" wp14:anchorId="033322BF" wp14:editId="014F5C25">
                  <wp:extent cx="3810000" cy="1333500"/>
                  <wp:effectExtent l="0" t="0" r="0" b="0"/>
                  <wp:docPr id="82" name="Afbeelding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5D3C856E" w14:textId="77777777" w:rsidR="00FA4EDF" w:rsidRDefault="00FA4EDF">
            <w:pPr>
              <w:pStyle w:val="caption"/>
              <w:spacing w:after="120" w:afterAutospacing="0"/>
            </w:pPr>
            <w:r>
              <w:rPr>
                <w:rStyle w:val="Zwaar"/>
              </w:rPr>
              <w:t>Abbildung XVIII.2 – Das Petitionsrecht.</w:t>
            </w:r>
            <w:r>
              <w:t xml:space="preserve"> In Belgien ist das Petitionsrecht in Artikel 28 der Verfassung verankert, und Artikel 57 überträgt der Abgeordnetenkammer die Befugnis, Petitionen an die Minister weiterzuleiten, die verpflichtet sind, dazu Stellung zu nehmen. In den Niederlanden ist das Petitionsrecht in Artikel 5 der Verfassung verankert, ohne dass ein spezifisches parlamentarisches Verfahren vorgesehen ist. Die Zweite Kammer verfügt über eine eigene Regelung für den Ausschuss für Petitionen und Bürgerinitiativen.</w:t>
            </w:r>
          </w:p>
        </w:tc>
      </w:tr>
    </w:tbl>
    <w:p w14:paraId="70CFEDFB" w14:textId="77777777" w:rsidR="00FA4EDF" w:rsidRDefault="00FA4EDF">
      <w:pPr>
        <w:pStyle w:val="Kop3"/>
        <w:divId w:val="982394320"/>
        <w:rPr>
          <w:rFonts w:eastAsia="Times New Roman"/>
          <w:lang w:val="de-DE"/>
        </w:rPr>
      </w:pPr>
      <w:bookmarkStart w:id="142" w:name="_Toc242103178"/>
      <w:r>
        <w:rPr>
          <w:rFonts w:eastAsia="Times New Roman"/>
          <w:lang w:val="de-DE"/>
        </w:rPr>
        <w:t>Teil C – Die Praxis: Wie Petitionen bearbeitet werden</w:t>
      </w:r>
      <w:bookmarkEnd w:id="142"/>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0275194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3E9B52F" w14:textId="77777777" w:rsidR="00FA4EDF" w:rsidRDefault="00FA4EDF">
            <w:pPr>
              <w:pStyle w:val="Normaalweb"/>
              <w:spacing w:before="120"/>
              <w:jc w:val="center"/>
              <w:rPr>
                <w:sz w:val="21"/>
                <w:szCs w:val="21"/>
              </w:rPr>
            </w:pPr>
            <w:r>
              <w:rPr>
                <w:noProof/>
                <w:sz w:val="21"/>
                <w:szCs w:val="21"/>
              </w:rPr>
              <w:drawing>
                <wp:inline distT="0" distB="0" distL="0" distR="0" wp14:anchorId="3C6E6E07" wp14:editId="204B3C27">
                  <wp:extent cx="3810000" cy="1644650"/>
                  <wp:effectExtent l="0" t="0" r="0" b="0"/>
                  <wp:docPr id="83" name="Afbeelding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810000" cy="1644650"/>
                          </a:xfrm>
                          <a:prstGeom prst="rect">
                            <a:avLst/>
                          </a:prstGeom>
                          <a:noFill/>
                          <a:ln>
                            <a:noFill/>
                          </a:ln>
                        </pic:spPr>
                      </pic:pic>
                    </a:graphicData>
                  </a:graphic>
                </wp:inline>
              </w:drawing>
            </w:r>
          </w:p>
          <w:p w14:paraId="67D8C7C7" w14:textId="77777777" w:rsidR="00FA4EDF" w:rsidRDefault="00FA4EDF">
            <w:pPr>
              <w:pStyle w:val="caption"/>
              <w:spacing w:after="120" w:afterAutospacing="0"/>
            </w:pPr>
            <w:r>
              <w:rPr>
                <w:rStyle w:val="Zwaar"/>
              </w:rPr>
              <w:t>Abbildung XVIII.3 – Der Weg einer Petition.</w:t>
            </w:r>
            <w:r>
              <w:t xml:space="preserve"> In Belgien gehen beim Petitionsdienst des Königspalasts jährlich etwa zehntausend Anträge ein. Jeder Antrag wird geprüft und entweder mit einer Stellungnahme versehen oder an die am besten geeignete Stelle weitergeleitet. In den Niederlanden gehen beim Kabinett des Königs jährlich dreitausend bis fünftausend Briefe ein. Das Kabinett analysiert diese und leitet sie an den zuständigen Minister weiter. In beiden Fällen: keine verbindliche Weiterverfolgung.</w:t>
            </w:r>
          </w:p>
        </w:tc>
      </w:tr>
    </w:tbl>
    <w:p w14:paraId="61586A0D" w14:textId="77777777" w:rsidR="00FA4EDF" w:rsidRDefault="00FA4EDF">
      <w:pPr>
        <w:pStyle w:val="Kop3"/>
        <w:divId w:val="982394320"/>
        <w:rPr>
          <w:rFonts w:eastAsia="Times New Roman"/>
          <w:lang w:val="de-DE"/>
        </w:rPr>
      </w:pPr>
      <w:bookmarkStart w:id="143" w:name="_Toc242103179"/>
      <w:r>
        <w:rPr>
          <w:rFonts w:eastAsia="Times New Roman"/>
          <w:lang w:val="de-DE"/>
        </w:rPr>
        <w:t>Teil D – Das Paradoxon des informellen Kanals</w:t>
      </w:r>
      <w:bookmarkEnd w:id="143"/>
    </w:p>
    <w:p w14:paraId="17E94EB7" w14:textId="77777777" w:rsidR="00FA4EDF" w:rsidRDefault="00FA4EDF">
      <w:pPr>
        <w:pStyle w:val="Normaalweb"/>
        <w:divId w:val="982394320"/>
        <w:rPr>
          <w:lang w:val="de-DE"/>
        </w:rPr>
      </w:pPr>
      <w:r>
        <w:rPr>
          <w:lang w:val="de-DE"/>
        </w:rPr>
        <w:t>Der König hat formal keine Macht. Der Minister trägt die Verantwortung. Die Politik entscheidet. Und doch: Die Petition an den König gelangt an einen Ort, den eine gewöhnliche Beschwerde nicht erreicht.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8D5E167"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6C7D92BA" w14:textId="77777777" w:rsidR="00FA4EDF" w:rsidRDefault="00FA4EDF">
            <w:pPr>
              <w:pStyle w:val="Normaalweb"/>
              <w:spacing w:before="120"/>
              <w:jc w:val="center"/>
              <w:rPr>
                <w:sz w:val="21"/>
                <w:szCs w:val="21"/>
              </w:rPr>
            </w:pPr>
            <w:r>
              <w:rPr>
                <w:noProof/>
                <w:sz w:val="21"/>
                <w:szCs w:val="21"/>
              </w:rPr>
              <w:drawing>
                <wp:inline distT="0" distB="0" distL="0" distR="0" wp14:anchorId="0CF9B8F9" wp14:editId="1AB1565F">
                  <wp:extent cx="3810000" cy="1206500"/>
                  <wp:effectExtent l="0" t="0" r="0" b="0"/>
                  <wp:docPr id="84" name="Afbeelding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810000" cy="1206500"/>
                          </a:xfrm>
                          <a:prstGeom prst="rect">
                            <a:avLst/>
                          </a:prstGeom>
                          <a:noFill/>
                          <a:ln>
                            <a:noFill/>
                          </a:ln>
                        </pic:spPr>
                      </pic:pic>
                    </a:graphicData>
                  </a:graphic>
                </wp:inline>
              </w:drawing>
            </w:r>
          </w:p>
          <w:p w14:paraId="2872D804" w14:textId="77777777" w:rsidR="00FA4EDF" w:rsidRDefault="00FA4EDF">
            <w:pPr>
              <w:pStyle w:val="caption"/>
              <w:spacing w:after="120" w:afterAutospacing="0"/>
            </w:pPr>
            <w:r>
              <w:rPr>
                <w:rStyle w:val="Zwaar"/>
              </w:rPr>
              <w:t>Abbildung XVIII.4 – Das Paradoxon des informellen Kanals.</w:t>
            </w:r>
            <w:r>
              <w:t xml:space="preserve"> Eine gewöhnliche Beschwerde bleibt auf der Ausführungsebene. Eine Petition an den König gelangt bis in die politische Ebene, da sie vom Kabinett geprüft wird und von einem Minister beantwortet werden muss. Der König hat keine Macht, sein Postfach jedoch schon.</w:t>
            </w:r>
          </w:p>
        </w:tc>
      </w:tr>
    </w:tbl>
    <w:p w14:paraId="2034FEFE" w14:textId="77777777" w:rsidR="00FA4EDF" w:rsidRDefault="00FA4EDF">
      <w:pPr>
        <w:pStyle w:val="Kop3"/>
        <w:divId w:val="982394320"/>
        <w:rPr>
          <w:rFonts w:eastAsia="Times New Roman"/>
          <w:lang w:val="de-DE"/>
        </w:rPr>
      </w:pPr>
      <w:bookmarkStart w:id="144" w:name="_Toc242103180"/>
      <w:r>
        <w:rPr>
          <w:rFonts w:eastAsia="Times New Roman"/>
          <w:lang w:val="de-DE"/>
        </w:rPr>
        <w:t>Teil E – Die Praxis in diesem Dossier</w:t>
      </w:r>
      <w:bookmarkEnd w:id="144"/>
    </w:p>
    <w:p w14:paraId="2C271032" w14:textId="77777777" w:rsidR="00FA4EDF" w:rsidRDefault="00FA4EDF">
      <w:pPr>
        <w:pStyle w:val="Normaalweb"/>
        <w:divId w:val="982394320"/>
        <w:rPr>
          <w:lang w:val="de-DE"/>
        </w:rPr>
      </w:pPr>
      <w:r>
        <w:rPr>
          <w:lang w:val="de-DE"/>
        </w:rPr>
        <w:t>In dieser Angelegenheit wurde in beiden Ländern eine Petition beim Staatsoberhaupt eingereicht.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57715DDD"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1A5114C" w14:textId="77777777" w:rsidR="00FA4EDF" w:rsidRDefault="00FA4EDF">
            <w:pPr>
              <w:pStyle w:val="Normaalweb"/>
              <w:spacing w:before="120"/>
              <w:jc w:val="center"/>
              <w:rPr>
                <w:sz w:val="21"/>
                <w:szCs w:val="21"/>
              </w:rPr>
            </w:pPr>
            <w:r>
              <w:rPr>
                <w:noProof/>
                <w:sz w:val="21"/>
                <w:szCs w:val="21"/>
              </w:rPr>
              <w:drawing>
                <wp:inline distT="0" distB="0" distL="0" distR="0" wp14:anchorId="3E6F2938" wp14:editId="4E652E62">
                  <wp:extent cx="3810000" cy="1333500"/>
                  <wp:effectExtent l="0" t="0" r="0" b="0"/>
                  <wp:docPr id="85" name="Afbeelding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10000" cy="1333500"/>
                          </a:xfrm>
                          <a:prstGeom prst="rect">
                            <a:avLst/>
                          </a:prstGeom>
                          <a:noFill/>
                          <a:ln>
                            <a:noFill/>
                          </a:ln>
                        </pic:spPr>
                      </pic:pic>
                    </a:graphicData>
                  </a:graphic>
                </wp:inline>
              </w:drawing>
            </w:r>
          </w:p>
          <w:p w14:paraId="64958738" w14:textId="77777777" w:rsidR="00FA4EDF" w:rsidRDefault="00FA4EDF">
            <w:pPr>
              <w:pStyle w:val="caption"/>
              <w:spacing w:after="120" w:afterAutospacing="0"/>
            </w:pPr>
            <w:r>
              <w:rPr>
                <w:rStyle w:val="Zwaar"/>
              </w:rPr>
              <w:t>Abbildung XVIII.5 – Die beiden Petitionen.</w:t>
            </w:r>
            <w:r>
              <w:t xml:space="preserve"> In beiden Ländern wurde eine Petition an das Staatsoberhaupt gesendet. In Belgien funktionierte der digitale Weg aufgrund eines DNS-Fehlers auf dem Mailserver des Palastes nicht; nur der physische Brief erreichte den Palast. In den Niederlanden funktionierte der digitale Weg hingegen. In beiden Fällen erfolgte eine Weiterleitung an den zuständigen Minister, ohne dass der König inhaltlich eingriff.</w:t>
            </w:r>
          </w:p>
        </w:tc>
      </w:tr>
    </w:tbl>
    <w:p w14:paraId="332ABE0E" w14:textId="77777777" w:rsidR="00FA4EDF" w:rsidRDefault="00FA4EDF">
      <w:pPr>
        <w:pStyle w:val="Kop3"/>
        <w:divId w:val="982394320"/>
        <w:rPr>
          <w:rFonts w:eastAsia="Times New Roman"/>
          <w:lang w:val="de-DE"/>
        </w:rPr>
      </w:pPr>
      <w:bookmarkStart w:id="145" w:name="_Toc242103181"/>
      <w:r>
        <w:rPr>
          <w:rFonts w:eastAsia="Times New Roman"/>
          <w:lang w:val="de-DE"/>
        </w:rPr>
        <w:t>Teil F – Was in diesem Kapitel festgelegt wird</w:t>
      </w:r>
      <w:bookmarkEnd w:id="145"/>
    </w:p>
    <w:p w14:paraId="09C9DF9A" w14:textId="77777777" w:rsidR="00FA4EDF" w:rsidRDefault="00FA4EDF">
      <w:pPr>
        <w:pStyle w:val="Normaalweb"/>
        <w:divId w:val="982394320"/>
        <w:rPr>
          <w:lang w:val="de-DE"/>
        </w:rPr>
      </w:pPr>
      <w:r>
        <w:rPr>
          <w:lang w:val="de-DE"/>
        </w:rPr>
        <w:t>Der Adel – der König und sein Kabinett – hat in Belgien und den Niederlanden keine Exekutivgewalt. Der König regiert, übt aber keine Regierungsgeschäfte aus. Er ist unantastbar, doch seine Handlungen sind nur gültig, wenn sie von einem zuständigen Minister mitunterzeichnet werden.</w:t>
      </w:r>
    </w:p>
    <w:p w14:paraId="2093D97C" w14:textId="77777777" w:rsidR="00FA4EDF" w:rsidRDefault="00FA4EDF">
      <w:pPr>
        <w:pStyle w:val="Normaalweb"/>
        <w:divId w:val="982394320"/>
        <w:rPr>
          <w:lang w:val="de-DE"/>
        </w:rPr>
      </w:pPr>
      <w:r>
        <w:rPr>
          <w:lang w:val="de-DE"/>
        </w:rPr>
        <w:t>Dennoch ist die Petition an den König ein Kanal, der tatsächlich die politische Ebene erreicht. Eine gewöhnliche Beschwerde bleibt auf der Exekutive-Ebene. Eine Petition an den König wird vom Kabinett geprüft, von einem Minister beantwortet und – was noch wichtiger ist – der Minister trägt dafür die politische Verantwortung. Damit erreicht das Signal eine Ebene, auf der die Exekutive es nicht ignorieren kann.</w:t>
      </w:r>
    </w:p>
    <w:p w14:paraId="630B28E9" w14:textId="77777777" w:rsidR="00FA4EDF" w:rsidRDefault="00FA4EDF">
      <w:pPr>
        <w:pStyle w:val="Normaalweb"/>
        <w:divId w:val="982394320"/>
        <w:rPr>
          <w:lang w:val="de-DE"/>
        </w:rPr>
      </w:pPr>
      <w:r>
        <w:rPr>
          <w:lang w:val="de-DE"/>
        </w:rPr>
        <w:t>Das Paradoxe daran ist, dass der König zwar keine Macht hat, sein Postfach jedoch schon. Es handelt sich um einen informellen Kanal. Kein rechtliches Verfahren. Kein Anspruch auf eine Entscheidung. Aber ein Kanal, der das Signal eine Ebene höher weiterleitet. Und in einer Angelegenheit, in der die Exekutive sich weigert, zuzuhören, ist das nicht gerade wenig.</w:t>
      </w:r>
    </w:p>
    <w:p w14:paraId="3E2D5BB2"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oder ihrem Symbol bezeichnet. Die verfassungsrechtliche Grundlage bilden die Artikel 28, 33, 36, 37, 57 und 106 der belgischen Verfassung sowie die Artikel 5, 42 und 68 der niederländischen Verfassung. Das Verfahren für Petitionen basiert auf den offiziellen Mitteilungen des Königlichen Palasts und des Kabinetts des Königs. Dieses Kapitel stellt keine Rechtsberatung dar.</w:t>
      </w:r>
    </w:p>
    <w:p w14:paraId="1BA23994" w14:textId="77777777" w:rsidR="00FA4EDF" w:rsidRDefault="00FA4EDF">
      <w:pPr>
        <w:pStyle w:val="marker"/>
        <w:ind w:left="800" w:right="800"/>
        <w:divId w:val="982394320"/>
        <w:rPr>
          <w:lang w:val="de-DE"/>
        </w:rPr>
      </w:pPr>
      <w:r>
        <w:br w:type="page"/>
      </w:r>
    </w:p>
    <w:p w14:paraId="07371E0B" w14:textId="77777777" w:rsidR="00FA4EDF" w:rsidRDefault="00FA4EDF">
      <w:pPr>
        <w:pStyle w:val="Kop2"/>
        <w:divId w:val="982394320"/>
        <w:rPr>
          <w:rFonts w:eastAsia="Times New Roman"/>
          <w:lang w:val="de-DE"/>
        </w:rPr>
      </w:pPr>
      <w:bookmarkStart w:id="146" w:name="_Toc242103182"/>
      <w:r>
        <w:rPr>
          <w:rFonts w:eastAsia="Times New Roman"/>
          <w:lang w:val="de-DE"/>
        </w:rPr>
        <w:t>Die Verbündeten und der Wachhund</w:t>
      </w:r>
      <w:bookmarkEnd w:id="146"/>
    </w:p>
    <w:p w14:paraId="6888332E" w14:textId="77777777" w:rsidR="00FA4EDF" w:rsidRDefault="00FA4EDF">
      <w:pPr>
        <w:pStyle w:val="lead"/>
        <w:divId w:val="982394320"/>
        <w:rPr>
          <w:lang w:val="de-DE"/>
        </w:rPr>
      </w:pPr>
      <w:r>
        <w:rPr>
          <w:lang w:val="de-DE"/>
        </w:rPr>
        <w:t>Neben dem Staat und dem privaten Sektor gibt es Organisationen, die den Bürgern beistehen sollten: Gewerkschaften, Gleichstellungsstellen, Menschenrechtsorganisationen, Wissenschaftler. In diesem Dossier werden vier davon vorgestellt. Eine hilft tatsächlich, mit einem Steuerdienst, der den entscheidenden Unterschied macht. Eine erklärt sich aufgrund eines technischen Kriteriums für unzuständig. Und die akademische Welt öffnet sich erst, wenn das Dossier unwiderlegbar geworden ist – und dann geht es schnell.</w:t>
      </w:r>
    </w:p>
    <w:p w14:paraId="4C206BD7" w14:textId="77777777" w:rsidR="00FA4EDF" w:rsidRDefault="00FA4EDF">
      <w:pPr>
        <w:pStyle w:val="Kop3"/>
        <w:divId w:val="982394320"/>
        <w:rPr>
          <w:rFonts w:eastAsia="Times New Roman"/>
          <w:lang w:val="de-DE"/>
        </w:rPr>
      </w:pPr>
      <w:bookmarkStart w:id="147" w:name="_Toc242103183"/>
      <w:r>
        <w:rPr>
          <w:rFonts w:eastAsia="Times New Roman"/>
          <w:lang w:val="de-DE"/>
        </w:rPr>
        <w:t>Teil A – ACV: Die Gewerkschaft, die hilft und sich einsetzt</w:t>
      </w:r>
      <w:bookmarkEnd w:id="147"/>
    </w:p>
    <w:p w14:paraId="12D5E1D0" w14:textId="77777777" w:rsidR="00FA4EDF" w:rsidRDefault="00FA4EDF">
      <w:pPr>
        <w:pStyle w:val="Normaalweb"/>
        <w:divId w:val="982394320"/>
        <w:rPr>
          <w:lang w:val="de-DE"/>
        </w:rPr>
      </w:pPr>
      <w:r>
        <w:rPr>
          <w:lang w:val="de-DE"/>
        </w:rPr>
        <w:t>Der Allgemeine Christliche Gewerkschaftsverband ist die größte belgische Gewerkschaft. Neben der gewerkschaftlichen Vertretung bietet er Rechtsbeistand, Steuerberatung und Auszahlungsdienste für Arbeitslosengeld an. In diesem Dossier übernimmt die Gewerkschaft drei Rollen.</w:t>
      </w:r>
    </w:p>
    <w:p w14:paraId="32449FB6" w14:textId="77777777" w:rsidR="00FA4EDF" w:rsidRDefault="00FA4EDF">
      <w:pPr>
        <w:pStyle w:val="Kop4"/>
        <w:divId w:val="982394320"/>
        <w:rPr>
          <w:rFonts w:eastAsia="Times New Roman"/>
          <w:lang w:val="de-DE"/>
        </w:rPr>
      </w:pPr>
      <w:r>
        <w:rPr>
          <w:rFonts w:eastAsia="Times New Roman"/>
          <w:lang w:val="de-DE"/>
        </w:rPr>
        <w:t>Was funktioniert: die Steuerbehörde</w:t>
      </w:r>
    </w:p>
    <w:p w14:paraId="0DAFD6F9" w14:textId="77777777" w:rsidR="00FA4EDF" w:rsidRDefault="00FA4EDF">
      <w:pPr>
        <w:pStyle w:val="Normaalweb"/>
        <w:divId w:val="982394320"/>
        <w:rPr>
          <w:lang w:val="de-DE"/>
        </w:rPr>
      </w:pPr>
      <w:r>
        <w:rPr>
          <w:lang w:val="de-DE"/>
        </w:rPr>
        <w:t>Über die Steuerabteilung des ACV Ostflandern wird die jährliche belgische Steuererklärung erstellt. Der Code für die Erwerbsunfähigkeit wird korrekt eingetragen. Die Bescheinigungen für die Kinderbetreuung werden manuell hinzugefügt. Das Ergebnis ist eine Rückerstattung in Höhe von 2.669,97 €, die am 25. September 2026 endgültig eingereicht wurde. Dieser Service funktioniert einwandfrei.</w:t>
      </w:r>
    </w:p>
    <w:p w14:paraId="2DD6B75F" w14:textId="77777777" w:rsidR="00FA4EDF" w:rsidRDefault="00FA4EDF">
      <w:pPr>
        <w:pStyle w:val="Kop4"/>
        <w:divId w:val="982394320"/>
        <w:rPr>
          <w:rFonts w:eastAsia="Times New Roman"/>
          <w:lang w:val="de-DE"/>
        </w:rPr>
      </w:pPr>
      <w:r>
        <w:rPr>
          <w:rFonts w:eastAsia="Times New Roman"/>
          <w:lang w:val="de-DE"/>
        </w:rPr>
        <w:t>Was nicht funktioniert: die Rechtshilfe bei der CM</w:t>
      </w:r>
    </w:p>
    <w:p w14:paraId="214571BC" w14:textId="77777777" w:rsidR="00FA4EDF" w:rsidRDefault="00FA4EDF">
      <w:pPr>
        <w:pStyle w:val="Normaalweb"/>
        <w:divId w:val="982394320"/>
        <w:rPr>
          <w:lang w:val="de-DE"/>
        </w:rPr>
      </w:pPr>
      <w:r>
        <w:rPr>
          <w:lang w:val="de-DE"/>
        </w:rPr>
        <w:t>Wenn die CM die Krankengeldzahlung ablehnt und die Zusammenrechnungsregeln nicht anwendet, wird die Gewerkschaft offiziell eingeschaltet. Nicht der Patient ist Mitglied, sondern seine Partnerin – selbst Gewerkschaftsvertreterin im Bildungswesen. In ihrer Funktion bittet sie den Christlichen Lehrerverband, den Bildungszweig derselben Gewerkschaft, um Hilfe.</w:t>
      </w:r>
    </w:p>
    <w:p w14:paraId="0028F1F2" w14:textId="77777777" w:rsidR="00FA4EDF" w:rsidRDefault="00FA4EDF">
      <w:pPr>
        <w:pStyle w:val="Normaalweb"/>
        <w:divId w:val="982394320"/>
        <w:rPr>
          <w:lang w:val="de-DE"/>
        </w:rPr>
      </w:pPr>
      <w:r>
        <w:rPr>
          <w:lang w:val="de-DE"/>
        </w:rPr>
        <w:t>Die Rechtsabteilung räumt den Systemfehler uneingeschränkt ein. Die administrative Unterscheidung zwischen Erwerbsunfähigkeit und Behinderung wird bestätigt. Dennoch lehnt die Gewerkschaft rechtliche Schritte gegen die Krankenkasse mit einem formalen Argument ab: Die Patientin selbst hat keine Mitgliedsnummer. Das zahlende Mitglied – der Partner – erleidet den finanziellen Schaden, erhält jedoch keine Rechtshilfe für einen Fall, der nicht auf ihren Namen läuft.</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22B837D9"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DD690AE" w14:textId="77777777" w:rsidR="00FA4EDF" w:rsidRDefault="00FA4EDF">
            <w:pPr>
              <w:pStyle w:val="Normaalweb"/>
              <w:spacing w:before="120"/>
              <w:jc w:val="center"/>
              <w:rPr>
                <w:sz w:val="21"/>
                <w:szCs w:val="21"/>
              </w:rPr>
            </w:pPr>
            <w:r>
              <w:rPr>
                <w:noProof/>
                <w:sz w:val="21"/>
                <w:szCs w:val="21"/>
              </w:rPr>
              <w:drawing>
                <wp:inline distT="0" distB="0" distL="0" distR="0" wp14:anchorId="47324C3F" wp14:editId="44AD7B6F">
                  <wp:extent cx="3810000" cy="1524000"/>
                  <wp:effectExtent l="0" t="0" r="0" b="0"/>
                  <wp:docPr id="86" name="Afbeelding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6B792CCA" w14:textId="77777777" w:rsidR="00FA4EDF" w:rsidRDefault="00FA4EDF">
            <w:pPr>
              <w:pStyle w:val="caption"/>
              <w:spacing w:after="120" w:afterAutospacing="0"/>
            </w:pPr>
            <w:r>
              <w:rPr>
                <w:rStyle w:val="Zwaar"/>
              </w:rPr>
              <w:t>Abbildung XXI.1 – ACV: zwei Eingänge, zwei Ergebnisse.</w:t>
            </w:r>
            <w:r>
              <w:t xml:space="preserve"> Die Steuerabteilung funktioniert. Die Rechtsabteilung beschränkt sich auf die Grenze der individuellen Mitgliedschaft: Nur das Mitglied, das selbst eine Akte hat, erhält Unterstützung.</w:t>
            </w:r>
          </w:p>
        </w:tc>
      </w:tr>
    </w:tbl>
    <w:p w14:paraId="10433A0E" w14:textId="77777777" w:rsidR="00FA4EDF" w:rsidRDefault="00FA4EDF">
      <w:pPr>
        <w:pStyle w:val="Kop3"/>
        <w:divId w:val="982394320"/>
        <w:rPr>
          <w:rFonts w:eastAsia="Times New Roman"/>
          <w:lang w:val="de-DE"/>
        </w:rPr>
      </w:pPr>
      <w:bookmarkStart w:id="148" w:name="_Toc242103184"/>
      <w:r>
        <w:rPr>
          <w:rFonts w:eastAsia="Times New Roman"/>
          <w:lang w:val="de-DE"/>
        </w:rPr>
        <w:t>Teil B – UNIA: Der Wachhund, der nicht beißen darf</w:t>
      </w:r>
      <w:bookmarkEnd w:id="148"/>
    </w:p>
    <w:p w14:paraId="7E16E3BA" w14:textId="77777777" w:rsidR="00FA4EDF" w:rsidRDefault="00FA4EDF">
      <w:pPr>
        <w:pStyle w:val="Normaalweb"/>
        <w:divId w:val="982394320"/>
        <w:rPr>
          <w:lang w:val="de-DE"/>
        </w:rPr>
      </w:pPr>
      <w:r>
        <w:rPr>
          <w:lang w:val="de-DE"/>
        </w:rPr>
        <w:t>UNIA ist das Interföderale Zentrum für Chancengleichheit. Es ist die unabhängige belgische Aufsichtsbehörde gegen Diskriminierung. Wenn Vollzugsbehörden sich weigern, einen Bürger aufgrund seines Wohnsitzes in einem Nachbarland anzuerkennen, stellt sich die Frage, ob dies eine Diskriminierung darstellt.</w:t>
      </w:r>
    </w:p>
    <w:p w14:paraId="4F2B630F" w14:textId="77777777" w:rsidR="00FA4EDF" w:rsidRDefault="00FA4EDF">
      <w:pPr>
        <w:pStyle w:val="Normaalweb"/>
        <w:divId w:val="982394320"/>
        <w:rPr>
          <w:lang w:val="de-DE"/>
        </w:rPr>
      </w:pPr>
      <w:r>
        <w:rPr>
          <w:lang w:val="de-DE"/>
        </w:rPr>
        <w:t>Im April 2026 wird UNIA offiziell über den strukturellen Ausschluss von Grenzgängern informiert. Die Meldung betrifft die Verweigerung medizinischer Anerkennungen allein aufgrund eines Wohnsitzes in den Niederlanden.</w:t>
      </w:r>
    </w:p>
    <w:p w14:paraId="4E842677" w14:textId="77777777" w:rsidR="00FA4EDF" w:rsidRDefault="00FA4EDF">
      <w:pPr>
        <w:pStyle w:val="Normaalweb"/>
        <w:divId w:val="982394320"/>
        <w:rPr>
          <w:lang w:val="de-DE"/>
        </w:rPr>
      </w:pPr>
      <w:r>
        <w:rPr>
          <w:lang w:val="de-DE"/>
        </w:rPr>
        <w:t>Die Bewertung durch UNIA deckt eine Lücke in der belgischen Antidiskriminierungsgesetzgebung auf. Die Aufsichtsbehörde erklärt sich aus zwei schwerwiegenden Gründen offiziell für unzuständig.</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0B61911"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3EC49246" w14:textId="77777777" w:rsidR="00FA4EDF" w:rsidRDefault="00FA4EDF">
            <w:pPr>
              <w:pStyle w:val="Normaalweb"/>
              <w:spacing w:before="120"/>
              <w:jc w:val="center"/>
              <w:rPr>
                <w:sz w:val="21"/>
                <w:szCs w:val="21"/>
              </w:rPr>
            </w:pPr>
            <w:r>
              <w:rPr>
                <w:noProof/>
                <w:sz w:val="21"/>
                <w:szCs w:val="21"/>
              </w:rPr>
              <w:drawing>
                <wp:inline distT="0" distB="0" distL="0" distR="0" wp14:anchorId="7C72CF46" wp14:editId="31B9EC5D">
                  <wp:extent cx="3810000" cy="1460500"/>
                  <wp:effectExtent l="0" t="0" r="0" b="6350"/>
                  <wp:docPr id="87" name="Afbeelding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810000" cy="1460500"/>
                          </a:xfrm>
                          <a:prstGeom prst="rect">
                            <a:avLst/>
                          </a:prstGeom>
                          <a:noFill/>
                          <a:ln>
                            <a:noFill/>
                          </a:ln>
                        </pic:spPr>
                      </pic:pic>
                    </a:graphicData>
                  </a:graphic>
                </wp:inline>
              </w:drawing>
            </w:r>
          </w:p>
          <w:p w14:paraId="162C689D" w14:textId="77777777" w:rsidR="00FA4EDF" w:rsidRDefault="00FA4EDF">
            <w:pPr>
              <w:pStyle w:val="caption"/>
              <w:spacing w:after="120" w:afterAutospacing="0"/>
            </w:pPr>
            <w:r>
              <w:rPr>
                <w:rStyle w:val="Zwaar"/>
              </w:rPr>
              <w:t>Abbildung XXI.2 – Die Unzuständigkeit von UNIA.</w:t>
            </w:r>
            <w:r>
              <w:t xml:space="preserve"> UNIA erklärt sich aus zwei Gründen für unzuständig: Der Wohnort ist kein geschütztes Merkmal im Antidiskriminierungsgesetz, und der Ausschluss ergibt sich aus dem Gesetz selbst.</w:t>
            </w:r>
          </w:p>
        </w:tc>
      </w:tr>
    </w:tbl>
    <w:p w14:paraId="24EC6656" w14:textId="77777777" w:rsidR="00FA4EDF" w:rsidRDefault="00FA4EDF">
      <w:pPr>
        <w:pStyle w:val="Normaalweb"/>
        <w:divId w:val="982394320"/>
        <w:rPr>
          <w:lang w:val="de-DE"/>
        </w:rPr>
      </w:pPr>
      <w:r>
        <w:rPr>
          <w:lang w:val="de-DE"/>
        </w:rPr>
        <w:t>UNIA schließt den Fall ab. Und bestätigt damit ungewollt, dass der Ausschluss von Grenzgängern im Rahmen des derzeitigen Systems vollständig legalisiert ist.</w:t>
      </w:r>
    </w:p>
    <w:p w14:paraId="1C1EBDD2" w14:textId="77777777" w:rsidR="00FA4EDF" w:rsidRDefault="00FA4EDF">
      <w:pPr>
        <w:pStyle w:val="Kop3"/>
        <w:divId w:val="982394320"/>
        <w:rPr>
          <w:rFonts w:eastAsia="Times New Roman"/>
          <w:lang w:val="de-DE"/>
        </w:rPr>
      </w:pPr>
      <w:bookmarkStart w:id="149" w:name="_Toc242103185"/>
      <w:r>
        <w:rPr>
          <w:rFonts w:eastAsia="Times New Roman"/>
          <w:lang w:val="de-DE"/>
        </w:rPr>
        <w:t>Teil C – Die akademische Beobachtungsebene</w:t>
      </w:r>
      <w:bookmarkEnd w:id="149"/>
    </w:p>
    <w:p w14:paraId="6264ED31" w14:textId="77777777" w:rsidR="00FA4EDF" w:rsidRDefault="00FA4EDF">
      <w:pPr>
        <w:pStyle w:val="Normaalweb"/>
        <w:divId w:val="982394320"/>
        <w:rPr>
          <w:lang w:val="de-DE"/>
        </w:rPr>
      </w:pPr>
      <w:r>
        <w:rPr>
          <w:lang w:val="de-DE"/>
        </w:rPr>
        <w:t>Die akademische Welt ist die letzte Instanz, die den Bürgern zur Seite stehen könnte. Universitäten und Kompetenzzentren untersuchen Systemversagen, veröffentlichen Studien über institutionelle Ausgrenzung und verfügen über die analytischen Mittel, um einen Fall wissenschaftlich zu bewerten. Was geschieht, wenn ihnen ein konkreter Fall vorgelegt wird?</w:t>
      </w:r>
    </w:p>
    <w:p w14:paraId="54EC4AB7" w14:textId="77777777" w:rsidR="00FA4EDF" w:rsidRDefault="00FA4EDF">
      <w:pPr>
        <w:pStyle w:val="Kop4"/>
        <w:divId w:val="982394320"/>
        <w:rPr>
          <w:rFonts w:eastAsia="Times New Roman"/>
          <w:lang w:val="de-DE"/>
        </w:rPr>
      </w:pPr>
      <w:r>
        <w:rPr>
          <w:rFonts w:eastAsia="Times New Roman"/>
          <w:lang w:val="de-DE"/>
        </w:rPr>
        <w:t>Monate des Schweigens</w:t>
      </w:r>
    </w:p>
    <w:p w14:paraId="07FB2720" w14:textId="77777777" w:rsidR="00FA4EDF" w:rsidRDefault="00FA4EDF">
      <w:pPr>
        <w:pStyle w:val="Normaalweb"/>
        <w:divId w:val="982394320"/>
        <w:rPr>
          <w:lang w:val="de-DE"/>
        </w:rPr>
      </w:pPr>
      <w:r>
        <w:rPr>
          <w:lang w:val="de-DE"/>
        </w:rPr>
        <w:t>Zwischen Mai und September 2026 werden verschiedene Wissenschaftler und Einrichtungen angeschrieben. Das Kompetenzzentrum ITEM der Universität Maastricht, das Institut für Sozialrecht der KU Leuven, das Montaigne-Zentrum der Universität Utrecht, das Transitionsinstitut DRIFT der Erasmus-Universität und das Amsterdam UMC. Monatelang bleibt es still. Es gibt keine einzige inhaltliche Rückmeldung zu einem Dossier, das genau die Themen verkörpert, zu denen diese Einrichtungen veröffentlichen.</w:t>
      </w:r>
    </w:p>
    <w:p w14:paraId="4918A588" w14:textId="77777777" w:rsidR="00FA4EDF" w:rsidRDefault="00FA4EDF">
      <w:pPr>
        <w:pStyle w:val="Kop4"/>
        <w:divId w:val="982394320"/>
        <w:rPr>
          <w:rFonts w:eastAsia="Times New Roman"/>
          <w:lang w:val="de-DE"/>
        </w:rPr>
      </w:pPr>
      <w:r>
        <w:rPr>
          <w:rFonts w:eastAsia="Times New Roman"/>
          <w:lang w:val="de-DE"/>
        </w:rPr>
        <w:t>Die Eröffnung</w:t>
      </w:r>
    </w:p>
    <w:p w14:paraId="51932101" w14:textId="77777777" w:rsidR="00FA4EDF" w:rsidRDefault="00FA4EDF">
      <w:pPr>
        <w:pStyle w:val="Normaalweb"/>
        <w:divId w:val="982394320"/>
        <w:rPr>
          <w:lang w:val="de-DE"/>
        </w:rPr>
      </w:pPr>
      <w:r>
        <w:rPr>
          <w:lang w:val="de-DE"/>
        </w:rPr>
        <w:t>Wenn die vollständige Akte im Herbst 2026 die Schwelle von 250 Seiten unwiderlegbaren empirischen Materials überschreitet, wird das Kompetenzzentrum ITEM eine inhaltliche Prüfung einleiten. Ein Professor bestätigt am 17. September 2026 den Erhalt der Unterlagen und erklärt, er werde diese zunächst lesen, bevor er inhaltlich darauf eingehe.</w:t>
      </w:r>
    </w:p>
    <w:p w14:paraId="146611F6" w14:textId="77777777" w:rsidR="00FA4EDF" w:rsidRDefault="00FA4EDF">
      <w:pPr>
        <w:pStyle w:val="Kop4"/>
        <w:divId w:val="982394320"/>
        <w:rPr>
          <w:rFonts w:eastAsia="Times New Roman"/>
          <w:lang w:val="de-DE"/>
        </w:rPr>
      </w:pPr>
      <w:r>
        <w:rPr>
          <w:rFonts w:eastAsia="Times New Roman"/>
          <w:lang w:val="de-DE"/>
        </w:rPr>
        <w:t>Was folgt</w:t>
      </w:r>
    </w:p>
    <w:p w14:paraId="2ACBC1BE" w14:textId="77777777" w:rsidR="00FA4EDF" w:rsidRDefault="00FA4EDF">
      <w:pPr>
        <w:pStyle w:val="Normaalweb"/>
        <w:divId w:val="982394320"/>
        <w:rPr>
          <w:lang w:val="de-DE"/>
        </w:rPr>
      </w:pPr>
      <w:r>
        <w:rPr>
          <w:lang w:val="de-DE"/>
        </w:rPr>
        <w:t>In der darauffolgenden Woche wird der Fall aktiv geprüft. Ein unabhängiger Forscher im Bereich Grenzarbeit – der an einer akademischen Einrichtung tätig ist und nicht an dem Fall beteiligt ist – befasst sich mit dem Material und legt innerhalb weniger Tage eine Reihe von rechtlichen Analysen und alternativen Vorgehensweisen vor:</w:t>
      </w:r>
    </w:p>
    <w:p w14:paraId="65D4526A"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Der Wajong-Weg und die Einschränkungen gemäß Anhang X der Verordnung 883/2004 (nicht exportierbare Leistungen).</w:t>
      </w:r>
    </w:p>
    <w:p w14:paraId="1D6A95C9"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Das Schumacker-Urteil (C-279/93) und die 90-Prozent-Regel als Grundlage für die steuerliche Gleichstellung.</w:t>
      </w:r>
    </w:p>
    <w:p w14:paraId="1D00FB5D"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Das Urteil „Dimitri Hendrix“ (C-385/17) zur Beibehaltung von Sozialleistungen bei einem Umzug.</w:t>
      </w:r>
    </w:p>
    <w:p w14:paraId="49B7F33B"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Der Zusammenhang zwischen dem Vester-Urteil und der Systemtheorie von Frederic Vester.</w:t>
      </w:r>
    </w:p>
    <w:p w14:paraId="30FAED1C"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Die zentrale Rolle der Disziplinarbeschwerde bei der Ärztekammer als systemischer Knotenpunkt.</w:t>
      </w:r>
    </w:p>
    <w:p w14:paraId="25671A5F" w14:textId="77777777" w:rsidR="00FA4EDF" w:rsidRDefault="00FA4EDF">
      <w:pPr>
        <w:numPr>
          <w:ilvl w:val="0"/>
          <w:numId w:val="28"/>
        </w:numPr>
        <w:spacing w:before="100" w:beforeAutospacing="1" w:after="100" w:afterAutospacing="1"/>
        <w:divId w:val="982394320"/>
        <w:rPr>
          <w:rFonts w:eastAsia="Times New Roman"/>
          <w:lang w:val="de-DE"/>
        </w:rPr>
      </w:pPr>
      <w:r>
        <w:rPr>
          <w:rFonts w:eastAsia="Times New Roman"/>
          <w:lang w:val="de-DE"/>
        </w:rPr>
        <w:t>Die Ablehnung des europäischen Parkausweises durch die Gemeinde Hulst.</w:t>
      </w:r>
    </w:p>
    <w:p w14:paraId="7F6B881F" w14:textId="77777777" w:rsidR="00FA4EDF" w:rsidRDefault="00FA4EDF">
      <w:pPr>
        <w:pStyle w:val="Normaalweb"/>
        <w:divId w:val="982394320"/>
        <w:rPr>
          <w:lang w:val="de-DE"/>
        </w:rPr>
      </w:pPr>
      <w:r>
        <w:rPr>
          <w:lang w:val="de-DE"/>
        </w:rPr>
        <w:t>Darüber hinaus erhält der Forscher eine formelle schriftliche Bestätigung des FÖD Finanzen (Steuerbehörde für Nichtansässige PG15 Ledeberg), dass das freiwillige Beifügen von ärztlichen Attesten zur Steuererklärung ein zulässiger Weg ist, um den steuerlichen Behindertenstatus nachzuweisen. Einige Tage später legt er ein offizielles Schreiben der Europäischen Kommission (GD EMPL, 25. September 2026) vor, aus dem hervorgeht, dass die Kommission bereits seit 2022 und 2023 drei Vertragsverletzungsverfahren gege</w:t>
      </w:r>
      <w:r>
        <w:rPr>
          <w:lang w:val="de-DE"/>
        </w:rPr>
        <w:t>n Belgien und Flandern untersucht, ohne zu einer Entscheidung zu gelangen.</w:t>
      </w:r>
    </w:p>
    <w:p w14:paraId="5B5216C1" w14:textId="77777777" w:rsidR="00FA4EDF" w:rsidRDefault="00FA4EDF">
      <w:pPr>
        <w:pStyle w:val="Normaalweb"/>
        <w:divId w:val="982394320"/>
        <w:rPr>
          <w:lang w:val="de-DE"/>
        </w:rPr>
      </w:pPr>
      <w:r>
        <w:rPr>
          <w:lang w:val="de-DE"/>
        </w:rPr>
        <w:t>Was monatelang unmöglich schien, geschieht innerhalb von vier Tagen. Das akademische Netzwerk, das zuvor geschwiegen hatte, liefert innerhalb einer Woche eine Reihe juristischer Durchbrüche. Die akademische Welt arbeitet rückblickend, nicht kurativ – und wenn sie erst einmal in Gang kommt, arbeitet sie schnell.</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6D9EBA1B"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773FCFF0" w14:textId="77777777" w:rsidR="00FA4EDF" w:rsidRDefault="00FA4EDF">
            <w:pPr>
              <w:pStyle w:val="Normaalweb"/>
              <w:spacing w:before="120"/>
              <w:jc w:val="center"/>
              <w:rPr>
                <w:sz w:val="21"/>
                <w:szCs w:val="21"/>
              </w:rPr>
            </w:pPr>
            <w:r>
              <w:rPr>
                <w:noProof/>
                <w:sz w:val="21"/>
                <w:szCs w:val="21"/>
              </w:rPr>
              <w:drawing>
                <wp:inline distT="0" distB="0" distL="0" distR="0" wp14:anchorId="5AFEF3E8" wp14:editId="7DD00E1A">
                  <wp:extent cx="3810000" cy="1524000"/>
                  <wp:effectExtent l="0" t="0" r="0" b="0"/>
                  <wp:docPr id="88" name="Afbeelding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810000" cy="1524000"/>
                          </a:xfrm>
                          <a:prstGeom prst="rect">
                            <a:avLst/>
                          </a:prstGeom>
                          <a:noFill/>
                          <a:ln>
                            <a:noFill/>
                          </a:ln>
                        </pic:spPr>
                      </pic:pic>
                    </a:graphicData>
                  </a:graphic>
                </wp:inline>
              </w:drawing>
            </w:r>
          </w:p>
          <w:p w14:paraId="6619249E" w14:textId="77777777" w:rsidR="00FA4EDF" w:rsidRDefault="00FA4EDF">
            <w:pPr>
              <w:pStyle w:val="caption"/>
              <w:spacing w:after="120" w:afterAutospacing="0"/>
            </w:pPr>
            <w:r>
              <w:rPr>
                <w:rStyle w:val="Zwaar"/>
              </w:rPr>
              <w:t>Abbildung XXI.3 – Von der Stille zur Öffnung.</w:t>
            </w:r>
            <w:r>
              <w:t xml:space="preserve"> Die akademische Welt reagiert monatelang nicht auf die Akte. Erst als diese 250 Seiten unwiderlegbares Material enthält, erklärt sich das Kompetenzzentrum ITEM bereit, eine inhaltliche Prüfung vorzunehmen. Und dann geht es schnell: Innerhalb von vier Tagen werden neue rechtliche Ansätze, Urteile und Systemverknüpfungen vorgelegt.</w:t>
            </w:r>
          </w:p>
        </w:tc>
      </w:tr>
    </w:tbl>
    <w:p w14:paraId="7D568F8C" w14:textId="77777777" w:rsidR="00FA4EDF" w:rsidRDefault="00FA4EDF">
      <w:pPr>
        <w:pStyle w:val="Kop3"/>
        <w:divId w:val="982394320"/>
        <w:rPr>
          <w:rFonts w:eastAsia="Times New Roman"/>
          <w:lang w:val="de-DE"/>
        </w:rPr>
      </w:pPr>
      <w:bookmarkStart w:id="150" w:name="_Toc242103186"/>
      <w:r>
        <w:rPr>
          <w:rFonts w:eastAsia="Times New Roman"/>
          <w:lang w:val="de-DE"/>
        </w:rPr>
        <w:t>Teil D – Was in diesem Kapitel festgelegt wird</w:t>
      </w:r>
      <w:bookmarkEnd w:id="150"/>
    </w:p>
    <w:p w14:paraId="7CCDE3DE" w14:textId="77777777" w:rsidR="00FA4EDF" w:rsidRDefault="00FA4EDF">
      <w:pPr>
        <w:pStyle w:val="Normaalweb"/>
        <w:divId w:val="982394320"/>
        <w:rPr>
          <w:lang w:val="de-DE"/>
        </w:rPr>
      </w:pPr>
      <w:r>
        <w:rPr>
          <w:lang w:val="de-DE"/>
        </w:rPr>
        <w:t>Die vier Verbündeten, die den Bürger unterstützen sollen, agieren alle innerhalb ihrer eigenen Grenzen.</w:t>
      </w:r>
    </w:p>
    <w:p w14:paraId="01ABBF27" w14:textId="77777777" w:rsidR="00FA4EDF" w:rsidRDefault="00FA4EDF">
      <w:pPr>
        <w:pStyle w:val="Normaalweb"/>
        <w:divId w:val="982394320"/>
        <w:rPr>
          <w:lang w:val="de-DE"/>
        </w:rPr>
      </w:pPr>
      <w:r>
        <w:rPr>
          <w:lang w:val="de-DE"/>
        </w:rPr>
        <w:t>Die Gewerkschaft setzt sich für ihre Mitglieder ein, allerdings nur in den Angelegenheiten, die auf deren Namen laufen.</w:t>
      </w:r>
    </w:p>
    <w:p w14:paraId="34D0E641" w14:textId="77777777" w:rsidR="00FA4EDF" w:rsidRDefault="00FA4EDF">
      <w:pPr>
        <w:pStyle w:val="Normaalweb"/>
        <w:divId w:val="982394320"/>
        <w:rPr>
          <w:lang w:val="de-DE"/>
        </w:rPr>
      </w:pPr>
      <w:r>
        <w:rPr>
          <w:lang w:val="de-DE"/>
        </w:rPr>
        <w:t>UNIA setzt sich gegen Diskriminierung ein, allerdings nur gegen solche Diskriminierung, die sich nicht direkt aus dem Gesetz ergibt.</w:t>
      </w:r>
    </w:p>
    <w:p w14:paraId="4D1E101A" w14:textId="77777777" w:rsidR="00FA4EDF" w:rsidRDefault="00FA4EDF">
      <w:pPr>
        <w:pStyle w:val="Normaalweb"/>
        <w:divId w:val="982394320"/>
        <w:rPr>
          <w:lang w:val="de-DE"/>
        </w:rPr>
      </w:pPr>
      <w:r>
        <w:rPr>
          <w:lang w:val="de-DE"/>
        </w:rPr>
        <w:t>Die akademische Welt arbeitet an der Theorie, öffnet sich aber erst, wenn die Unterlagen vollständig und unwiderlegbar sind. Was monatelang stillstand, wird innerhalb weniger Tage aktiv. Dann geht es nicht mehr um die Unterlagen, sondern um die wissenschaftliche Validierung.</w:t>
      </w:r>
    </w:p>
    <w:p w14:paraId="155C80AD" w14:textId="77777777" w:rsidR="00FA4EDF" w:rsidRDefault="00FA4EDF">
      <w:pPr>
        <w:pStyle w:val="Normaalweb"/>
        <w:divId w:val="982394320"/>
        <w:rPr>
          <w:lang w:val="de-DE"/>
        </w:rPr>
      </w:pPr>
      <w:r>
        <w:rPr>
          <w:lang w:val="de-DE"/>
        </w:rPr>
        <w:t>Und was für den Bürger übrig bleibt, ist, dass die strukturelle Ausgrenzung von Grenzgängern nicht nur rechtlich legitimiert, sondern auch gesellschaftlich normalisiert wurde. Wer die Akte aufbaut und dranbleibt, findet letztendlich Gehör. Aber nur wer dranbleibt.</w:t>
      </w:r>
    </w:p>
    <w:tbl>
      <w:tblPr>
        <w:tblW w:w="5000" w:type="pct"/>
        <w:tblCellMar>
          <w:top w:w="15" w:type="dxa"/>
          <w:left w:w="15" w:type="dxa"/>
          <w:bottom w:w="15" w:type="dxa"/>
          <w:right w:w="15" w:type="dxa"/>
        </w:tblCellMar>
        <w:tblLook w:val="04A0" w:firstRow="1" w:lastRow="0" w:firstColumn="1" w:lastColumn="0" w:noHBand="0" w:noVBand="1"/>
      </w:tblPr>
      <w:tblGrid>
        <w:gridCol w:w="9019"/>
      </w:tblGrid>
      <w:tr w:rsidR="00000000" w14:paraId="63FF40D4" w14:textId="77777777">
        <w:trPr>
          <w:divId w:val="982394320"/>
        </w:trPr>
        <w:tc>
          <w:tcPr>
            <w:tcW w:w="0" w:type="auto"/>
            <w:tcBorders>
              <w:top w:val="single" w:sz="6" w:space="0" w:color="D5D0C5"/>
              <w:left w:val="single" w:sz="36" w:space="0" w:color="4A3B6B"/>
              <w:bottom w:val="single" w:sz="6" w:space="0" w:color="D5D0C5"/>
              <w:right w:val="single" w:sz="6" w:space="0" w:color="D5D0C5"/>
            </w:tcBorders>
            <w:shd w:val="clear" w:color="auto" w:fill="EDE9F5"/>
            <w:tcMar>
              <w:top w:w="200" w:type="dxa"/>
              <w:left w:w="280" w:type="dxa"/>
              <w:bottom w:w="200" w:type="dxa"/>
              <w:right w:w="280" w:type="dxa"/>
            </w:tcMar>
            <w:hideMark/>
          </w:tcPr>
          <w:p w14:paraId="18C12E6A" w14:textId="77777777" w:rsidR="00FA4EDF" w:rsidRDefault="00FA4EDF">
            <w:pPr>
              <w:spacing w:before="240" w:after="240"/>
              <w:rPr>
                <w:rFonts w:eastAsia="Times New Roman"/>
                <w:szCs w:val="22"/>
              </w:rPr>
            </w:pPr>
            <w:r>
              <w:rPr>
                <w:rStyle w:val="Zwaar"/>
                <w:rFonts w:eastAsia="Times New Roman"/>
                <w:szCs w:val="22"/>
              </w:rPr>
              <w:t>Für alle, die sich in derselben Situation befinden:</w:t>
            </w:r>
            <w:r>
              <w:rPr>
                <w:rFonts w:eastAsia="Times New Roman"/>
                <w:szCs w:val="22"/>
              </w:rPr>
              <w:t xml:space="preserve"> </w:t>
            </w:r>
          </w:p>
          <w:p w14:paraId="461E4983" w14:textId="77777777" w:rsidR="00FA4EDF" w:rsidRDefault="00FA4EDF">
            <w:pPr>
              <w:numPr>
                <w:ilvl w:val="0"/>
                <w:numId w:val="29"/>
              </w:numPr>
              <w:spacing w:before="100" w:beforeAutospacing="1" w:after="100" w:afterAutospacing="1"/>
              <w:rPr>
                <w:rFonts w:eastAsia="Times New Roman"/>
                <w:szCs w:val="22"/>
              </w:rPr>
            </w:pPr>
            <w:r>
              <w:rPr>
                <w:rStyle w:val="Nadruk"/>
                <w:rFonts w:eastAsia="Times New Roman"/>
                <w:szCs w:val="22"/>
              </w:rPr>
              <w:t>Gewerkschaft:</w:t>
            </w:r>
            <w:r>
              <w:rPr>
                <w:rFonts w:eastAsia="Times New Roman"/>
                <w:szCs w:val="22"/>
              </w:rPr>
              <w:t xml:space="preserve"> </w:t>
            </w:r>
            <w:r>
              <w:rPr>
                <w:rFonts w:eastAsia="Times New Roman"/>
                <w:szCs w:val="22"/>
              </w:rPr>
              <w:t>Überprüfen Sie, auf welchen Namen die Mitgliedsunterlagen laufen. Wenn die Unterlagen nicht auf Ihren Namen laufen, kann die Gewerkschaft eine Intervention ablehnen.</w:t>
            </w:r>
          </w:p>
          <w:p w14:paraId="12F6F87D" w14:textId="77777777" w:rsidR="00FA4EDF" w:rsidRDefault="00FA4EDF">
            <w:pPr>
              <w:numPr>
                <w:ilvl w:val="0"/>
                <w:numId w:val="29"/>
              </w:numPr>
              <w:spacing w:before="100" w:beforeAutospacing="1" w:after="100" w:afterAutospacing="1"/>
              <w:rPr>
                <w:rFonts w:eastAsia="Times New Roman"/>
                <w:szCs w:val="22"/>
              </w:rPr>
            </w:pPr>
            <w:r>
              <w:rPr>
                <w:rStyle w:val="Nadruk"/>
                <w:rFonts w:eastAsia="Times New Roman"/>
                <w:szCs w:val="22"/>
              </w:rPr>
              <w:t>UNIA:</w:t>
            </w:r>
            <w:r>
              <w:rPr>
                <w:rFonts w:eastAsia="Times New Roman"/>
                <w:szCs w:val="22"/>
              </w:rPr>
              <w:t xml:space="preserve"> Wenn sich der Ausschluss aus einem Gesetz ergibt, kann UNIA nicht eingreifen. Der einzige Weg ist eine Klage vor dem Verfassungsgericht. Das ist langwierig und kostspielig.</w:t>
            </w:r>
          </w:p>
          <w:p w14:paraId="27A79B58" w14:textId="77777777" w:rsidR="00FA4EDF" w:rsidRDefault="00FA4EDF">
            <w:pPr>
              <w:numPr>
                <w:ilvl w:val="0"/>
                <w:numId w:val="29"/>
              </w:numPr>
              <w:spacing w:before="100" w:beforeAutospacing="1" w:after="100" w:afterAutospacing="1"/>
              <w:rPr>
                <w:rFonts w:eastAsia="Times New Roman"/>
                <w:szCs w:val="22"/>
              </w:rPr>
            </w:pPr>
            <w:r>
              <w:rPr>
                <w:rStyle w:val="Nadruk"/>
                <w:rFonts w:eastAsia="Times New Roman"/>
                <w:szCs w:val="22"/>
              </w:rPr>
              <w:t>Akademie:</w:t>
            </w:r>
            <w:r>
              <w:rPr>
                <w:rFonts w:eastAsia="Times New Roman"/>
                <w:szCs w:val="22"/>
              </w:rPr>
              <w:t xml:space="preserve"> Bieten Sie die Unterlagen weiterhin den Kompetenzzentren an. Oftmals zeigt sich eine Einrichtung erst dann offen, wenn die Unterlagen vollständig und unwiderlegbar sind. Es kommt darauf an, dranzubleiben und alles zu dokumentieren.</w:t>
            </w:r>
          </w:p>
        </w:tc>
      </w:tr>
    </w:tbl>
    <w:p w14:paraId="5266F841" w14:textId="77777777" w:rsidR="00FA4EDF" w:rsidRDefault="00FA4EDF">
      <w:pPr>
        <w:pStyle w:val="noot"/>
        <w:spacing w:after="120" w:afterAutospacing="0"/>
        <w:divId w:val="982394320"/>
        <w:rPr>
          <w:lang w:val="de-DE"/>
        </w:rPr>
      </w:pPr>
      <w:r>
        <w:rPr>
          <w:lang w:val="de-DE"/>
        </w:rPr>
        <w:t>Alle in diesem Kapitel genannten Organisationen sind juristische Personen. Natürliche Personen werden mit ihrer Funktion bezeichnet. Die Sachverhalte basieren auf Dokument B. Die Rolle und das Mandat von UNIA stützen sich auf das belgische Antidiskriminierungsgesetz (Gesetz vom 10. Mai 2007). Die zitierten Urteile sind C-279/93 (Schumacker), C-134/18 (Vester) und C-385/17 (Hendrix). Dieses Kapitel stellt keine Rechtsberatung dar.</w:t>
      </w:r>
    </w:p>
    <w:p w14:paraId="2139DE98" w14:textId="77777777" w:rsidR="00FA4EDF" w:rsidRDefault="00FA4EDF">
      <w:pPr>
        <w:pStyle w:val="marker"/>
        <w:ind w:left="800" w:right="800"/>
        <w:divId w:val="982394320"/>
        <w:rPr>
          <w:lang w:val="de-DE"/>
        </w:rPr>
      </w:pPr>
      <w:r>
        <w:br w:type="page"/>
      </w:r>
    </w:p>
    <w:p w14:paraId="0EC46EC3" w14:textId="77777777" w:rsidR="00FA4EDF" w:rsidRDefault="00FA4EDF">
      <w:pPr>
        <w:pStyle w:val="Kop1"/>
        <w:divId w:val="982394320"/>
        <w:rPr>
          <w:rFonts w:eastAsia="Times New Roman"/>
          <w:lang w:val="de-DE"/>
        </w:rPr>
      </w:pPr>
      <w:bookmarkStart w:id="151" w:name="_Toc242103187"/>
      <w:r>
        <w:rPr>
          <w:rFonts w:eastAsia="Times New Roman"/>
          <w:lang w:val="de-DE"/>
        </w:rPr>
        <w:t>VII. Schluss</w:t>
      </w:r>
      <w:bookmarkEnd w:id="151"/>
    </w:p>
    <w:p w14:paraId="20D9E29E" w14:textId="77777777" w:rsidR="00FA4EDF" w:rsidRDefault="00FA4EDF">
      <w:pPr>
        <w:pStyle w:val="Kop2"/>
        <w:divId w:val="982394320"/>
        <w:rPr>
          <w:rFonts w:eastAsia="Times New Roman"/>
          <w:lang w:val="de-DE"/>
        </w:rPr>
      </w:pPr>
      <w:bookmarkStart w:id="152" w:name="_Toc242103188"/>
      <w:r>
        <w:rPr>
          <w:rFonts w:eastAsia="Times New Roman"/>
          <w:lang w:val="de-DE"/>
        </w:rPr>
        <w:t>Schluss – die gesamte Pyramide</w:t>
      </w:r>
      <w:bookmarkEnd w:id="152"/>
    </w:p>
    <w:p w14:paraId="61D78E94" w14:textId="77777777" w:rsidR="00FA4EDF" w:rsidRDefault="00FA4EDF">
      <w:pPr>
        <w:pStyle w:val="lead"/>
        <w:divId w:val="982394320"/>
        <w:rPr>
          <w:lang w:val="de-DE"/>
        </w:rPr>
      </w:pPr>
      <w:r>
        <w:rPr>
          <w:lang w:val="de-DE"/>
        </w:rPr>
        <w:t>Fünf Ebenen. Dreiundzwanzig Kapitel. Ein Kern in der Mitte. Das ist das gesamte Spielfeld des System-Audits auf einen Blick.</w:t>
      </w:r>
    </w:p>
    <w:p w14:paraId="2585B309" w14:textId="77777777" w:rsidR="00FA4EDF" w:rsidRDefault="00FA4EDF">
      <w:pPr>
        <w:pStyle w:val="Kop3"/>
        <w:divId w:val="982394320"/>
        <w:rPr>
          <w:rFonts w:eastAsia="Times New Roman"/>
          <w:lang w:val="de-DE"/>
        </w:rPr>
      </w:pPr>
      <w:bookmarkStart w:id="153" w:name="_Toc242103189"/>
      <w:r>
        <w:rPr>
          <w:rFonts w:eastAsia="Times New Roman"/>
          <w:lang w:val="de-DE"/>
        </w:rPr>
        <w:t>Die Pyramide</w:t>
      </w:r>
      <w:bookmarkEnd w:id="153"/>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4EED019E"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15322FFF" w14:textId="77777777" w:rsidR="00FA4EDF" w:rsidRDefault="00FA4EDF">
            <w:pPr>
              <w:pStyle w:val="Normaalweb"/>
              <w:spacing w:before="120"/>
              <w:jc w:val="center"/>
              <w:rPr>
                <w:sz w:val="21"/>
                <w:szCs w:val="21"/>
              </w:rPr>
            </w:pPr>
            <w:r>
              <w:rPr>
                <w:noProof/>
                <w:sz w:val="21"/>
                <w:szCs w:val="21"/>
              </w:rPr>
              <w:drawing>
                <wp:inline distT="0" distB="0" distL="0" distR="0" wp14:anchorId="054BC91A" wp14:editId="78235064">
                  <wp:extent cx="3816350" cy="2444750"/>
                  <wp:effectExtent l="0" t="0" r="0" b="0"/>
                  <wp:docPr id="89" name="Afbeelding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816350" cy="2444750"/>
                          </a:xfrm>
                          <a:prstGeom prst="rect">
                            <a:avLst/>
                          </a:prstGeom>
                          <a:noFill/>
                          <a:ln>
                            <a:noFill/>
                          </a:ln>
                        </pic:spPr>
                      </pic:pic>
                    </a:graphicData>
                  </a:graphic>
                </wp:inline>
              </w:drawing>
            </w:r>
          </w:p>
          <w:p w14:paraId="4168074E" w14:textId="77777777" w:rsidR="00FA4EDF" w:rsidRDefault="00FA4EDF">
            <w:pPr>
              <w:pStyle w:val="caption"/>
              <w:spacing w:after="120" w:afterAutospacing="0"/>
            </w:pPr>
            <w:r>
              <w:rPr>
                <w:rStyle w:val="Zwaar"/>
              </w:rPr>
              <w:t>Abbildung XXIII.1 – Die vollständige Pyramide.</w:t>
            </w:r>
            <w:r>
              <w:t xml:space="preserve"> Fünf Ebenen. Ganz oben Europa und die internationale Ebene, dann die Symbolik, dann die Politik, dann die Aufsicht und die Rechtsprechung und an der Basis die Umsetzung und der private Markt. Ganz unten der Körper, die Familie, für die letztendlich alles geschieht.</w:t>
            </w:r>
          </w:p>
        </w:tc>
      </w:tr>
    </w:tbl>
    <w:p w14:paraId="7563F2C5" w14:textId="77777777" w:rsidR="00FA4EDF" w:rsidRDefault="00FA4EDF">
      <w:pPr>
        <w:pStyle w:val="Kop3"/>
        <w:divId w:val="982394320"/>
        <w:rPr>
          <w:rFonts w:eastAsia="Times New Roman"/>
          <w:lang w:val="de-DE"/>
        </w:rPr>
      </w:pPr>
      <w:bookmarkStart w:id="154" w:name="_Toc242103190"/>
      <w:r>
        <w:rPr>
          <w:rFonts w:eastAsia="Times New Roman"/>
          <w:lang w:val="de-DE"/>
        </w:rPr>
        <w:t>Was dieser Fall gezeigt hat</w:t>
      </w:r>
      <w:bookmarkEnd w:id="154"/>
    </w:p>
    <w:p w14:paraId="166570BF" w14:textId="77777777" w:rsidR="00FA4EDF" w:rsidRDefault="00FA4EDF">
      <w:pPr>
        <w:pStyle w:val="Normaalweb"/>
        <w:divId w:val="982394320"/>
        <w:rPr>
          <w:lang w:val="de-DE"/>
        </w:rPr>
      </w:pPr>
      <w:r>
        <w:rPr>
          <w:lang w:val="de-DE"/>
        </w:rPr>
        <w:t>Fünf Ebenen, jede mit ihrer eigenen Logik, jede mit ihrem eigenen Auftrag, jede mit ihren eigenen Einschränkungen. Was die Akte gezeigt hat, ist nicht, dass eine einzelne Ebene versagt, sondern dass die Ebenen gemeinsam auf eine Weise versagen, die niemand beheben kann.</w:t>
      </w:r>
    </w:p>
    <w:p w14:paraId="4CA3088E"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Die Umsetzung</w:t>
      </w:r>
      <w:r>
        <w:rPr>
          <w:rFonts w:eastAsia="Times New Roman"/>
          <w:lang w:val="de-DE"/>
        </w:rPr>
        <w:t xml:space="preserve"> hält sich an die Vorschriften, doch diese sind nicht für Menschen gedacht, die in zwei Ländern gleichzeitig leben.</w:t>
      </w:r>
    </w:p>
    <w:p w14:paraId="258C2021"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Die Aufsichtsbehörde</w:t>
      </w:r>
      <w:r>
        <w:rPr>
          <w:rFonts w:eastAsia="Times New Roman"/>
          <w:lang w:val="de-DE"/>
        </w:rPr>
        <w:t xml:space="preserve"> erkennt den Fehler, erklärt sich jedoch für unzuständig oder wartet auf eine andere Stelle.</w:t>
      </w:r>
    </w:p>
    <w:p w14:paraId="0BB96516"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Die Rechtsprechung</w:t>
      </w:r>
      <w:r>
        <w:rPr>
          <w:rFonts w:eastAsia="Times New Roman"/>
          <w:lang w:val="de-DE"/>
        </w:rPr>
        <w:t xml:space="preserve"> kann zwar zwingen, doch der Zugang ist durch die Kosten und das Bezugsjahr eingeschränkt.</w:t>
      </w:r>
    </w:p>
    <w:p w14:paraId="6267C153"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Die Politik</w:t>
      </w:r>
      <w:r>
        <w:rPr>
          <w:rFonts w:eastAsia="Times New Roman"/>
          <w:lang w:val="de-DE"/>
        </w:rPr>
        <w:t xml:space="preserve"> kann das Gesetz ändern, reagiert jedoch nur auf Systemfehler – nicht auf einzelne Beschwerden.</w:t>
      </w:r>
    </w:p>
    <w:p w14:paraId="4170802B"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Die Symbolik</w:t>
      </w:r>
      <w:r>
        <w:rPr>
          <w:rFonts w:eastAsia="Times New Roman"/>
          <w:lang w:val="de-DE"/>
        </w:rPr>
        <w:t xml:space="preserve"> hat zwar keine Macht, aber einen informellen Kanal, über den sie die politische Ebene erreichen kann.</w:t>
      </w:r>
    </w:p>
    <w:p w14:paraId="13F1C47F" w14:textId="77777777" w:rsidR="00FA4EDF" w:rsidRDefault="00FA4EDF">
      <w:pPr>
        <w:numPr>
          <w:ilvl w:val="0"/>
          <w:numId w:val="30"/>
        </w:numPr>
        <w:spacing w:before="100" w:beforeAutospacing="1" w:after="100" w:afterAutospacing="1"/>
        <w:divId w:val="982394320"/>
        <w:rPr>
          <w:rFonts w:eastAsia="Times New Roman"/>
          <w:lang w:val="de-DE"/>
        </w:rPr>
      </w:pPr>
      <w:r>
        <w:rPr>
          <w:rStyle w:val="Zwaar"/>
          <w:rFonts w:eastAsia="Times New Roman"/>
          <w:lang w:val="de-DE"/>
        </w:rPr>
        <w:t>Europa</w:t>
      </w:r>
      <w:r>
        <w:rPr>
          <w:rFonts w:eastAsia="Times New Roman"/>
          <w:lang w:val="de-DE"/>
        </w:rPr>
        <w:t xml:space="preserve"> koordiniert, harmonisiert aber nicht. Jedes Land behält sein eigenes System bei.</w:t>
      </w:r>
    </w:p>
    <w:p w14:paraId="3D0BEB91" w14:textId="77777777" w:rsidR="00FA4EDF" w:rsidRDefault="00FA4EDF">
      <w:pPr>
        <w:pStyle w:val="Normaalweb"/>
        <w:divId w:val="982394320"/>
        <w:rPr>
          <w:lang w:val="de-DE"/>
        </w:rPr>
      </w:pPr>
      <w:r>
        <w:rPr>
          <w:lang w:val="de-DE"/>
        </w:rPr>
        <w:t>Was übrig bleibt, ist der Körper. Ein Körper, der durch alle Ebenen hindurch betrachtet, beschrieben und bewertet wurde. Und der nirgendwo vollständig als ein Ganzes anerkannt wird. Der Mensch übernimmt selbst die Rolle eines Datenknotens, eines Datenträgers, eines Verbindungskabels zwischen zwei Systemen, die sich gegenseitig nicht lesen können. Und wenn er diese Rolle nicht mehr erfüllen kann, bricht das System zusammen.</w:t>
      </w:r>
    </w:p>
    <w:p w14:paraId="0D58F2B2" w14:textId="77777777" w:rsidR="00FA4EDF" w:rsidRDefault="00FA4EDF">
      <w:pPr>
        <w:pStyle w:val="Kop3"/>
        <w:divId w:val="982394320"/>
        <w:rPr>
          <w:rFonts w:eastAsia="Times New Roman"/>
          <w:lang w:val="de-DE"/>
        </w:rPr>
      </w:pPr>
      <w:bookmarkStart w:id="155" w:name="_Toc242103191"/>
      <w:r>
        <w:rPr>
          <w:rFonts w:eastAsia="Times New Roman"/>
          <w:lang w:val="de-DE"/>
        </w:rPr>
        <w:t>Die Brücke zu Dokument D</w:t>
      </w:r>
      <w:bookmarkEnd w:id="155"/>
    </w:p>
    <w:p w14:paraId="2863420D" w14:textId="77777777" w:rsidR="00FA4EDF" w:rsidRDefault="00FA4EDF">
      <w:pPr>
        <w:pStyle w:val="Normaalweb"/>
        <w:divId w:val="982394320"/>
        <w:rPr>
          <w:lang w:val="de-DE"/>
        </w:rPr>
      </w:pPr>
      <w:r>
        <w:rPr>
          <w:lang w:val="de-DE"/>
        </w:rPr>
        <w:t>Dokument C hat das Spielfeld und die Mechanismen aufgezeigt. Dokument D zieht die Schlussfolgerungen. Drei Bausteine für eine Reform, basierend auf der Erkenntnis, dass der Fehler nicht beim einzelnen Beamten liegt, sondern in der Architektur der Koordination selbst.</w:t>
      </w:r>
    </w:p>
    <w:p w14:paraId="02E9A6B9" w14:textId="77777777" w:rsidR="00FA4EDF" w:rsidRDefault="00FA4EDF">
      <w:pPr>
        <w:pStyle w:val="Normaalweb"/>
        <w:divId w:val="982394320"/>
        <w:rPr>
          <w:lang w:val="de-DE"/>
        </w:rPr>
      </w:pPr>
      <w:r>
        <w:rPr>
          <w:lang w:val="de-DE"/>
        </w:rPr>
        <w:t>In Dokument C wird die Struktur des Problems sichtbar. In Dokument D wird die Struktur der Lösung ausgearbeitet. Nicht, weil eine einzige Maßnahme alle Probleme löst, sondern weil die Architektur an drei Stellen angepasst werden kann, an denen es derzeit ins Stocken gerät.</w:t>
      </w:r>
    </w:p>
    <w:p w14:paraId="58ADAAF2" w14:textId="77777777" w:rsidR="00FA4EDF" w:rsidRDefault="00FA4EDF">
      <w:pPr>
        <w:pStyle w:val="noot"/>
        <w:spacing w:after="120" w:afterAutospacing="0"/>
        <w:divId w:val="982394320"/>
        <w:rPr>
          <w:lang w:val="de-DE"/>
        </w:rPr>
      </w:pPr>
      <w:r>
        <w:rPr>
          <w:lang w:val="de-DE"/>
        </w:rPr>
        <w:t>Dies ist der Schluss von Dokument C. Alle Organisationen in diesem Dokument sind juristische Personen. Natürliche Personen werden mit ihrer Funktion oder ihrem Symbol (</w:t>
      </w:r>
      <w:r>
        <w:rPr>
          <w:rFonts w:ascii="Segoe UI Symbol" w:hAnsi="Segoe UI Symbol" w:cs="Segoe UI Symbol"/>
          <w:lang w:val="de-DE"/>
        </w:rPr>
        <w:t>♂</w:t>
      </w:r>
      <w:r>
        <w:rPr>
          <w:lang w:val="de-DE"/>
        </w:rPr>
        <w:t xml:space="preserve">, </w:t>
      </w:r>
      <w:r>
        <w:rPr>
          <w:rFonts w:ascii="Segoe UI Symbol" w:hAnsi="Segoe UI Symbol" w:cs="Segoe UI Symbol"/>
          <w:lang w:val="de-DE"/>
        </w:rPr>
        <w:t>♀</w:t>
      </w:r>
      <w:r>
        <w:rPr>
          <w:lang w:val="de-DE"/>
        </w:rPr>
        <w:t>) bezeichnet. Dokument C ist das visuelle Pendant zu Dokument B (Datenmatrix) und Dokument A (narratives Audit). Die Schlussfolgerungen und Bausteine sind in Dokument D (Zusammenfassung) enthalten.</w:t>
      </w:r>
    </w:p>
    <w:p w14:paraId="302AF3EB" w14:textId="77777777" w:rsidR="00FA4EDF" w:rsidRDefault="00FA4EDF">
      <w:pPr>
        <w:pStyle w:val="marker"/>
        <w:ind w:left="800" w:right="800"/>
        <w:divId w:val="982394320"/>
        <w:rPr>
          <w:lang w:val="de-DE"/>
        </w:rPr>
      </w:pPr>
      <w:r>
        <w:br w:type="page"/>
      </w:r>
    </w:p>
    <w:p w14:paraId="76DD8D3D" w14:textId="77777777" w:rsidR="00FA4EDF" w:rsidRDefault="00FA4EDF">
      <w:pPr>
        <w:pStyle w:val="Kop2"/>
        <w:divId w:val="982394320"/>
        <w:rPr>
          <w:rFonts w:eastAsia="Times New Roman"/>
          <w:lang w:val="de-DE"/>
        </w:rPr>
      </w:pPr>
      <w:bookmarkStart w:id="156" w:name="_Toc242103192"/>
      <w:r>
        <w:rPr>
          <w:rFonts w:eastAsia="Times New Roman"/>
          <w:lang w:val="de-DE"/>
        </w:rPr>
        <w:t>Das gesamte Netzwerk</w:t>
      </w:r>
      <w:bookmarkEnd w:id="156"/>
    </w:p>
    <w:p w14:paraId="2C8046BC" w14:textId="77777777" w:rsidR="00FA4EDF" w:rsidRDefault="00FA4EDF">
      <w:pPr>
        <w:pStyle w:val="lead"/>
        <w:divId w:val="982394320"/>
        <w:rPr>
          <w:lang w:val="de-DE"/>
        </w:rPr>
      </w:pPr>
      <w:r>
        <w:rPr>
          <w:lang w:val="de-DE"/>
        </w:rPr>
        <w:t>In allen bisherigen Kapiteln wurde jeweils ein Mechanismus, eine Instanz oder ein Muster vorgestellt. Dieses Kapitel zeigt alles gleichzeitig. Dieselben Knotenpunkte, dieselben Kanäle, dieselben Farben – aber nun in einem einzigen Bild, ohne bestimmte Reihenfolge, so wie es die Familie erlebt.</w:t>
      </w:r>
    </w:p>
    <w:p w14:paraId="50267196" w14:textId="77777777" w:rsidR="00FA4EDF" w:rsidRDefault="00FA4EDF">
      <w:pPr>
        <w:pStyle w:val="Kop3"/>
        <w:divId w:val="982394320"/>
        <w:rPr>
          <w:rFonts w:eastAsia="Times New Roman"/>
          <w:lang w:val="de-DE"/>
        </w:rPr>
      </w:pPr>
      <w:bookmarkStart w:id="157" w:name="_Toc242103193"/>
      <w:r>
        <w:rPr>
          <w:rFonts w:eastAsia="Times New Roman"/>
          <w:lang w:val="de-DE"/>
        </w:rPr>
        <w:t>Was die Familie sieht</w:t>
      </w:r>
      <w:bookmarkEnd w:id="157"/>
    </w:p>
    <w:p w14:paraId="6DE078C8" w14:textId="77777777" w:rsidR="00FA4EDF" w:rsidRDefault="00FA4EDF">
      <w:pPr>
        <w:pStyle w:val="Normaalweb"/>
        <w:divId w:val="982394320"/>
        <w:rPr>
          <w:lang w:val="de-DE"/>
        </w:rPr>
      </w:pPr>
      <w:r>
        <w:rPr>
          <w:lang w:val="de-DE"/>
        </w:rPr>
        <w:t>Der Leser, der bis hierher gekommen ist, hat jeden einzelnen Bestandteil kennengelernt. Jede Instanz hatte ein eigenes Kapitel. Jeder Mechanismus hatte eine eigene Darstellung. Jede Farbe hatte eine eigene Bedeutung. Aber die Familie, die sich in dieser Situation befindet, kennt diese Ordnung nicht. Die Familie sieht nur das Ganze. Und dieses Ganze ist ein Wirrwarr.</w:t>
      </w:r>
    </w:p>
    <w:p w14:paraId="57868312" w14:textId="77777777" w:rsidR="00FA4EDF" w:rsidRDefault="00FA4EDF">
      <w:pPr>
        <w:pStyle w:val="Normaalweb"/>
        <w:divId w:val="982394320"/>
        <w:rPr>
          <w:lang w:val="de-DE"/>
        </w:rPr>
      </w:pPr>
      <w:r>
        <w:rPr>
          <w:lang w:val="de-DE"/>
        </w:rPr>
        <w:t>Das ist das Ganze.</w:t>
      </w:r>
    </w:p>
    <w:tbl>
      <w:tblPr>
        <w:tblW w:w="5000" w:type="pct"/>
        <w:tblCellMar>
          <w:top w:w="15" w:type="dxa"/>
          <w:left w:w="15" w:type="dxa"/>
          <w:bottom w:w="15" w:type="dxa"/>
          <w:right w:w="15" w:type="dxa"/>
        </w:tblCellMar>
        <w:tblLook w:val="04A0" w:firstRow="1" w:lastRow="0" w:firstColumn="1" w:lastColumn="0" w:noHBand="0" w:noVBand="1"/>
      </w:tblPr>
      <w:tblGrid>
        <w:gridCol w:w="9052"/>
      </w:tblGrid>
      <w:tr w:rsidR="00000000" w14:paraId="71BAB47A" w14:textId="77777777">
        <w:trPr>
          <w:divId w:val="982394320"/>
        </w:trPr>
        <w:tc>
          <w:tcPr>
            <w:tcW w:w="0" w:type="auto"/>
            <w:tcBorders>
              <w:top w:val="single" w:sz="8" w:space="0" w:color="D8D4CB"/>
              <w:left w:val="single" w:sz="8" w:space="0" w:color="D8D4CB"/>
              <w:bottom w:val="single" w:sz="8" w:space="0" w:color="D8D4CB"/>
              <w:right w:val="single" w:sz="8" w:space="0" w:color="D8D4CB"/>
            </w:tcBorders>
            <w:shd w:val="clear" w:color="auto" w:fill="FFFFFF"/>
            <w:tcMar>
              <w:top w:w="200" w:type="dxa"/>
              <w:left w:w="200" w:type="dxa"/>
              <w:bottom w:w="200" w:type="dxa"/>
              <w:right w:w="200" w:type="dxa"/>
            </w:tcMar>
            <w:hideMark/>
          </w:tcPr>
          <w:p w14:paraId="5E5F3177" w14:textId="77777777" w:rsidR="00FA4EDF" w:rsidRDefault="00FA4EDF">
            <w:pPr>
              <w:pStyle w:val="Normaalweb"/>
              <w:spacing w:before="120"/>
              <w:jc w:val="center"/>
              <w:rPr>
                <w:sz w:val="21"/>
                <w:szCs w:val="21"/>
              </w:rPr>
            </w:pPr>
            <w:r>
              <w:rPr>
                <w:noProof/>
                <w:sz w:val="21"/>
                <w:szCs w:val="21"/>
              </w:rPr>
              <w:drawing>
                <wp:inline distT="0" distB="0" distL="0" distR="0" wp14:anchorId="796B325F" wp14:editId="12F26542">
                  <wp:extent cx="3803650" cy="3175000"/>
                  <wp:effectExtent l="0" t="0" r="6350" b="6350"/>
                  <wp:docPr id="90" name="Afbeelding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03650" cy="3175000"/>
                          </a:xfrm>
                          <a:prstGeom prst="rect">
                            <a:avLst/>
                          </a:prstGeom>
                          <a:noFill/>
                          <a:ln>
                            <a:noFill/>
                          </a:ln>
                        </pic:spPr>
                      </pic:pic>
                    </a:graphicData>
                  </a:graphic>
                </wp:inline>
              </w:drawing>
            </w:r>
          </w:p>
          <w:p w14:paraId="04F9799A" w14:textId="77777777" w:rsidR="00FA4EDF" w:rsidRDefault="00FA4EDF">
            <w:pPr>
              <w:pStyle w:val="caption"/>
              <w:spacing w:after="120" w:afterAutospacing="0"/>
            </w:pPr>
            <w:r>
              <w:rPr>
                <w:rStyle w:val="Zwaar"/>
              </w:rPr>
              <w:t>Abbildung XXIV.1 – Das gesamte Netzwerk.</w:t>
            </w:r>
            <w:r>
              <w:t xml:space="preserve"> </w:t>
            </w:r>
            <w:r>
              <w:t>Was die Familie sieht, wenn sie versucht, sich zurechtzufinden. Zwei Welten, jede mit ihren eigenen Organisationen. Eine Familie in der Mitte. Und 127 Verbindungen, von denen der größte Teil blockiert ist. In den vorangegangenen Kapiteln konnte jeder Teil für sich betrachtet werden. Hier ist das Ganze – ohne Ordnung, ohne Hierarchie, ohne Ruhe.</w:t>
            </w:r>
          </w:p>
        </w:tc>
      </w:tr>
    </w:tbl>
    <w:p w14:paraId="22AA9A9E" w14:textId="77777777" w:rsidR="00FA4EDF" w:rsidRDefault="00FA4EDF">
      <w:pPr>
        <w:pStyle w:val="Kop3"/>
        <w:divId w:val="982394320"/>
        <w:rPr>
          <w:rFonts w:eastAsia="Times New Roman"/>
          <w:lang w:val="de-DE"/>
        </w:rPr>
      </w:pPr>
      <w:bookmarkStart w:id="158" w:name="_Toc242103194"/>
      <w:r>
        <w:rPr>
          <w:rFonts w:eastAsia="Times New Roman"/>
          <w:lang w:val="de-DE"/>
        </w:rPr>
        <w:t>Was dieses Schema bewirkt</w:t>
      </w:r>
      <w:bookmarkEnd w:id="158"/>
    </w:p>
    <w:p w14:paraId="05FA6144" w14:textId="77777777" w:rsidR="00FA4EDF" w:rsidRDefault="00FA4EDF">
      <w:pPr>
        <w:pStyle w:val="Normaalweb"/>
        <w:divId w:val="982394320"/>
        <w:rPr>
          <w:lang w:val="de-DE"/>
        </w:rPr>
      </w:pPr>
      <w:r>
        <w:rPr>
          <w:lang w:val="de-DE"/>
        </w:rPr>
        <w:t>Alle vorangegangenen Kapitel waren strukturiert. Jedes hatte einen Titel, einen Rahmen und ein klar abgegrenztes Thema. Wer diese Kapitel liest, gewinnt den Eindruck, dass das System nachvollziehbar ist, dass jeder Teil eine eigene Funktion hat und dass das Chaos nur scheinbar ist.</w:t>
      </w:r>
    </w:p>
    <w:p w14:paraId="71721437" w14:textId="77777777" w:rsidR="00FA4EDF" w:rsidRDefault="00FA4EDF">
      <w:pPr>
        <w:pStyle w:val="Normaalweb"/>
        <w:divId w:val="982394320"/>
        <w:rPr>
          <w:lang w:val="de-DE"/>
        </w:rPr>
      </w:pPr>
      <w:r>
        <w:rPr>
          <w:lang w:val="de-DE"/>
        </w:rPr>
        <w:t>Dieses Schema widerlegt diesen Eindruck. Hier gibt es keine Ordnung. Hier gibt es keinen Titel pro Knotenpunkt. Hier gibt es nur das Ganze: 54 Organisationen, eine Familie, 127 Verbindungen, von denen 96 blockiert sind. Und in der Mitte ein Körper, der sich behaupten muss.</w:t>
      </w:r>
    </w:p>
    <w:p w14:paraId="407E69C2" w14:textId="77777777" w:rsidR="00FA4EDF" w:rsidRDefault="00FA4EDF">
      <w:pPr>
        <w:pStyle w:val="Normaalweb"/>
        <w:divId w:val="982394320"/>
        <w:rPr>
          <w:lang w:val="de-DE"/>
        </w:rPr>
      </w:pPr>
      <w:r>
        <w:rPr>
          <w:lang w:val="de-DE"/>
        </w:rPr>
        <w:t xml:space="preserve">Der Leser, der die vorangegangenen 23 Kapitel durchgearbeitet hat, wusste, worauf er achten musste. Er konnte den Zusammenhängen folgen, die Kanäle erkennen und die Farben deuten. Aber die Familie, die sich in dieser Situation befindet, verfügt nicht über diese Struktur. Sie erkennt nicht, dass Vitaz zum Gesundheitswesen und CM zum Finanzsektor gehört. Sie erkennt nicht, dass CZ eine Vertragspolice verwaltet und CAK das Register führt. Sie sieht nur: Es gibt Leute, die meine Akte bearbeiten müssen, und sie </w:t>
      </w:r>
      <w:r>
        <w:rPr>
          <w:lang w:val="de-DE"/>
        </w:rPr>
        <w:t>tun es nicht.</w:t>
      </w:r>
    </w:p>
    <w:p w14:paraId="4CAC00FB" w14:textId="77777777" w:rsidR="00FA4EDF" w:rsidRDefault="00FA4EDF">
      <w:pPr>
        <w:pStyle w:val="Normaalweb"/>
        <w:divId w:val="982394320"/>
        <w:rPr>
          <w:lang w:val="de-DE"/>
        </w:rPr>
      </w:pPr>
      <w:r>
        <w:rPr>
          <w:lang w:val="de-DE"/>
        </w:rPr>
        <w:t>Genau das zeigt dieses Schema. Nicht das Versagen einer einzelnen Instanz. Nicht das Versagen eines einzelnen Mechanismus. Sondern das Versagen des Ganzen – ein Netzwerk, das so komplex ist, dass es für einen einfachen Menschen unmöglich ist, sich darin zurechtzufinden, und so starr, dass es für einen einfachen Menschen unmöglich ist, etwas daran zu ändern.</w:t>
      </w:r>
    </w:p>
    <w:p w14:paraId="7DAE7E4A" w14:textId="77777777" w:rsidR="00FA4EDF" w:rsidRDefault="00FA4EDF">
      <w:pPr>
        <w:pStyle w:val="Kop3"/>
        <w:divId w:val="982394320"/>
        <w:rPr>
          <w:rFonts w:eastAsia="Times New Roman"/>
          <w:lang w:val="de-DE"/>
        </w:rPr>
      </w:pPr>
      <w:bookmarkStart w:id="159" w:name="_Toc242103195"/>
      <w:r>
        <w:rPr>
          <w:rFonts w:eastAsia="Times New Roman"/>
          <w:lang w:val="de-DE"/>
        </w:rPr>
        <w:t>Was nicht darin steht</w:t>
      </w:r>
      <w:bookmarkEnd w:id="159"/>
    </w:p>
    <w:p w14:paraId="2A2FC64F" w14:textId="77777777" w:rsidR="00FA4EDF" w:rsidRDefault="00FA4EDF">
      <w:pPr>
        <w:pStyle w:val="Normaalweb"/>
        <w:divId w:val="982394320"/>
        <w:rPr>
          <w:lang w:val="de-DE"/>
        </w:rPr>
      </w:pPr>
      <w:r>
        <w:rPr>
          <w:lang w:val="de-DE"/>
        </w:rPr>
        <w:t>Die 127 Verbindungen, die in diesem Schema dargestellt sind, sind die wichtigsten. In Wirklichkeit gibt es noch mehr. Jeder Brief, der an eine Behörde geschickt wird, jeder Zugriff eines Beamten auf ein System, jeder getätigte Anruf – all das sind Verbindungen, die in diesem Schema nicht aufgeführt sind.</w:t>
      </w:r>
    </w:p>
    <w:p w14:paraId="05D78E0F" w14:textId="77777777" w:rsidR="00FA4EDF" w:rsidRDefault="00FA4EDF">
      <w:pPr>
        <w:pStyle w:val="Normaalweb"/>
        <w:divId w:val="982394320"/>
        <w:rPr>
          <w:lang w:val="de-DE"/>
        </w:rPr>
      </w:pPr>
      <w:r>
        <w:rPr>
          <w:lang w:val="de-DE"/>
        </w:rPr>
        <w:t>Und die 96 blockierten Verbindungen, die hier sichtbar sind, sind nur die blockierten Verbindungen zwischen der Familie und den Organisationen. In Wirklichkeit gibt es auch blockierte Verbindungen zwischen den Organisationen untereinander. Zwischen CM und UWV. Zwischen CZ und CAK. Zwischen FOD SZ und FÖD Finanzen. Jede blockierte Verbindung zwischen Organisationen ist eine zusätzliche Hürde, die die Familie überwinden muss.</w:t>
      </w:r>
    </w:p>
    <w:p w14:paraId="39718242" w14:textId="77777777" w:rsidR="00FA4EDF" w:rsidRDefault="00FA4EDF">
      <w:pPr>
        <w:pStyle w:val="Normaalweb"/>
        <w:divId w:val="982394320"/>
        <w:rPr>
          <w:lang w:val="de-DE"/>
        </w:rPr>
      </w:pPr>
      <w:r>
        <w:rPr>
          <w:lang w:val="de-DE"/>
        </w:rPr>
        <w:t>Was dieses Schema zeigt, ist nicht das gesamte Netzwerk. Es handelt sich um eine Darstellung des gesamten Netzwerks. Würden alle Verbindungen eingezeichnet, wäre das Schema unübersichtlich. Und genau darum geht es.</w:t>
      </w:r>
    </w:p>
    <w:p w14:paraId="529EE947" w14:textId="77777777" w:rsidR="00FA4EDF" w:rsidRDefault="00FA4EDF">
      <w:pPr>
        <w:pStyle w:val="noot"/>
        <w:spacing w:after="120" w:afterAutospacing="0"/>
        <w:divId w:val="982394320"/>
        <w:rPr>
          <w:lang w:val="de-DE"/>
        </w:rPr>
      </w:pPr>
      <w:r>
        <w:rPr>
          <w:lang w:val="de-DE"/>
        </w:rPr>
        <w:t>Alle Organisationen in diesem Kapitel sind juristische Personen. Natürliche Personen werden mit ihrer Funktion oder ihrem Symbol bezeichnet. Die Organisationen basieren auf Dokument B. Die Verbindungen basieren auf der tatsächlichen Korrespondenz in Dokument B, die, soweit relevant, zusammengefasst wurde. Die Zahlen (54 Organisationen, 127 Verbindungen) sind Richtwerte; die tatsächliche Anzahl ist höher. Dieses Kapitel stellt keine Rechtsberatung dar.</w:t>
      </w:r>
    </w:p>
    <w:sectPr w:rsidR="00000000" w:rsidSect="00FA4EDF">
      <w:headerReference w:type="even" r:id="rId102"/>
      <w:headerReference w:type="default" r:id="rId103"/>
      <w:footerReference w:type="even" r:id="rId104"/>
      <w:footerReference w:type="default" r:id="rId105"/>
      <w:headerReference w:type="first" r:id="rId106"/>
      <w:footerReference w:type="first" r:id="rId107"/>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65A84" w14:textId="77777777" w:rsidR="00FA4EDF" w:rsidRDefault="00FA4EDF" w:rsidP="00FA4EDF">
      <w:pPr>
        <w:spacing w:after="0"/>
      </w:pPr>
      <w:r>
        <w:separator/>
      </w:r>
    </w:p>
  </w:endnote>
  <w:endnote w:type="continuationSeparator" w:id="0">
    <w:p w14:paraId="7CD76E7D" w14:textId="77777777" w:rsidR="00FA4EDF" w:rsidRDefault="00FA4EDF" w:rsidP="00FA4ED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25FC3" w14:textId="77777777" w:rsidR="00FA4EDF" w:rsidRDefault="00FA4E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D94E3" w14:textId="0BEC2055" w:rsidR="00FA4EDF" w:rsidRPr="00FA4EDF" w:rsidRDefault="00FA4EDF" w:rsidP="00FA4EDF">
    <w:pPr>
      <w:pStyle w:val="Voettekst"/>
      <w:pBdr>
        <w:top w:val="single" w:sz="4" w:space="0" w:color="C0C0C0"/>
      </w:pBdr>
      <w:jc w:val="center"/>
      <w:rPr>
        <w:color w:val="808080"/>
        <w:sz w:val="18"/>
      </w:rPr>
    </w:pPr>
    <w:r w:rsidRPr="00FA4EDF">
      <w:rPr>
        <w:color w:val="808080"/>
        <w:sz w:val="18"/>
      </w:rPr>
      <w:t xml:space="preserve">Pagina </w:t>
    </w:r>
    <w:r w:rsidRPr="00FA4EDF">
      <w:rPr>
        <w:color w:val="808080"/>
        <w:sz w:val="18"/>
      </w:rPr>
      <w:fldChar w:fldCharType="begin"/>
    </w:r>
    <w:r w:rsidRPr="00FA4EDF">
      <w:rPr>
        <w:color w:val="808080"/>
        <w:sz w:val="18"/>
      </w:rPr>
      <w:instrText xml:space="preserve"> PAGE  \* MERGEFORMAT </w:instrText>
    </w:r>
    <w:r w:rsidRPr="00FA4EDF">
      <w:rPr>
        <w:color w:val="808080"/>
        <w:sz w:val="18"/>
      </w:rPr>
      <w:fldChar w:fldCharType="separate"/>
    </w:r>
    <w:r w:rsidRPr="00FA4EDF">
      <w:rPr>
        <w:noProof/>
        <w:color w:val="808080"/>
        <w:sz w:val="18"/>
      </w:rPr>
      <w:t>1</w:t>
    </w:r>
    <w:r w:rsidRPr="00FA4EDF">
      <w:rPr>
        <w:color w:val="808080"/>
        <w:sz w:val="18"/>
      </w:rPr>
      <w:fldChar w:fldCharType="end"/>
    </w:r>
    <w:r w:rsidRPr="00FA4EDF">
      <w:rPr>
        <w:color w:val="808080"/>
        <w:sz w:val="18"/>
      </w:rPr>
      <w:t xml:space="preserve"> van </w:t>
    </w:r>
    <w:r w:rsidRPr="00FA4EDF">
      <w:rPr>
        <w:color w:val="808080"/>
        <w:sz w:val="18"/>
      </w:rPr>
      <w:fldChar w:fldCharType="begin"/>
    </w:r>
    <w:r w:rsidRPr="00FA4EDF">
      <w:rPr>
        <w:color w:val="808080"/>
        <w:sz w:val="18"/>
      </w:rPr>
      <w:instrText xml:space="preserve"> NUMPAGES  \* MERGEFORMAT </w:instrText>
    </w:r>
    <w:r w:rsidRPr="00FA4EDF">
      <w:rPr>
        <w:color w:val="808080"/>
        <w:sz w:val="18"/>
      </w:rPr>
      <w:fldChar w:fldCharType="separate"/>
    </w:r>
    <w:r w:rsidRPr="00FA4EDF">
      <w:rPr>
        <w:noProof/>
        <w:color w:val="808080"/>
        <w:sz w:val="18"/>
      </w:rPr>
      <w:t>2</w:t>
    </w:r>
    <w:r w:rsidRPr="00FA4EDF">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FFDF1" w14:textId="77777777" w:rsidR="00FA4EDF" w:rsidRDefault="00FA4E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EE708" w14:textId="77777777" w:rsidR="00FA4EDF" w:rsidRDefault="00FA4EDF" w:rsidP="00FA4EDF">
      <w:pPr>
        <w:spacing w:after="0"/>
      </w:pPr>
      <w:r>
        <w:separator/>
      </w:r>
    </w:p>
  </w:footnote>
  <w:footnote w:type="continuationSeparator" w:id="0">
    <w:p w14:paraId="5EADCE71" w14:textId="77777777" w:rsidR="00FA4EDF" w:rsidRDefault="00FA4EDF" w:rsidP="00FA4ED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A4681" w14:textId="77777777" w:rsidR="00FA4EDF" w:rsidRDefault="00FA4E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7E4E" w14:textId="188DF453" w:rsidR="00FA4EDF" w:rsidRPr="00FA4EDF" w:rsidRDefault="00FA4EDF" w:rsidP="00FA4EDF">
    <w:pPr>
      <w:pStyle w:val="Koptekst"/>
      <w:pBdr>
        <w:bottom w:val="single" w:sz="4" w:space="0" w:color="C0C0C0"/>
      </w:pBdr>
      <w:rPr>
        <w:color w:val="808080"/>
        <w:sz w:val="18"/>
      </w:rPr>
    </w:pPr>
    <w:r w:rsidRPr="00FA4EDF">
      <w:rPr>
        <w:color w:val="808080"/>
        <w:sz w:val="18"/>
      </w:rPr>
      <w:t>Eric Messa - Systeem-Audit</w:t>
    </w:r>
    <w:r w:rsidRPr="00FA4EDF">
      <w:rPr>
        <w:color w:val="808080"/>
        <w:sz w:val="18"/>
      </w:rPr>
      <w:tab/>
      <w:t>Document C — De visuele architectuur</w:t>
    </w:r>
    <w:r w:rsidRPr="00FA4EDF">
      <w:rPr>
        <w:color w:val="808080"/>
        <w:sz w:val="18"/>
      </w:rPr>
      <w:tab/>
      <w:t>Laatst gewijzigd: 5 oktober 2026, 14:11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5C07A" w14:textId="77777777" w:rsidR="00FA4EDF" w:rsidRDefault="00FA4ED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F2601"/>
    <w:multiLevelType w:val="multilevel"/>
    <w:tmpl w:val="44746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F126FE"/>
    <w:multiLevelType w:val="multilevel"/>
    <w:tmpl w:val="2938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45F9D"/>
    <w:multiLevelType w:val="multilevel"/>
    <w:tmpl w:val="C340E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F3623"/>
    <w:multiLevelType w:val="multilevel"/>
    <w:tmpl w:val="35FC59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055298"/>
    <w:multiLevelType w:val="multilevel"/>
    <w:tmpl w:val="BF802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3875B1"/>
    <w:multiLevelType w:val="multilevel"/>
    <w:tmpl w:val="D61EE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4B080E"/>
    <w:multiLevelType w:val="multilevel"/>
    <w:tmpl w:val="4850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D0CC6"/>
    <w:multiLevelType w:val="multilevel"/>
    <w:tmpl w:val="5F0C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D433A0"/>
    <w:multiLevelType w:val="multilevel"/>
    <w:tmpl w:val="7C425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F3239"/>
    <w:multiLevelType w:val="multilevel"/>
    <w:tmpl w:val="BF5C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F3065C"/>
    <w:multiLevelType w:val="multilevel"/>
    <w:tmpl w:val="2FAC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FC1A41"/>
    <w:multiLevelType w:val="multilevel"/>
    <w:tmpl w:val="B38C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BB5C76"/>
    <w:multiLevelType w:val="multilevel"/>
    <w:tmpl w:val="BD8A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96548"/>
    <w:multiLevelType w:val="multilevel"/>
    <w:tmpl w:val="8D2A2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A768DC"/>
    <w:multiLevelType w:val="multilevel"/>
    <w:tmpl w:val="01E29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3E0827"/>
    <w:multiLevelType w:val="multilevel"/>
    <w:tmpl w:val="C9B0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97922"/>
    <w:multiLevelType w:val="multilevel"/>
    <w:tmpl w:val="D36E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D32C5E"/>
    <w:multiLevelType w:val="multilevel"/>
    <w:tmpl w:val="9A3E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B56FEE"/>
    <w:multiLevelType w:val="multilevel"/>
    <w:tmpl w:val="9A12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541B3B"/>
    <w:multiLevelType w:val="multilevel"/>
    <w:tmpl w:val="A12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2A4A73"/>
    <w:multiLevelType w:val="multilevel"/>
    <w:tmpl w:val="C3C6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CA0488"/>
    <w:multiLevelType w:val="multilevel"/>
    <w:tmpl w:val="16702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634CBB"/>
    <w:multiLevelType w:val="multilevel"/>
    <w:tmpl w:val="E9CA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8D78FF"/>
    <w:multiLevelType w:val="multilevel"/>
    <w:tmpl w:val="1ED2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D71B9A"/>
    <w:multiLevelType w:val="multilevel"/>
    <w:tmpl w:val="0FDCB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996C18"/>
    <w:multiLevelType w:val="multilevel"/>
    <w:tmpl w:val="6084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6E5C17"/>
    <w:multiLevelType w:val="multilevel"/>
    <w:tmpl w:val="3E62C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B32327"/>
    <w:multiLevelType w:val="multilevel"/>
    <w:tmpl w:val="91FCD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FD2EC1"/>
    <w:multiLevelType w:val="multilevel"/>
    <w:tmpl w:val="CDCEF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5F36F1"/>
    <w:multiLevelType w:val="multilevel"/>
    <w:tmpl w:val="198A2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956207">
    <w:abstractNumId w:val="20"/>
  </w:num>
  <w:num w:numId="2" w16cid:durableId="1932619765">
    <w:abstractNumId w:val="22"/>
  </w:num>
  <w:num w:numId="3" w16cid:durableId="649097652">
    <w:abstractNumId w:val="25"/>
  </w:num>
  <w:num w:numId="4" w16cid:durableId="447087963">
    <w:abstractNumId w:val="23"/>
  </w:num>
  <w:num w:numId="5" w16cid:durableId="1093283610">
    <w:abstractNumId w:val="5"/>
  </w:num>
  <w:num w:numId="6" w16cid:durableId="258878413">
    <w:abstractNumId w:val="6"/>
  </w:num>
  <w:num w:numId="7" w16cid:durableId="762532927">
    <w:abstractNumId w:val="7"/>
  </w:num>
  <w:num w:numId="8" w16cid:durableId="165287638">
    <w:abstractNumId w:val="24"/>
  </w:num>
  <w:num w:numId="9" w16cid:durableId="2108310091">
    <w:abstractNumId w:val="15"/>
  </w:num>
  <w:num w:numId="10" w16cid:durableId="1198935884">
    <w:abstractNumId w:val="10"/>
  </w:num>
  <w:num w:numId="11" w16cid:durableId="741174922">
    <w:abstractNumId w:val="18"/>
  </w:num>
  <w:num w:numId="12" w16cid:durableId="1507789318">
    <w:abstractNumId w:val="21"/>
  </w:num>
  <w:num w:numId="13" w16cid:durableId="318000427">
    <w:abstractNumId w:val="3"/>
  </w:num>
  <w:num w:numId="14" w16cid:durableId="1411468785">
    <w:abstractNumId w:val="12"/>
  </w:num>
  <w:num w:numId="15" w16cid:durableId="655257130">
    <w:abstractNumId w:val="4"/>
  </w:num>
  <w:num w:numId="16" w16cid:durableId="348220257">
    <w:abstractNumId w:val="9"/>
  </w:num>
  <w:num w:numId="17" w16cid:durableId="685523671">
    <w:abstractNumId w:val="14"/>
  </w:num>
  <w:num w:numId="18" w16cid:durableId="2086489102">
    <w:abstractNumId w:val="16"/>
  </w:num>
  <w:num w:numId="19" w16cid:durableId="265619200">
    <w:abstractNumId w:val="8"/>
  </w:num>
  <w:num w:numId="20" w16cid:durableId="264195691">
    <w:abstractNumId w:val="26"/>
  </w:num>
  <w:num w:numId="21" w16cid:durableId="911894213">
    <w:abstractNumId w:val="28"/>
  </w:num>
  <w:num w:numId="22" w16cid:durableId="502165714">
    <w:abstractNumId w:val="19"/>
  </w:num>
  <w:num w:numId="23" w16cid:durableId="2145151689">
    <w:abstractNumId w:val="2"/>
  </w:num>
  <w:num w:numId="24" w16cid:durableId="144014585">
    <w:abstractNumId w:val="27"/>
  </w:num>
  <w:num w:numId="25" w16cid:durableId="493030615">
    <w:abstractNumId w:val="11"/>
  </w:num>
  <w:num w:numId="26" w16cid:durableId="1901596585">
    <w:abstractNumId w:val="0"/>
  </w:num>
  <w:num w:numId="27" w16cid:durableId="72312609">
    <w:abstractNumId w:val="29"/>
  </w:num>
  <w:num w:numId="28" w16cid:durableId="1051271471">
    <w:abstractNumId w:val="1"/>
  </w:num>
  <w:num w:numId="29" w16cid:durableId="669793521">
    <w:abstractNumId w:val="13"/>
  </w:num>
  <w:num w:numId="30" w16cid:durableId="202427930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A4EDF"/>
    <w:rsid w:val="00424CB0"/>
    <w:rsid w:val="00FA4ED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D6CD2"/>
  <w15:chartTrackingRefBased/>
  <w15:docId w15:val="{B591A478-E7E7-432F-BC6C-9A0F2A72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4A3B6B"/>
      </w:pBdr>
      <w:outlineLvl w:val="0"/>
    </w:pPr>
    <w:rPr>
      <w:rFonts w:ascii="Aptos Display" w:hAnsi="Aptos Display"/>
      <w:b/>
      <w:bCs/>
      <w:color w:val="4A3B6B"/>
      <w:kern w:val="36"/>
      <w:sz w:val="56"/>
      <w:szCs w:val="56"/>
    </w:rPr>
  </w:style>
  <w:style w:type="paragraph" w:styleId="Kop2">
    <w:name w:val="heading 2"/>
    <w:basedOn w:val="Standaard"/>
    <w:link w:val="Kop2Char"/>
    <w:uiPriority w:val="9"/>
    <w:qFormat/>
    <w:pPr>
      <w:pBdr>
        <w:bottom w:val="single" w:sz="12" w:space="4" w:color="4A3B6B"/>
      </w:pBdr>
      <w:spacing w:after="100"/>
      <w:outlineLvl w:val="1"/>
    </w:pPr>
    <w:rPr>
      <w:rFonts w:ascii="Aptos Display" w:hAnsi="Aptos Display"/>
      <w:b/>
      <w:bCs/>
      <w:color w:val="4A3B6B"/>
      <w:sz w:val="40"/>
      <w:szCs w:val="40"/>
    </w:rPr>
  </w:style>
  <w:style w:type="paragraph" w:styleId="Kop3">
    <w:name w:val="heading 3"/>
    <w:basedOn w:val="Standaard"/>
    <w:link w:val="Kop3Char"/>
    <w:uiPriority w:val="9"/>
    <w:qFormat/>
    <w:pPr>
      <w:pBdr>
        <w:bottom w:val="single" w:sz="6" w:space="3" w:color="4A3B6B"/>
      </w:pBdr>
      <w:spacing w:after="80"/>
      <w:outlineLvl w:val="2"/>
    </w:pPr>
    <w:rPr>
      <w:rFonts w:ascii="Aptos Display" w:hAnsi="Aptos Display"/>
      <w:b/>
      <w:bCs/>
      <w:color w:val="4A3B6B"/>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4A3B6B"/>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style>
  <w:style w:type="paragraph" w:styleId="Normaalweb">
    <w:name w:val="Normal (Web)"/>
    <w:basedOn w:val="Standaard"/>
    <w:uiPriority w:val="99"/>
    <w:semiHidden/>
    <w:unhideWhenUsed/>
  </w:style>
  <w:style w:type="paragraph" w:customStyle="1" w:styleId="subtitel">
    <w:name w:val="subtitel"/>
    <w:basedOn w:val="Standaard"/>
    <w:pPr>
      <w:spacing w:after="200"/>
    </w:pPr>
    <w:rPr>
      <w:i/>
      <w:iCs/>
      <w:color w:val="555555"/>
      <w:szCs w:val="22"/>
    </w:rPr>
  </w:style>
  <w:style w:type="paragraph" w:customStyle="1" w:styleId="lead">
    <w:name w:val="lead"/>
    <w:basedOn w:val="Standaard"/>
    <w:pPr>
      <w:spacing w:after="240"/>
    </w:pPr>
    <w:rPr>
      <w:i/>
      <w:iCs/>
      <w:color w:val="444444"/>
    </w:rPr>
  </w:style>
  <w:style w:type="paragraph" w:customStyle="1" w:styleId="tijd">
    <w:name w:val="tijd"/>
    <w:basedOn w:val="Standaard"/>
    <w:pPr>
      <w:spacing w:after="80"/>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4A3B6B"/>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4A3B6B"/>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4A3B6B"/>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4A3B6B"/>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pPr>
    <w:rPr>
      <w:rFonts w:ascii="Aptos Display" w:hAnsi="Aptos Display"/>
      <w:color w:val="333333"/>
      <w:sz w:val="36"/>
      <w:szCs w:val="36"/>
    </w:rPr>
  </w:style>
  <w:style w:type="paragraph" w:customStyle="1" w:styleId="documentaanduiding1">
    <w:name w:val="documentaanduiding1"/>
    <w:basedOn w:val="Standaard"/>
    <w:pPr>
      <w:spacing w:after="1600"/>
    </w:pPr>
    <w:rPr>
      <w:rFonts w:ascii="Aptos Display" w:hAnsi="Aptos Display"/>
      <w:b/>
      <w:bCs/>
      <w:color w:val="4A3B6B"/>
      <w:sz w:val="44"/>
      <w:szCs w:val="44"/>
    </w:rPr>
  </w:style>
  <w:style w:type="paragraph" w:customStyle="1" w:styleId="auteur1">
    <w:name w:val="auteur1"/>
    <w:basedOn w:val="Standaard"/>
    <w:pPr>
      <w:spacing w:after="80"/>
    </w:pPr>
    <w:rPr>
      <w:color w:val="333333"/>
      <w:sz w:val="28"/>
      <w:szCs w:val="28"/>
    </w:rPr>
  </w:style>
  <w:style w:type="paragraph" w:customStyle="1" w:styleId="meta-lijn1">
    <w:name w:val="meta-lijn1"/>
    <w:basedOn w:val="Standaard"/>
    <w:pPr>
      <w:spacing w:after="80"/>
    </w:pPr>
    <w:rPr>
      <w:color w:val="555555"/>
    </w:rPr>
  </w:style>
  <w:style w:type="paragraph" w:customStyle="1" w:styleId="ondertitel2">
    <w:name w:val="ondertitel2"/>
    <w:basedOn w:val="Standaard"/>
    <w:pPr>
      <w:spacing w:after="1200"/>
    </w:pPr>
    <w:rPr>
      <w:rFonts w:ascii="Aptos Display" w:hAnsi="Aptos Display"/>
      <w:color w:val="333333"/>
      <w:sz w:val="36"/>
      <w:szCs w:val="36"/>
    </w:rPr>
  </w:style>
  <w:style w:type="paragraph" w:customStyle="1" w:styleId="documentaanduiding2">
    <w:name w:val="documentaanduiding2"/>
    <w:basedOn w:val="Standaard"/>
    <w:pPr>
      <w:spacing w:after="1600"/>
    </w:pPr>
    <w:rPr>
      <w:rFonts w:ascii="Aptos Display" w:hAnsi="Aptos Display"/>
      <w:b/>
      <w:bCs/>
      <w:color w:val="4A3B6B"/>
      <w:sz w:val="44"/>
      <w:szCs w:val="44"/>
    </w:rPr>
  </w:style>
  <w:style w:type="paragraph" w:customStyle="1" w:styleId="auteur2">
    <w:name w:val="auteur2"/>
    <w:basedOn w:val="Standaard"/>
    <w:pPr>
      <w:spacing w:after="80"/>
    </w:pPr>
    <w:rPr>
      <w:color w:val="333333"/>
      <w:sz w:val="28"/>
      <w:szCs w:val="28"/>
    </w:rPr>
  </w:style>
  <w:style w:type="paragraph" w:customStyle="1" w:styleId="meta-lijn2">
    <w:name w:val="meta-lijn2"/>
    <w:basedOn w:val="Standaard"/>
    <w:pPr>
      <w:spacing w:after="80"/>
    </w:pPr>
    <w:rPr>
      <w:color w:val="555555"/>
    </w:rPr>
  </w:style>
  <w:style w:type="paragraph" w:customStyle="1" w:styleId="marker">
    <w:name w:val="marker"/>
    <w:basedOn w:val="Standaard"/>
  </w:style>
  <w:style w:type="character" w:customStyle="1" w:styleId="badge-be1">
    <w:name w:val="badge-be1"/>
    <w:basedOn w:val="Standaardalinea-lettertype"/>
    <w:rPr>
      <w:b/>
      <w:bCs/>
      <w:color w:val="8B1E1E"/>
    </w:rPr>
  </w:style>
  <w:style w:type="character" w:customStyle="1" w:styleId="badge-nl1">
    <w:name w:val="badge-nl1"/>
    <w:basedOn w:val="Standaardalinea-lettertype"/>
    <w:rPr>
      <w:b/>
      <w:bCs/>
      <w:color w:val="1A3C6E"/>
    </w:rPr>
  </w:style>
  <w:style w:type="character" w:customStyle="1" w:styleId="badge-mem1">
    <w:name w:val="badge-mem1"/>
    <w:basedOn w:val="Standaardalinea-lettertype"/>
    <w:rPr>
      <w:b/>
      <w:bCs/>
      <w:color w:val="C1440E"/>
    </w:rPr>
  </w:style>
  <w:style w:type="character" w:customStyle="1" w:styleId="badge-eu1">
    <w:name w:val="badge-eu1"/>
    <w:basedOn w:val="Standaardalinea-lettertype"/>
    <w:rPr>
      <w:b/>
      <w:bCs/>
      <w:color w:val="0D7377"/>
    </w:rPr>
  </w:style>
  <w:style w:type="character" w:customStyle="1" w:styleId="actor-naam1">
    <w:name w:val="actor-naam1"/>
    <w:basedOn w:val="Standaardalinea-lettertype"/>
    <w:rPr>
      <w:b/>
      <w:bCs/>
      <w:color w:val="1F2421"/>
    </w:rPr>
  </w:style>
  <w:style w:type="character" w:customStyle="1" w:styleId="actor-rol1">
    <w:name w:val="actor-rol1"/>
    <w:basedOn w:val="Standaardalinea-lettertype"/>
    <w:rPr>
      <w:b/>
      <w:bCs/>
      <w:color w:val="4A3B6B"/>
    </w:rPr>
  </w:style>
  <w:style w:type="character" w:customStyle="1" w:styleId="status-r1">
    <w:name w:val="status-r1"/>
    <w:basedOn w:val="Standaardalinea-lettertype"/>
    <w:rPr>
      <w:b/>
      <w:bCs/>
      <w:color w:val="C62828"/>
    </w:rPr>
  </w:style>
  <w:style w:type="character" w:customStyle="1" w:styleId="status-g1">
    <w:name w:val="status-g1"/>
    <w:basedOn w:val="Standaardalinea-lettertype"/>
    <w:rPr>
      <w:b/>
      <w:bCs/>
      <w:color w:val="2E7D32"/>
    </w:rPr>
  </w:style>
  <w:style w:type="character" w:customStyle="1" w:styleId="status-o1">
    <w:name w:val="status-o1"/>
    <w:basedOn w:val="Standaardalinea-lettertype"/>
    <w:rPr>
      <w:b/>
      <w:bCs/>
      <w:color w:val="E65100"/>
    </w:rPr>
  </w:style>
  <w:style w:type="character" w:styleId="Nadruk">
    <w:name w:val="Emphasis"/>
    <w:basedOn w:val="Standaardalinea-lettertype"/>
    <w:uiPriority w:val="20"/>
    <w:qFormat/>
    <w:rPr>
      <w:i/>
      <w:iCs/>
    </w:rPr>
  </w:style>
  <w:style w:type="paragraph" w:styleId="Koptekst">
    <w:name w:val="header"/>
    <w:basedOn w:val="Standaard"/>
    <w:link w:val="KoptekstChar"/>
    <w:uiPriority w:val="99"/>
    <w:unhideWhenUsed/>
    <w:rsid w:val="00FA4EDF"/>
    <w:pPr>
      <w:tabs>
        <w:tab w:val="center" w:pos="4536"/>
        <w:tab w:val="right" w:pos="9072"/>
      </w:tabs>
    </w:pPr>
  </w:style>
  <w:style w:type="character" w:customStyle="1" w:styleId="KoptekstChar">
    <w:name w:val="Koptekst Char"/>
    <w:basedOn w:val="Standaardalinea-lettertype"/>
    <w:link w:val="Koptekst"/>
    <w:uiPriority w:val="99"/>
    <w:rsid w:val="00FA4EDF"/>
    <w:rPr>
      <w:rFonts w:eastAsiaTheme="minorEastAsia"/>
      <w:sz w:val="24"/>
      <w:szCs w:val="24"/>
    </w:rPr>
  </w:style>
  <w:style w:type="paragraph" w:styleId="Voettekst">
    <w:name w:val="footer"/>
    <w:basedOn w:val="Standaard"/>
    <w:link w:val="VoettekstChar"/>
    <w:uiPriority w:val="99"/>
    <w:unhideWhenUsed/>
    <w:rsid w:val="00FA4EDF"/>
    <w:pPr>
      <w:tabs>
        <w:tab w:val="center" w:pos="4536"/>
        <w:tab w:val="right" w:pos="9072"/>
      </w:tabs>
    </w:pPr>
  </w:style>
  <w:style w:type="character" w:customStyle="1" w:styleId="VoettekstChar">
    <w:name w:val="Voettekst Char"/>
    <w:basedOn w:val="Standaardalinea-lettertype"/>
    <w:link w:val="Voettekst"/>
    <w:uiPriority w:val="99"/>
    <w:rsid w:val="00FA4EDF"/>
    <w:rPr>
      <w:rFonts w:eastAsiaTheme="minorEastAsia"/>
      <w:sz w:val="24"/>
      <w:szCs w:val="24"/>
    </w:rPr>
  </w:style>
  <w:style w:type="paragraph" w:styleId="Inhopg2">
    <w:name w:val="toc 2"/>
    <w:basedOn w:val="Standaard"/>
    <w:next w:val="Standaard"/>
    <w:autoRedefine/>
    <w:uiPriority w:val="39"/>
    <w:unhideWhenUsed/>
    <w:rsid w:val="00FA4EDF"/>
    <w:pPr>
      <w:spacing w:after="100"/>
      <w:ind w:left="220"/>
    </w:pPr>
  </w:style>
  <w:style w:type="paragraph" w:styleId="Inhopg1">
    <w:name w:val="toc 1"/>
    <w:basedOn w:val="Standaard"/>
    <w:next w:val="Standaard"/>
    <w:autoRedefine/>
    <w:uiPriority w:val="39"/>
    <w:unhideWhenUsed/>
    <w:rsid w:val="00FA4EDF"/>
    <w:pPr>
      <w:spacing w:after="100"/>
    </w:pPr>
  </w:style>
  <w:style w:type="paragraph" w:styleId="Inhopg3">
    <w:name w:val="toc 3"/>
    <w:basedOn w:val="Standaard"/>
    <w:next w:val="Standaard"/>
    <w:autoRedefine/>
    <w:uiPriority w:val="39"/>
    <w:unhideWhenUsed/>
    <w:rsid w:val="00FA4ED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2394320">
      <w:bodyDiv w:val="1"/>
      <w:marLeft w:val="800"/>
      <w:marRight w:val="800"/>
      <w:marTop w:val="800"/>
      <w:marBottom w:val="800"/>
      <w:divBdr>
        <w:top w:val="none" w:sz="0" w:space="0" w:color="auto"/>
        <w:left w:val="none" w:sz="0" w:space="0" w:color="auto"/>
        <w:bottom w:val="none" w:sz="0" w:space="0" w:color="auto"/>
        <w:right w:val="none" w:sz="0" w:space="0" w:color="auto"/>
      </w:divBdr>
      <w:divsChild>
        <w:div w:id="2007826864">
          <w:marLeft w:val="0"/>
          <w:marRight w:val="0"/>
          <w:marTop w:val="0"/>
          <w:marBottom w:val="0"/>
          <w:divBdr>
            <w:top w:val="none" w:sz="0" w:space="0" w:color="auto"/>
            <w:left w:val="none" w:sz="0" w:space="0" w:color="auto"/>
            <w:bottom w:val="none" w:sz="0" w:space="0" w:color="auto"/>
            <w:right w:val="none" w:sz="0" w:space="0" w:color="auto"/>
          </w:divBdr>
        </w:div>
        <w:div w:id="1172572141">
          <w:marLeft w:val="0"/>
          <w:marRight w:val="0"/>
          <w:marTop w:val="4000"/>
          <w:marBottom w:val="0"/>
          <w:divBdr>
            <w:top w:val="none" w:sz="0" w:space="0" w:color="auto"/>
            <w:left w:val="none" w:sz="0" w:space="0" w:color="auto"/>
            <w:bottom w:val="none" w:sz="0" w:space="0" w:color="auto"/>
            <w:right w:val="none" w:sz="0" w:space="0" w:color="auto"/>
          </w:divBdr>
        </w:div>
        <w:div w:id="57559685">
          <w:marLeft w:val="0"/>
          <w:marRight w:val="0"/>
          <w:marTop w:val="0"/>
          <w:marBottom w:val="0"/>
          <w:divBdr>
            <w:top w:val="none" w:sz="0" w:space="0" w:color="auto"/>
            <w:left w:val="none" w:sz="0" w:space="0" w:color="auto"/>
            <w:bottom w:val="none" w:sz="0" w:space="0" w:color="auto"/>
            <w:right w:val="none" w:sz="0" w:space="0" w:color="auto"/>
          </w:divBdr>
        </w:div>
        <w:div w:id="1558933847">
          <w:marLeft w:val="0"/>
          <w:marRight w:val="0"/>
          <w:marTop w:val="0"/>
          <w:marBottom w:val="240"/>
          <w:divBdr>
            <w:top w:val="none" w:sz="0" w:space="0" w:color="auto"/>
            <w:left w:val="none" w:sz="0" w:space="0" w:color="auto"/>
            <w:bottom w:val="single" w:sz="6" w:space="10" w:color="E8E4DC"/>
            <w:right w:val="none" w:sz="0" w:space="0" w:color="auto"/>
          </w:divBdr>
        </w:div>
        <w:div w:id="1065689521">
          <w:marLeft w:val="0"/>
          <w:marRight w:val="0"/>
          <w:marTop w:val="0"/>
          <w:marBottom w:val="240"/>
          <w:divBdr>
            <w:top w:val="none" w:sz="0" w:space="0" w:color="auto"/>
            <w:left w:val="none" w:sz="0" w:space="0" w:color="auto"/>
            <w:bottom w:val="single" w:sz="6" w:space="10" w:color="E8E4DC"/>
            <w:right w:val="none" w:sz="0" w:space="0" w:color="auto"/>
          </w:divBdr>
        </w:div>
        <w:div w:id="529414320">
          <w:marLeft w:val="0"/>
          <w:marRight w:val="0"/>
          <w:marTop w:val="0"/>
          <w:marBottom w:val="240"/>
          <w:divBdr>
            <w:top w:val="none" w:sz="0" w:space="0" w:color="auto"/>
            <w:left w:val="none" w:sz="0" w:space="0" w:color="auto"/>
            <w:bottom w:val="single" w:sz="6" w:space="10" w:color="E8E4DC"/>
            <w:right w:val="none" w:sz="0" w:space="0" w:color="auto"/>
          </w:divBdr>
        </w:div>
        <w:div w:id="1568691244">
          <w:marLeft w:val="0"/>
          <w:marRight w:val="0"/>
          <w:marTop w:val="0"/>
          <w:marBottom w:val="240"/>
          <w:divBdr>
            <w:top w:val="none" w:sz="0" w:space="0" w:color="auto"/>
            <w:left w:val="none" w:sz="0" w:space="0" w:color="auto"/>
            <w:bottom w:val="single" w:sz="6" w:space="10" w:color="E8E4DC"/>
            <w:right w:val="none" w:sz="0" w:space="0" w:color="auto"/>
          </w:divBdr>
        </w:div>
        <w:div w:id="847447587">
          <w:marLeft w:val="0"/>
          <w:marRight w:val="0"/>
          <w:marTop w:val="0"/>
          <w:marBottom w:val="240"/>
          <w:divBdr>
            <w:top w:val="none" w:sz="0" w:space="0" w:color="auto"/>
            <w:left w:val="none" w:sz="0" w:space="0" w:color="auto"/>
            <w:bottom w:val="single" w:sz="6" w:space="10" w:color="E8E4DC"/>
            <w:right w:val="none" w:sz="0" w:space="0" w:color="auto"/>
          </w:divBdr>
        </w:div>
        <w:div w:id="1971012533">
          <w:marLeft w:val="0"/>
          <w:marRight w:val="0"/>
          <w:marTop w:val="0"/>
          <w:marBottom w:val="240"/>
          <w:divBdr>
            <w:top w:val="none" w:sz="0" w:space="0" w:color="auto"/>
            <w:left w:val="none" w:sz="0" w:space="0" w:color="auto"/>
            <w:bottom w:val="single" w:sz="6" w:space="10" w:color="E8E4DC"/>
            <w:right w:val="none" w:sz="0" w:space="0" w:color="auto"/>
          </w:divBdr>
        </w:div>
        <w:div w:id="175583496">
          <w:marLeft w:val="0"/>
          <w:marRight w:val="0"/>
          <w:marTop w:val="0"/>
          <w:marBottom w:val="240"/>
          <w:divBdr>
            <w:top w:val="none" w:sz="0" w:space="0" w:color="auto"/>
            <w:left w:val="none" w:sz="0" w:space="0" w:color="auto"/>
            <w:bottom w:val="single" w:sz="6" w:space="10" w:color="E8E4DC"/>
            <w:right w:val="none" w:sz="0" w:space="0" w:color="auto"/>
          </w:divBdr>
        </w:div>
        <w:div w:id="693306764">
          <w:marLeft w:val="0"/>
          <w:marRight w:val="0"/>
          <w:marTop w:val="0"/>
          <w:marBottom w:val="240"/>
          <w:divBdr>
            <w:top w:val="none" w:sz="0" w:space="0" w:color="auto"/>
            <w:left w:val="none" w:sz="0" w:space="0" w:color="auto"/>
            <w:bottom w:val="single" w:sz="6" w:space="10" w:color="E8E4DC"/>
            <w:right w:val="none" w:sz="0" w:space="0" w:color="auto"/>
          </w:divBdr>
        </w:div>
        <w:div w:id="1206412689">
          <w:marLeft w:val="0"/>
          <w:marRight w:val="0"/>
          <w:marTop w:val="0"/>
          <w:marBottom w:val="240"/>
          <w:divBdr>
            <w:top w:val="none" w:sz="0" w:space="0" w:color="auto"/>
            <w:left w:val="none" w:sz="0" w:space="0" w:color="auto"/>
            <w:bottom w:val="single" w:sz="6" w:space="10" w:color="E8E4DC"/>
            <w:right w:val="none" w:sz="0" w:space="0" w:color="auto"/>
          </w:divBdr>
        </w:div>
        <w:div w:id="545721472">
          <w:marLeft w:val="0"/>
          <w:marRight w:val="0"/>
          <w:marTop w:val="0"/>
          <w:marBottom w:val="240"/>
          <w:divBdr>
            <w:top w:val="none" w:sz="0" w:space="0" w:color="auto"/>
            <w:left w:val="none" w:sz="0" w:space="0" w:color="auto"/>
            <w:bottom w:val="single" w:sz="6" w:space="10" w:color="E8E4DC"/>
            <w:right w:val="none" w:sz="0" w:space="0" w:color="auto"/>
          </w:divBdr>
        </w:div>
        <w:div w:id="408428715">
          <w:marLeft w:val="0"/>
          <w:marRight w:val="0"/>
          <w:marTop w:val="0"/>
          <w:marBottom w:val="240"/>
          <w:divBdr>
            <w:top w:val="none" w:sz="0" w:space="0" w:color="auto"/>
            <w:left w:val="none" w:sz="0" w:space="0" w:color="auto"/>
            <w:bottom w:val="single" w:sz="6" w:space="10" w:color="E8E4DC"/>
            <w:right w:val="none" w:sz="0" w:space="0" w:color="auto"/>
          </w:divBdr>
        </w:div>
        <w:div w:id="1445345108">
          <w:marLeft w:val="0"/>
          <w:marRight w:val="0"/>
          <w:marTop w:val="0"/>
          <w:marBottom w:val="240"/>
          <w:divBdr>
            <w:top w:val="none" w:sz="0" w:space="0" w:color="auto"/>
            <w:left w:val="none" w:sz="0" w:space="0" w:color="auto"/>
            <w:bottom w:val="single" w:sz="6" w:space="10" w:color="E8E4DC"/>
            <w:right w:val="none" w:sz="0" w:space="0" w:color="auto"/>
          </w:divBdr>
        </w:div>
        <w:div w:id="742526960">
          <w:marLeft w:val="0"/>
          <w:marRight w:val="0"/>
          <w:marTop w:val="0"/>
          <w:marBottom w:val="240"/>
          <w:divBdr>
            <w:top w:val="none" w:sz="0" w:space="0" w:color="auto"/>
            <w:left w:val="none" w:sz="0" w:space="0" w:color="auto"/>
            <w:bottom w:val="single" w:sz="6" w:space="10" w:color="E8E4DC"/>
            <w:right w:val="none" w:sz="0" w:space="0" w:color="auto"/>
          </w:divBdr>
        </w:div>
        <w:div w:id="1930115596">
          <w:marLeft w:val="0"/>
          <w:marRight w:val="0"/>
          <w:marTop w:val="0"/>
          <w:marBottom w:val="240"/>
          <w:divBdr>
            <w:top w:val="none" w:sz="0" w:space="0" w:color="auto"/>
            <w:left w:val="none" w:sz="0" w:space="0" w:color="auto"/>
            <w:bottom w:val="single" w:sz="6" w:space="10" w:color="E8E4DC"/>
            <w:right w:val="none" w:sz="0" w:space="0" w:color="auto"/>
          </w:divBdr>
        </w:div>
        <w:div w:id="82186103">
          <w:marLeft w:val="0"/>
          <w:marRight w:val="0"/>
          <w:marTop w:val="0"/>
          <w:marBottom w:val="240"/>
          <w:divBdr>
            <w:top w:val="none" w:sz="0" w:space="0" w:color="auto"/>
            <w:left w:val="none" w:sz="0" w:space="0" w:color="auto"/>
            <w:bottom w:val="single" w:sz="6" w:space="10" w:color="E8E4DC"/>
            <w:right w:val="none" w:sz="0" w:space="0" w:color="auto"/>
          </w:divBdr>
        </w:div>
        <w:div w:id="1705522545">
          <w:marLeft w:val="0"/>
          <w:marRight w:val="0"/>
          <w:marTop w:val="0"/>
          <w:marBottom w:val="240"/>
          <w:divBdr>
            <w:top w:val="none" w:sz="0" w:space="0" w:color="auto"/>
            <w:left w:val="none" w:sz="0" w:space="0" w:color="auto"/>
            <w:bottom w:val="single" w:sz="6" w:space="10" w:color="E8E4DC"/>
            <w:right w:val="none" w:sz="0" w:space="0" w:color="auto"/>
          </w:divBdr>
        </w:div>
        <w:div w:id="1415710677">
          <w:marLeft w:val="0"/>
          <w:marRight w:val="0"/>
          <w:marTop w:val="0"/>
          <w:marBottom w:val="240"/>
          <w:divBdr>
            <w:top w:val="none" w:sz="0" w:space="0" w:color="auto"/>
            <w:left w:val="none" w:sz="0" w:space="0" w:color="auto"/>
            <w:bottom w:val="single" w:sz="6" w:space="10" w:color="E8E4DC"/>
            <w:right w:val="none" w:sz="0" w:space="0" w:color="auto"/>
          </w:divBdr>
        </w:div>
        <w:div w:id="19206390">
          <w:marLeft w:val="0"/>
          <w:marRight w:val="0"/>
          <w:marTop w:val="0"/>
          <w:marBottom w:val="240"/>
          <w:divBdr>
            <w:top w:val="none" w:sz="0" w:space="0" w:color="auto"/>
            <w:left w:val="none" w:sz="0" w:space="0" w:color="auto"/>
            <w:bottom w:val="single" w:sz="6" w:space="10" w:color="E8E4DC"/>
            <w:right w:val="none" w:sz="0" w:space="0" w:color="auto"/>
          </w:divBdr>
        </w:div>
        <w:div w:id="1170757999">
          <w:marLeft w:val="0"/>
          <w:marRight w:val="0"/>
          <w:marTop w:val="0"/>
          <w:marBottom w:val="240"/>
          <w:divBdr>
            <w:top w:val="none" w:sz="0" w:space="0" w:color="auto"/>
            <w:left w:val="none" w:sz="0" w:space="0" w:color="auto"/>
            <w:bottom w:val="single" w:sz="6" w:space="10" w:color="E8E4DC"/>
            <w:right w:val="none" w:sz="0" w:space="0" w:color="auto"/>
          </w:divBdr>
        </w:div>
        <w:div w:id="522206347">
          <w:marLeft w:val="0"/>
          <w:marRight w:val="0"/>
          <w:marTop w:val="0"/>
          <w:marBottom w:val="240"/>
          <w:divBdr>
            <w:top w:val="none" w:sz="0" w:space="0" w:color="auto"/>
            <w:left w:val="none" w:sz="0" w:space="0" w:color="auto"/>
            <w:bottom w:val="single" w:sz="6" w:space="10" w:color="E8E4DC"/>
            <w:right w:val="none" w:sz="0" w:space="0" w:color="auto"/>
          </w:divBdr>
        </w:div>
        <w:div w:id="671026529">
          <w:marLeft w:val="0"/>
          <w:marRight w:val="0"/>
          <w:marTop w:val="0"/>
          <w:marBottom w:val="240"/>
          <w:divBdr>
            <w:top w:val="none" w:sz="0" w:space="0" w:color="auto"/>
            <w:left w:val="none" w:sz="0" w:space="0" w:color="auto"/>
            <w:bottom w:val="single" w:sz="6" w:space="10" w:color="E8E4DC"/>
            <w:right w:val="none" w:sz="0" w:space="0" w:color="auto"/>
          </w:divBdr>
        </w:div>
        <w:div w:id="1303465866">
          <w:marLeft w:val="0"/>
          <w:marRight w:val="0"/>
          <w:marTop w:val="0"/>
          <w:marBottom w:val="240"/>
          <w:divBdr>
            <w:top w:val="none" w:sz="0" w:space="0" w:color="auto"/>
            <w:left w:val="none" w:sz="0" w:space="0" w:color="auto"/>
            <w:bottom w:val="single" w:sz="6" w:space="10" w:color="E8E4DC"/>
            <w:right w:val="none" w:sz="0" w:space="0" w:color="auto"/>
          </w:divBdr>
        </w:div>
        <w:div w:id="2079668601">
          <w:marLeft w:val="0"/>
          <w:marRight w:val="0"/>
          <w:marTop w:val="0"/>
          <w:marBottom w:val="240"/>
          <w:divBdr>
            <w:top w:val="none" w:sz="0" w:space="0" w:color="auto"/>
            <w:left w:val="none" w:sz="0" w:space="0" w:color="auto"/>
            <w:bottom w:val="single" w:sz="6" w:space="10" w:color="E8E4DC"/>
            <w:right w:val="none" w:sz="0" w:space="0" w:color="auto"/>
          </w:divBdr>
        </w:div>
        <w:div w:id="1342511288">
          <w:marLeft w:val="0"/>
          <w:marRight w:val="0"/>
          <w:marTop w:val="0"/>
          <w:marBottom w:val="240"/>
          <w:divBdr>
            <w:top w:val="none" w:sz="0" w:space="0" w:color="auto"/>
            <w:left w:val="none" w:sz="0" w:space="0" w:color="auto"/>
            <w:bottom w:val="single" w:sz="6" w:space="10" w:color="E8E4DC"/>
            <w:right w:val="none" w:sz="0" w:space="0" w:color="auto"/>
          </w:divBdr>
        </w:div>
        <w:div w:id="1809592265">
          <w:marLeft w:val="0"/>
          <w:marRight w:val="0"/>
          <w:marTop w:val="0"/>
          <w:marBottom w:val="240"/>
          <w:divBdr>
            <w:top w:val="none" w:sz="0" w:space="0" w:color="auto"/>
            <w:left w:val="none" w:sz="0" w:space="0" w:color="auto"/>
            <w:bottom w:val="single" w:sz="6" w:space="10" w:color="E8E4DC"/>
            <w:right w:val="none" w:sz="0" w:space="0" w:color="auto"/>
          </w:divBdr>
        </w:div>
        <w:div w:id="1204177321">
          <w:marLeft w:val="0"/>
          <w:marRight w:val="0"/>
          <w:marTop w:val="0"/>
          <w:marBottom w:val="240"/>
          <w:divBdr>
            <w:top w:val="none" w:sz="0" w:space="0" w:color="auto"/>
            <w:left w:val="none" w:sz="0" w:space="0" w:color="auto"/>
            <w:bottom w:val="single" w:sz="6" w:space="10" w:color="E8E4DC"/>
            <w:right w:val="none" w:sz="0" w:space="0" w:color="auto"/>
          </w:divBdr>
        </w:div>
        <w:div w:id="1812867335">
          <w:marLeft w:val="0"/>
          <w:marRight w:val="0"/>
          <w:marTop w:val="0"/>
          <w:marBottom w:val="240"/>
          <w:divBdr>
            <w:top w:val="none" w:sz="0" w:space="0" w:color="auto"/>
            <w:left w:val="none" w:sz="0" w:space="0" w:color="auto"/>
            <w:bottom w:val="single" w:sz="6" w:space="10" w:color="E8E4DC"/>
            <w:right w:val="none" w:sz="0" w:space="0" w:color="auto"/>
          </w:divBdr>
        </w:div>
        <w:div w:id="2124764003">
          <w:marLeft w:val="0"/>
          <w:marRight w:val="0"/>
          <w:marTop w:val="0"/>
          <w:marBottom w:val="240"/>
          <w:divBdr>
            <w:top w:val="none" w:sz="0" w:space="0" w:color="auto"/>
            <w:left w:val="none" w:sz="0" w:space="0" w:color="auto"/>
            <w:bottom w:val="single" w:sz="6" w:space="10" w:color="E8E4DC"/>
            <w:right w:val="none" w:sz="0" w:space="0" w:color="auto"/>
          </w:divBdr>
        </w:div>
        <w:div w:id="470439068">
          <w:marLeft w:val="0"/>
          <w:marRight w:val="0"/>
          <w:marTop w:val="0"/>
          <w:marBottom w:val="240"/>
          <w:divBdr>
            <w:top w:val="none" w:sz="0" w:space="0" w:color="auto"/>
            <w:left w:val="none" w:sz="0" w:space="0" w:color="auto"/>
            <w:bottom w:val="single" w:sz="6" w:space="10" w:color="E8E4DC"/>
            <w:right w:val="none" w:sz="0" w:space="0" w:color="auto"/>
          </w:divBdr>
        </w:div>
        <w:div w:id="131217715">
          <w:marLeft w:val="0"/>
          <w:marRight w:val="0"/>
          <w:marTop w:val="0"/>
          <w:marBottom w:val="240"/>
          <w:divBdr>
            <w:top w:val="none" w:sz="0" w:space="0" w:color="auto"/>
            <w:left w:val="none" w:sz="0" w:space="0" w:color="auto"/>
            <w:bottom w:val="single" w:sz="6" w:space="10" w:color="E8E4DC"/>
            <w:right w:val="none" w:sz="0" w:space="0" w:color="auto"/>
          </w:divBdr>
        </w:div>
        <w:div w:id="2062709857">
          <w:marLeft w:val="0"/>
          <w:marRight w:val="0"/>
          <w:marTop w:val="0"/>
          <w:marBottom w:val="240"/>
          <w:divBdr>
            <w:top w:val="none" w:sz="0" w:space="0" w:color="auto"/>
            <w:left w:val="none" w:sz="0" w:space="0" w:color="auto"/>
            <w:bottom w:val="single" w:sz="6" w:space="10" w:color="E8E4DC"/>
            <w:right w:val="none" w:sz="0" w:space="0" w:color="auto"/>
          </w:divBdr>
        </w:div>
        <w:div w:id="1668051657">
          <w:marLeft w:val="0"/>
          <w:marRight w:val="0"/>
          <w:marTop w:val="0"/>
          <w:marBottom w:val="240"/>
          <w:divBdr>
            <w:top w:val="none" w:sz="0" w:space="0" w:color="auto"/>
            <w:left w:val="none" w:sz="0" w:space="0" w:color="auto"/>
            <w:bottom w:val="single" w:sz="6" w:space="10" w:color="E8E4DC"/>
            <w:right w:val="none" w:sz="0" w:space="0" w:color="auto"/>
          </w:divBdr>
        </w:div>
        <w:div w:id="1005790042">
          <w:marLeft w:val="0"/>
          <w:marRight w:val="0"/>
          <w:marTop w:val="0"/>
          <w:marBottom w:val="240"/>
          <w:divBdr>
            <w:top w:val="none" w:sz="0" w:space="0" w:color="auto"/>
            <w:left w:val="none" w:sz="0" w:space="0" w:color="auto"/>
            <w:bottom w:val="single" w:sz="6" w:space="10" w:color="E8E4DC"/>
            <w:right w:val="none" w:sz="0" w:space="0" w:color="auto"/>
          </w:divBdr>
        </w:div>
        <w:div w:id="1072386593">
          <w:marLeft w:val="0"/>
          <w:marRight w:val="0"/>
          <w:marTop w:val="0"/>
          <w:marBottom w:val="240"/>
          <w:divBdr>
            <w:top w:val="none" w:sz="0" w:space="0" w:color="auto"/>
            <w:left w:val="none" w:sz="0" w:space="0" w:color="auto"/>
            <w:bottom w:val="single" w:sz="6" w:space="10" w:color="E8E4DC"/>
            <w:right w:val="none" w:sz="0" w:space="0" w:color="auto"/>
          </w:divBdr>
        </w:div>
        <w:div w:id="1347292739">
          <w:marLeft w:val="0"/>
          <w:marRight w:val="0"/>
          <w:marTop w:val="0"/>
          <w:marBottom w:val="240"/>
          <w:divBdr>
            <w:top w:val="none" w:sz="0" w:space="0" w:color="auto"/>
            <w:left w:val="none" w:sz="0" w:space="0" w:color="auto"/>
            <w:bottom w:val="single" w:sz="6" w:space="10" w:color="E8E4DC"/>
            <w:right w:val="none" w:sz="0" w:space="0" w:color="auto"/>
          </w:divBdr>
        </w:div>
        <w:div w:id="555511291">
          <w:marLeft w:val="0"/>
          <w:marRight w:val="0"/>
          <w:marTop w:val="0"/>
          <w:marBottom w:val="240"/>
          <w:divBdr>
            <w:top w:val="none" w:sz="0" w:space="0" w:color="auto"/>
            <w:left w:val="none" w:sz="0" w:space="0" w:color="auto"/>
            <w:bottom w:val="single" w:sz="6" w:space="10" w:color="E8E4DC"/>
            <w:right w:val="none" w:sz="0" w:space="0" w:color="auto"/>
          </w:divBdr>
        </w:div>
        <w:div w:id="1765414998">
          <w:marLeft w:val="0"/>
          <w:marRight w:val="0"/>
          <w:marTop w:val="0"/>
          <w:marBottom w:val="240"/>
          <w:divBdr>
            <w:top w:val="none" w:sz="0" w:space="0" w:color="auto"/>
            <w:left w:val="none" w:sz="0" w:space="0" w:color="auto"/>
            <w:bottom w:val="single" w:sz="6" w:space="10" w:color="E8E4DC"/>
            <w:right w:val="none" w:sz="0" w:space="0" w:color="auto"/>
          </w:divBdr>
        </w:div>
        <w:div w:id="692268582">
          <w:marLeft w:val="0"/>
          <w:marRight w:val="0"/>
          <w:marTop w:val="0"/>
          <w:marBottom w:val="240"/>
          <w:divBdr>
            <w:top w:val="none" w:sz="0" w:space="0" w:color="auto"/>
            <w:left w:val="none" w:sz="0" w:space="0" w:color="auto"/>
            <w:bottom w:val="single" w:sz="6" w:space="10" w:color="E8E4DC"/>
            <w:right w:val="none" w:sz="0" w:space="0" w:color="auto"/>
          </w:divBdr>
        </w:div>
        <w:div w:id="1905409536">
          <w:marLeft w:val="0"/>
          <w:marRight w:val="0"/>
          <w:marTop w:val="0"/>
          <w:marBottom w:val="240"/>
          <w:divBdr>
            <w:top w:val="none" w:sz="0" w:space="0" w:color="auto"/>
            <w:left w:val="none" w:sz="0" w:space="0" w:color="auto"/>
            <w:bottom w:val="single" w:sz="6" w:space="10" w:color="E8E4DC"/>
            <w:right w:val="none" w:sz="0" w:space="0" w:color="auto"/>
          </w:divBdr>
        </w:div>
        <w:div w:id="642396335">
          <w:marLeft w:val="0"/>
          <w:marRight w:val="0"/>
          <w:marTop w:val="0"/>
          <w:marBottom w:val="240"/>
          <w:divBdr>
            <w:top w:val="none" w:sz="0" w:space="0" w:color="auto"/>
            <w:left w:val="none" w:sz="0" w:space="0" w:color="auto"/>
            <w:bottom w:val="single" w:sz="6" w:space="10" w:color="E8E4DC"/>
            <w:right w:val="none" w:sz="0" w:space="0" w:color="auto"/>
          </w:divBdr>
        </w:div>
        <w:div w:id="1061099401">
          <w:marLeft w:val="0"/>
          <w:marRight w:val="0"/>
          <w:marTop w:val="0"/>
          <w:marBottom w:val="240"/>
          <w:divBdr>
            <w:top w:val="none" w:sz="0" w:space="0" w:color="auto"/>
            <w:left w:val="none" w:sz="0" w:space="0" w:color="auto"/>
            <w:bottom w:val="single" w:sz="6" w:space="10" w:color="E8E4DC"/>
            <w:right w:val="none" w:sz="0" w:space="0" w:color="auto"/>
          </w:divBdr>
        </w:div>
        <w:div w:id="1616594473">
          <w:marLeft w:val="0"/>
          <w:marRight w:val="0"/>
          <w:marTop w:val="0"/>
          <w:marBottom w:val="240"/>
          <w:divBdr>
            <w:top w:val="none" w:sz="0" w:space="0" w:color="auto"/>
            <w:left w:val="none" w:sz="0" w:space="0" w:color="auto"/>
            <w:bottom w:val="single" w:sz="6" w:space="10" w:color="E8E4DC"/>
            <w:right w:val="none" w:sz="0" w:space="0" w:color="auto"/>
          </w:divBdr>
        </w:div>
        <w:div w:id="480000956">
          <w:marLeft w:val="0"/>
          <w:marRight w:val="0"/>
          <w:marTop w:val="0"/>
          <w:marBottom w:val="240"/>
          <w:divBdr>
            <w:top w:val="none" w:sz="0" w:space="0" w:color="auto"/>
            <w:left w:val="none" w:sz="0" w:space="0" w:color="auto"/>
            <w:bottom w:val="single" w:sz="6" w:space="10" w:color="E8E4DC"/>
            <w:right w:val="none" w:sz="0" w:space="0" w:color="auto"/>
          </w:divBdr>
        </w:div>
        <w:div w:id="1191912088">
          <w:marLeft w:val="0"/>
          <w:marRight w:val="0"/>
          <w:marTop w:val="0"/>
          <w:marBottom w:val="240"/>
          <w:divBdr>
            <w:top w:val="none" w:sz="0" w:space="0" w:color="auto"/>
            <w:left w:val="none" w:sz="0" w:space="0" w:color="auto"/>
            <w:bottom w:val="single" w:sz="6" w:space="10" w:color="E8E4DC"/>
            <w:right w:val="none" w:sz="0" w:space="0" w:color="auto"/>
          </w:divBdr>
        </w:div>
        <w:div w:id="573205046">
          <w:marLeft w:val="0"/>
          <w:marRight w:val="0"/>
          <w:marTop w:val="0"/>
          <w:marBottom w:val="240"/>
          <w:divBdr>
            <w:top w:val="none" w:sz="0" w:space="0" w:color="auto"/>
            <w:left w:val="none" w:sz="0" w:space="0" w:color="auto"/>
            <w:bottom w:val="single" w:sz="6" w:space="10" w:color="E8E4DC"/>
            <w:right w:val="none" w:sz="0" w:space="0" w:color="auto"/>
          </w:divBdr>
        </w:div>
        <w:div w:id="838152598">
          <w:marLeft w:val="0"/>
          <w:marRight w:val="0"/>
          <w:marTop w:val="0"/>
          <w:marBottom w:val="240"/>
          <w:divBdr>
            <w:top w:val="none" w:sz="0" w:space="0" w:color="auto"/>
            <w:left w:val="none" w:sz="0" w:space="0" w:color="auto"/>
            <w:bottom w:val="single" w:sz="6" w:space="10" w:color="E8E4DC"/>
            <w:right w:val="none" w:sz="0" w:space="0" w:color="auto"/>
          </w:divBdr>
        </w:div>
        <w:div w:id="1489054844">
          <w:marLeft w:val="0"/>
          <w:marRight w:val="0"/>
          <w:marTop w:val="0"/>
          <w:marBottom w:val="240"/>
          <w:divBdr>
            <w:top w:val="none" w:sz="0" w:space="0" w:color="auto"/>
            <w:left w:val="none" w:sz="0" w:space="0" w:color="auto"/>
            <w:bottom w:val="single" w:sz="6" w:space="10" w:color="E8E4DC"/>
            <w:right w:val="none" w:sz="0" w:space="0" w:color="auto"/>
          </w:divBdr>
        </w:div>
        <w:div w:id="606697789">
          <w:marLeft w:val="0"/>
          <w:marRight w:val="0"/>
          <w:marTop w:val="0"/>
          <w:marBottom w:val="240"/>
          <w:divBdr>
            <w:top w:val="none" w:sz="0" w:space="0" w:color="auto"/>
            <w:left w:val="none" w:sz="0" w:space="0" w:color="auto"/>
            <w:bottom w:val="single" w:sz="6" w:space="10" w:color="E8E4DC"/>
            <w:right w:val="none" w:sz="0" w:space="0" w:color="auto"/>
          </w:divBdr>
        </w:div>
        <w:div w:id="1379472291">
          <w:marLeft w:val="0"/>
          <w:marRight w:val="0"/>
          <w:marTop w:val="0"/>
          <w:marBottom w:val="240"/>
          <w:divBdr>
            <w:top w:val="none" w:sz="0" w:space="0" w:color="auto"/>
            <w:left w:val="none" w:sz="0" w:space="0" w:color="auto"/>
            <w:bottom w:val="single" w:sz="6" w:space="10" w:color="E8E4DC"/>
            <w:right w:val="none" w:sz="0" w:space="0" w:color="auto"/>
          </w:divBdr>
        </w:div>
        <w:div w:id="1578132735">
          <w:marLeft w:val="0"/>
          <w:marRight w:val="0"/>
          <w:marTop w:val="0"/>
          <w:marBottom w:val="240"/>
          <w:divBdr>
            <w:top w:val="none" w:sz="0" w:space="0" w:color="auto"/>
            <w:left w:val="none" w:sz="0" w:space="0" w:color="auto"/>
            <w:bottom w:val="single" w:sz="6" w:space="10" w:color="E8E4DC"/>
            <w:right w:val="none" w:sz="0" w:space="0" w:color="auto"/>
          </w:divBdr>
        </w:div>
        <w:div w:id="777602497">
          <w:marLeft w:val="0"/>
          <w:marRight w:val="0"/>
          <w:marTop w:val="0"/>
          <w:marBottom w:val="240"/>
          <w:divBdr>
            <w:top w:val="none" w:sz="0" w:space="0" w:color="auto"/>
            <w:left w:val="none" w:sz="0" w:space="0" w:color="auto"/>
            <w:bottom w:val="single" w:sz="6" w:space="10" w:color="E8E4DC"/>
            <w:right w:val="none" w:sz="0" w:space="0" w:color="auto"/>
          </w:divBdr>
        </w:div>
        <w:div w:id="141433380">
          <w:marLeft w:val="0"/>
          <w:marRight w:val="0"/>
          <w:marTop w:val="0"/>
          <w:marBottom w:val="240"/>
          <w:divBdr>
            <w:top w:val="none" w:sz="0" w:space="0" w:color="auto"/>
            <w:left w:val="none" w:sz="0" w:space="0" w:color="auto"/>
            <w:bottom w:val="single" w:sz="6" w:space="10" w:color="E8E4DC"/>
            <w:right w:val="none" w:sz="0" w:space="0" w:color="auto"/>
          </w:divBdr>
        </w:div>
        <w:div w:id="1481270018">
          <w:marLeft w:val="0"/>
          <w:marRight w:val="0"/>
          <w:marTop w:val="0"/>
          <w:marBottom w:val="240"/>
          <w:divBdr>
            <w:top w:val="none" w:sz="0" w:space="0" w:color="auto"/>
            <w:left w:val="none" w:sz="0" w:space="0" w:color="auto"/>
            <w:bottom w:val="single" w:sz="6" w:space="10" w:color="E8E4DC"/>
            <w:right w:val="none" w:sz="0" w:space="0" w:color="auto"/>
          </w:divBdr>
        </w:div>
        <w:div w:id="1512254108">
          <w:marLeft w:val="0"/>
          <w:marRight w:val="0"/>
          <w:marTop w:val="0"/>
          <w:marBottom w:val="240"/>
          <w:divBdr>
            <w:top w:val="none" w:sz="0" w:space="0" w:color="auto"/>
            <w:left w:val="none" w:sz="0" w:space="0" w:color="auto"/>
            <w:bottom w:val="single" w:sz="6" w:space="10" w:color="E8E4DC"/>
            <w:right w:val="none" w:sz="0" w:space="0" w:color="auto"/>
          </w:divBdr>
        </w:div>
        <w:div w:id="927808153">
          <w:marLeft w:val="0"/>
          <w:marRight w:val="0"/>
          <w:marTop w:val="0"/>
          <w:marBottom w:val="240"/>
          <w:divBdr>
            <w:top w:val="none" w:sz="0" w:space="0" w:color="auto"/>
            <w:left w:val="none" w:sz="0" w:space="0" w:color="auto"/>
            <w:bottom w:val="single" w:sz="6" w:space="10" w:color="E8E4DC"/>
            <w:right w:val="none" w:sz="0" w:space="0" w:color="auto"/>
          </w:divBdr>
        </w:div>
        <w:div w:id="336469264">
          <w:marLeft w:val="0"/>
          <w:marRight w:val="0"/>
          <w:marTop w:val="0"/>
          <w:marBottom w:val="240"/>
          <w:divBdr>
            <w:top w:val="none" w:sz="0" w:space="0" w:color="auto"/>
            <w:left w:val="none" w:sz="0" w:space="0" w:color="auto"/>
            <w:bottom w:val="single" w:sz="6" w:space="10" w:color="E8E4DC"/>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5.png"/><Relationship Id="rId107" Type="http://schemas.openxmlformats.org/officeDocument/2006/relationships/footer" Target="footer3.xml"/><Relationship Id="rId11" Type="http://schemas.openxmlformats.org/officeDocument/2006/relationships/hyperlink" Target="file:///C:\Users\iam\AppData\Local\Temp\buildc_word_3xc4e2qj\pdf\SysteemAudit_DocumentC_VisueleArchitectuur.pdf"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header" Target="header1.xml"/><Relationship Id="rId5" Type="http://schemas.openxmlformats.org/officeDocument/2006/relationships/footnotes" Target="footnotes.xml"/><Relationship Id="rId90" Type="http://schemas.openxmlformats.org/officeDocument/2006/relationships/image" Target="media/image79.png"/><Relationship Id="rId95" Type="http://schemas.openxmlformats.org/officeDocument/2006/relationships/image" Target="media/image84.png"/><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80" Type="http://schemas.openxmlformats.org/officeDocument/2006/relationships/image" Target="media/image69.png"/><Relationship Id="rId85" Type="http://schemas.openxmlformats.org/officeDocument/2006/relationships/image" Target="media/image74.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header" Target="header2.xml"/><Relationship Id="rId108" Type="http://schemas.openxmlformats.org/officeDocument/2006/relationships/fontTable" Target="fontTable.xml"/><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6" Type="http://schemas.openxmlformats.org/officeDocument/2006/relationships/header" Target="header3.xml"/><Relationship Id="rId10" Type="http://schemas.openxmlformats.org/officeDocument/2006/relationships/hyperlink" Target="file:///C:\Users\iam\AppData\Local\Temp\buildc_word_3xc4e2qj\SysteemAudit_DocumentC_VisueleArchitectuur.html"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4" Type="http://schemas.openxmlformats.org/officeDocument/2006/relationships/webSettings" Target="webSettings.xml"/><Relationship Id="rId9" Type="http://schemas.openxmlformats.org/officeDocument/2006/relationships/hyperlink" Target="file:///C:\Users\iam\AppData\Local\Temp\buildc_word_3xc4e2qj\SysteemAudit_DocumentC_VisueleArchitectuur.html" TargetMode="Externa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theme" Target="theme/theme1.xml"/><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footer" Target="footer1.xml"/><Relationship Id="rId7" Type="http://schemas.openxmlformats.org/officeDocument/2006/relationships/hyperlink" Target="file:///C:\Users\iam\AppData\Local\Temp\buildc_word_3xc4e2qj\SysteemAudit_DocumentC_VisueleArchitectuur.html" TargetMode="Externa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footer" Target="footer2.xml"/><Relationship Id="rId8" Type="http://schemas.openxmlformats.org/officeDocument/2006/relationships/hyperlink" Target="file:///C:\Users\iam\AppData\Local\Temp\buildc_word_3xc4e2qj\SysteemAudit_DocumentC_VisueleArchitectuur.html" TargetMode="Externa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121</Pages>
  <Words>29988</Words>
  <Characters>164936</Characters>
  <Application>Microsoft Office Word</Application>
  <DocSecurity>0</DocSecurity>
  <Lines>1374</Lines>
  <Paragraphs>389</Paragraphs>
  <ScaleCrop>false</ScaleCrop>
  <Company/>
  <LinksUpToDate>false</LinksUpToDate>
  <CharactersWithSpaces>194535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System-Audit — Dokument C — Die visuelle Architektur</dc:title>
  <dc:subject/>
  <dc:creator>Eric Messa</dc:creator>
  <cp:keywords/>
  <dc:description/>
  <cp:lastModifiedBy>Eric Messa</cp:lastModifiedBy>
  <cp:revision>2</cp:revision>
  <dcterms:created xsi:type="dcterms:W3CDTF">2026-10-05T12:12:00Z</dcterms:created>
  <dcterms:modified xsi:type="dcterms:W3CDTF">2026-10-05T12:12:00Z</dcterms:modified>
</cp:coreProperties>
</file>